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nos" w:hAnsi="Tinos" w:eastAsia="Tinos" w:cs="Tinos"/>
          <w:b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color w:val="000000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29865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nos" w:hAnsi="Tinos" w:eastAsia="Tinos" w:cs="Tinos"/>
          <w:b/>
          <w:color w:val="000000"/>
          <w:sz w:val="24"/>
          <w:szCs w:val="24"/>
        </w:rPr>
      </w:r>
      <w:r>
        <w:rPr>
          <w:rFonts w:ascii="Tinos" w:hAnsi="Tinos" w:eastAsia="Tinos" w:cs="Tinos"/>
          <w:b/>
          <w:color w:val="000000"/>
          <w:sz w:val="24"/>
          <w:szCs w:val="24"/>
        </w:rPr>
      </w:r>
    </w:p>
    <w:p>
      <w:pPr>
        <w:rPr>
          <w:rFonts w:ascii="PT Astra Serif" w:hAnsi="PT Astra Serif" w:cs="PT Astra 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4"/>
        </w:rPr>
        <w:t xml:space="preserve">Газ до границы участка бесплатно: пошаговая инструкция для садоводов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rPr>
          <w:rFonts w:ascii="PT Astra Serif" w:hAnsi="PT Astra Serif" w:cs="PT Astra Serif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</w:rPr>
        <w:t xml:space="preserve">Управление Росреестра по Ямало-Ненецкому автономному окр</w:t>
      </w:r>
      <w:r>
        <w:rPr>
          <w:rFonts w:ascii="PT Astra Serif" w:hAnsi="PT Astra Serif" w:eastAsia="PT Astra Serif" w:cs="PT Astra Serif"/>
          <w:color w:val="000000"/>
          <w:sz w:val="24"/>
        </w:rPr>
        <w:t xml:space="preserve">угу напоминает, о том, что владельцы участков в СНТ могут подключить газ по социальной программе без затрат на подведение газораспределительных сетей до границ своего земельного участка. Но есть несколько юридических нюансов, которые важно учесть заранее. 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rPr>
          <w:rFonts w:ascii="PT Astra Serif" w:hAnsi="PT Astra Serif" w:cs="PT Astra Serif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4"/>
        </w:rPr>
        <w:t xml:space="preserve">Шаг 1. Проверьте статус вашего садоводства</w:t>
      </w:r>
      <w:r>
        <w:rPr>
          <w:rFonts w:ascii="PT Astra Serif" w:hAnsi="PT Astra Serif" w:eastAsia="PT Astra Serif" w:cs="PT Astra Serif"/>
          <w:b/>
          <w:color w:val="000000"/>
          <w:sz w:val="24"/>
        </w:rPr>
        <w:br/>
      </w:r>
      <w:r>
        <w:rPr>
          <w:rFonts w:ascii="PT Astra Serif" w:hAnsi="PT Astra Serif" w:eastAsia="PT Astra Serif" w:cs="PT Astra Serif"/>
          <w:color w:val="000000"/>
          <w:sz w:val="24"/>
        </w:rPr>
        <w:t xml:space="preserve">Участие в программе возможно только при соблюдении двух условий: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pStyle w:val="860"/>
        <w:numPr>
          <w:ilvl w:val="0"/>
          <w:numId w:val="1"/>
        </w:numPr>
        <w:rPr>
          <w:rFonts w:ascii="PT Astra Serif" w:hAnsi="PT Astra Serif" w:cs="PT Astra Serif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</w:rPr>
        <w:t xml:space="preserve">СНТ должно находится </w:t>
      </w:r>
      <w:r>
        <w:rPr>
          <w:rFonts w:ascii="PT Astra Serif" w:hAnsi="PT Astra Serif" w:eastAsia="PT Astra Serif" w:cs="PT Astra Serif"/>
          <w:b/>
          <w:color w:val="000000"/>
          <w:sz w:val="24"/>
        </w:rPr>
        <w:t xml:space="preserve">в границах населенного пункта</w:t>
      </w:r>
      <w:r>
        <w:rPr>
          <w:rFonts w:ascii="PT Astra Serif" w:hAnsi="PT Astra Serif" w:eastAsia="PT Astra Serif" w:cs="PT Astra Serif"/>
          <w:color w:val="000000"/>
          <w:sz w:val="24"/>
        </w:rPr>
        <w:t xml:space="preserve">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pStyle w:val="860"/>
        <w:numPr>
          <w:ilvl w:val="0"/>
          <w:numId w:val="1"/>
        </w:numPr>
        <w:rPr>
          <w:rFonts w:ascii="PT Astra Serif" w:hAnsi="PT Astra Serif" w:cs="PT Astra Serif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333333"/>
          <w:sz w:val="24"/>
          <w:highlight w:val="white"/>
        </w:rPr>
        <w:t xml:space="preserve">Дом должен быть капитальным, стоять на фундаменте. </w:t>
      </w:r>
      <w:r>
        <w:rPr>
          <w:rFonts w:ascii="PT Astra Serif" w:hAnsi="PT Astra Serif" w:eastAsia="PT Astra Serif" w:cs="PT Astra Serif"/>
          <w:color w:val="333333"/>
          <w:sz w:val="24"/>
          <w:highlight w:val="white"/>
        </w:rPr>
        <w:t xml:space="preserve">Населенный пункт уже газифицирован или попад</w:t>
      </w:r>
      <w:r>
        <w:rPr>
          <w:rFonts w:ascii="PT Astra Serif" w:hAnsi="PT Astra Serif" w:eastAsia="PT Astra Serif" w:cs="PT Astra Serif"/>
          <w:color w:val="333333"/>
          <w:sz w:val="24"/>
          <w:highlight w:val="white"/>
        </w:rPr>
        <w:t xml:space="preserve">ает в план по догазификации,</w:t>
      </w:r>
      <w:r>
        <w:rPr>
          <w:rFonts w:ascii="PT Astra Serif" w:hAnsi="PT Astra Serif" w:eastAsia="PT Astra Serif" w:cs="PT Astra Serif"/>
          <w:b/>
          <w:color w:val="333333"/>
          <w:sz w:val="24"/>
          <w:highlight w:val="white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4"/>
        </w:rPr>
        <w:t xml:space="preserve">который утвержден Постановлением Губернатора ЯНАО 04.03.2026 г. № 20-ПГ «О внесении изменений в Комплексную региональную программу газификации жилищно-коммунального хозяйства, промышленных и иных организация на территории Ямало</w:t>
      </w:r>
      <w:r>
        <w:rPr>
          <w:rFonts w:ascii="PT Astra Serif" w:hAnsi="PT Astra Serif" w:eastAsia="PT Astra Serif" w:cs="PT Astra Serif"/>
          <w:color w:val="000000"/>
          <w:sz w:val="24"/>
        </w:rPr>
        <w:t xml:space="preserve">-Ненецкого автономного округа на 2024-2033 годы».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pStyle w:val="860"/>
        <w:rPr>
          <w:rFonts w:ascii="PT Astra Serif" w:hAnsi="PT Astra Serif" w:cs="PT Astra Serif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highlight w:val="yellow"/>
        </w:rPr>
      </w:r>
      <w:r>
        <w:rPr>
          <w:rFonts w:ascii="PT Astra Serif" w:hAnsi="PT Astra Serif" w:cs="PT Astra Serif"/>
          <w:highlight w:val="yellow"/>
        </w:rPr>
      </w:r>
      <w:r>
        <w:rPr>
          <w:rFonts w:ascii="PT Astra Serif" w:hAnsi="PT Astra Serif" w:cs="PT Astra Serif"/>
          <w:highlight w:val="yellow"/>
        </w:rPr>
      </w:r>
    </w:p>
    <w:p>
      <w:pPr>
        <w:pStyle w:val="860"/>
        <w:ind w:left="0"/>
        <w:rPr>
          <w:rFonts w:ascii="PT Astra Serif" w:hAnsi="PT Astra Serif" w:eastAsia="PT Astra Serif" w:cs="PT Astra Seri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4"/>
        </w:rPr>
        <w:t xml:space="preserve">Сроки подключения определяются планами-графиками, утверждёнными в </w:t>
      </w:r>
      <w:r>
        <w:rPr>
          <w:rFonts w:ascii="PT Astra Serif" w:hAnsi="PT Astra Serif" w:eastAsia="PT Astra Serif" w:cs="PT Astra Serif"/>
          <w:color w:val="000000"/>
          <w:sz w:val="24"/>
        </w:rPr>
        <w:t xml:space="preserve">Постановлении</w:t>
      </w:r>
      <w:r>
        <w:rPr>
          <w:rFonts w:ascii="PT Astra Serif" w:hAnsi="PT Astra Serif" w:eastAsia="PT Astra Serif" w:cs="PT Astra Serif"/>
          <w:sz w:val="24"/>
        </w:rPr>
        <w:t xml:space="preserve">.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</w:p>
    <w:p>
      <w:pPr>
        <w:rPr>
          <w:rFonts w:ascii="PT Astra Serif" w:hAnsi="PT Astra Serif" w:cs="PT Astra Serif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4"/>
        </w:rPr>
        <w:t xml:space="preserve">Шаг 2. Узаконьте дом и участок</w:t>
      </w:r>
      <w:r>
        <w:rPr>
          <w:rFonts w:ascii="PT Astra Serif" w:hAnsi="PT Astra Serif" w:eastAsia="PT Astra Serif" w:cs="PT Astra Serif"/>
          <w:b/>
          <w:color w:val="000000"/>
          <w:sz w:val="24"/>
        </w:rPr>
        <w:br/>
      </w:r>
      <w:r>
        <w:rPr>
          <w:rFonts w:ascii="PT Astra Serif" w:hAnsi="PT Astra Serif" w:eastAsia="PT Astra Serif" w:cs="PT Astra Serif"/>
          <w:color w:val="000000"/>
          <w:sz w:val="24"/>
        </w:rPr>
        <w:t xml:space="preserve">Главное требование — зарегистрированное право собственности на земельный участок и расположен</w:t>
      </w:r>
      <w:r>
        <w:rPr>
          <w:rFonts w:ascii="PT Astra Serif" w:hAnsi="PT Astra Serif" w:eastAsia="PT Astra Serif" w:cs="PT Astra Serif"/>
          <w:color w:val="000000"/>
          <w:sz w:val="24"/>
        </w:rPr>
        <w:t xml:space="preserve">ный на нем жилой дом. 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rPr>
          <w:rFonts w:ascii="PT Astra Serif" w:hAnsi="PT Astra Serif" w:cs="PT Astra Serif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i/>
          <w:color w:val="000000"/>
          <w:sz w:val="24"/>
        </w:rPr>
        <w:t xml:space="preserve">«Дачные домики для сезонного проживания не подпадают под социальную газификацию. Если у вас садовый дом, его статус необходимо поменять на жилой. Без этого газ по социальной программе не проведут», — комментирует </w:t>
      </w:r>
      <w:r>
        <w:rPr>
          <w:rFonts w:ascii="PT Astra Serif" w:hAnsi="PT Astra Serif" w:eastAsia="PT Astra Serif" w:cs="PT Astra Serif"/>
          <w:b/>
          <w:bCs/>
          <w:i/>
          <w:color w:val="000000"/>
          <w:sz w:val="24"/>
        </w:rPr>
        <w:t xml:space="preserve">Марина </w:t>
      </w:r>
      <w:r>
        <w:rPr>
          <w:rFonts w:ascii="PT Astra Serif" w:hAnsi="PT Astra Serif" w:eastAsia="PT Astra Serif" w:cs="PT Astra Serif"/>
          <w:b/>
          <w:i/>
          <w:color w:val="000000"/>
          <w:sz w:val="24"/>
        </w:rPr>
        <w:t xml:space="preserve">Савельева, заместитель руководителя Управления Росреестра по ЯНАО</w:t>
      </w:r>
      <w:r>
        <w:rPr>
          <w:rFonts w:ascii="PT Astra Serif" w:hAnsi="PT Astra Serif" w:eastAsia="PT Astra Serif" w:cs="PT Astra Serif"/>
          <w:i/>
          <w:color w:val="000000"/>
          <w:sz w:val="24"/>
        </w:rPr>
        <w:t xml:space="preserve">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rPr>
          <w:rFonts w:ascii="PT Astra Serif" w:hAnsi="PT Astra Serif" w:cs="PT Astra Serif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4"/>
        </w:rPr>
        <w:t xml:space="preserve">Как перевести садовый дом в жилой?</w:t>
      </w:r>
      <w:r>
        <w:rPr>
          <w:rFonts w:ascii="PT Astra Serif" w:hAnsi="PT Astra Serif" w:eastAsia="PT Astra Serif" w:cs="PT Astra Serif"/>
          <w:b/>
          <w:color w:val="000000"/>
          <w:sz w:val="24"/>
        </w:rPr>
        <w:br/>
      </w:r>
      <w:r>
        <w:rPr>
          <w:rFonts w:ascii="PT Astra Serif" w:hAnsi="PT Astra Serif" w:eastAsia="PT Astra Serif" w:cs="PT Astra Serif"/>
          <w:color w:val="000000"/>
          <w:sz w:val="24"/>
        </w:rPr>
        <w:t xml:space="preserve">Подайте в местную администрацию пакет документов через портал  «Госуслуги»:</w:t>
      </w:r>
      <w:r>
        <w:rPr>
          <w:rFonts w:ascii="PT Astra Serif" w:hAnsi="PT Astra Serif" w:eastAsia="PT Astra Serif" w:cs="PT Astra Serif"/>
          <w:color w:val="000000"/>
          <w:sz w:val="24"/>
        </w:rPr>
        <w:br/>
        <w:t xml:space="preserve">— заявление с кадастровыми номерами и вашими данными;</w:t>
      </w:r>
      <w:r>
        <w:rPr>
          <w:rFonts w:ascii="PT Astra Serif" w:hAnsi="PT Astra Serif" w:eastAsia="PT Astra Serif" w:cs="PT Astra Serif"/>
          <w:color w:val="000000"/>
          <w:sz w:val="24"/>
        </w:rPr>
        <w:br/>
        <w:t xml:space="preserve">— </w:t>
      </w:r>
      <w:r>
        <w:rPr>
          <w:rFonts w:ascii="PT Astra Serif" w:hAnsi="PT Astra Serif" w:eastAsia="PT Astra Serif" w:cs="PT Astra Serif"/>
          <w:b/>
          <w:color w:val="000000"/>
          <w:sz w:val="24"/>
        </w:rPr>
        <w:t xml:space="preserve">техническое заключение</w:t>
      </w:r>
      <w:r>
        <w:rPr>
          <w:rFonts w:ascii="PT Astra Serif" w:hAnsi="PT Astra Serif" w:eastAsia="PT Astra Serif" w:cs="PT Astra Serif"/>
          <w:color w:val="000000"/>
          <w:sz w:val="24"/>
        </w:rPr>
        <w:t xml:space="preserve"> кадастрового инженера о техническом состоянии дома, подтверждающее соответствие садового дома требованиям надежности и безопасности;</w:t>
      </w:r>
      <w:r>
        <w:rPr>
          <w:rFonts w:ascii="PT Astra Serif" w:hAnsi="PT Astra Serif" w:eastAsia="PT Astra Serif" w:cs="PT Astra Serif"/>
          <w:color w:val="000000"/>
          <w:sz w:val="24"/>
        </w:rPr>
        <w:br/>
        <w:t xml:space="preserve">— нотариальное согласие всех собственников (если дом находится в общей долевой собственности).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rPr>
          <w:rFonts w:ascii="PT Astra Serif" w:hAnsi="PT Astra Serif" w:cs="PT Astra Serif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</w:rPr>
        <w:t xml:space="preserve">Срок рассмотрения — 10 рабо</w:t>
      </w:r>
      <w:r>
        <w:rPr>
          <w:rFonts w:ascii="PT Astra Serif" w:hAnsi="PT Astra Serif" w:eastAsia="PT Astra Serif" w:cs="PT Astra Serif"/>
          <w:color w:val="000000"/>
          <w:sz w:val="24"/>
        </w:rPr>
        <w:t xml:space="preserve">чих дней через портал «Госуслуги». Администрация направит положительное решение в Росреестр, и в ваш личный кабинет на портале поступит выписка из ЕГРН с изменёнными сведениями об объекте недвижимости.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rPr>
          <w:rFonts w:ascii="PT Astra Serif" w:hAnsi="PT Astra Serif" w:cs="PT Astra Serif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4"/>
        </w:rPr>
        <w:t xml:space="preserve">Шаг 3. Решение общего собрания СНТ</w:t>
      </w:r>
      <w:r>
        <w:rPr>
          <w:rFonts w:ascii="PT Astra Serif" w:hAnsi="PT Astra Serif" w:eastAsia="PT Astra Serif" w:cs="PT Astra Serif"/>
          <w:b/>
          <w:color w:val="000000"/>
          <w:sz w:val="24"/>
        </w:rPr>
        <w:br/>
      </w:r>
      <w:r>
        <w:rPr>
          <w:rFonts w:ascii="PT Astra Serif" w:hAnsi="PT Astra Serif" w:eastAsia="PT Astra Serif" w:cs="PT Astra Serif"/>
          <w:color w:val="000000"/>
          <w:sz w:val="24"/>
        </w:rPr>
        <w:t xml:space="preserve">Когда документы в порядке, собственники товарищества должны провести собрание и официально одобрить подключение.</w:t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rPr>
          <w:rFonts w:ascii="PT Astra Serif" w:hAnsi="PT Astra Serif" w:cs="PT Astra Serif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4"/>
        </w:rPr>
        <w:t xml:space="preserve">Шаг 4. Подача заявки на газ</w:t>
      </w:r>
      <w:r>
        <w:rPr>
          <w:rFonts w:ascii="PT Astra Serif" w:hAnsi="PT Astra Serif" w:eastAsia="PT Astra Serif" w:cs="PT Astra Serif"/>
          <w:b/>
          <w:color w:val="000000"/>
          <w:sz w:val="24"/>
        </w:rPr>
        <w:br/>
      </w:r>
      <w:r>
        <w:rPr>
          <w:rFonts w:ascii="PT Astra Serif" w:hAnsi="PT Astra Serif" w:eastAsia="PT Astra Serif" w:cs="PT Astra Serif"/>
          <w:color w:val="000000"/>
          <w:sz w:val="24"/>
        </w:rPr>
        <w:t xml:space="preserve">Это можно сделать тремя способами:</w:t>
      </w:r>
      <w:r>
        <w:rPr>
          <w:rFonts w:ascii="PT Astra Serif" w:hAnsi="PT Astra Serif" w:eastAsia="PT Astra Serif" w:cs="PT Astra Serif"/>
          <w:color w:val="000000"/>
          <w:sz w:val="24"/>
        </w:rPr>
        <w:br/>
        <w:t xml:space="preserve">— через портал «Госуслуги»;</w:t>
      </w:r>
      <w:r>
        <w:rPr>
          <w:rFonts w:ascii="PT Astra Serif" w:hAnsi="PT Astra Serif" w:eastAsia="PT Astra Serif" w:cs="PT Astra Serif"/>
          <w:color w:val="000000"/>
          <w:sz w:val="24"/>
        </w:rPr>
        <w:br/>
        <w:t xml:space="preserve">— на сайте единого оператора газификации «СОЦГАЗ.РФ;</w:t>
      </w:r>
      <w:r>
        <w:rPr>
          <w:rFonts w:ascii="PT Astra Serif" w:hAnsi="PT Astra Serif" w:eastAsia="PT Astra Serif" w:cs="PT Astra Serif"/>
          <w:color w:val="000000"/>
          <w:sz w:val="24"/>
        </w:rPr>
        <w:br/>
        <w:t xml:space="preserve">— через сайт вашей газораспределительной компании.</w:t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pStyle w:val="681"/>
        <w:rPr>
          <w:rFonts w:ascii="PT Astra Serif" w:hAnsi="PT Astra Serif" w:cs="PT Astra Serif"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</w:rPr>
        <w:t xml:space="preserve">На территории нашего округа работает 8 газораспределительных организаций: АО «Газпром газораспределение Север», АО «Управление по строительству газопроводов и газификации», АО «Ново-Уренгоймежрайгаз», ООО</w:t>
      </w:r>
      <w:r>
        <w:rPr>
          <w:rFonts w:ascii="PT Astra Serif" w:hAnsi="PT Astra Serif" w:eastAsia="PT Astra Serif" w:cs="PT Astra Serif"/>
          <w:color w:val="000000"/>
          <w:sz w:val="24"/>
        </w:rPr>
        <w:t xml:space="preserve"> «Пургазсервис», ООО «Энергокомпания», филиал АО «Ямалкоммунэнерго», ООО «Районные газовые сети»,     ООО «Надымгоргаз», АО «Энерго-газ-ноябрьск».</w:t>
      </w:r>
      <w:r>
        <w:rPr>
          <w:rFonts w:ascii="PT Astra Serif" w:hAnsi="PT Astra Serif" w:cs="PT Astra Serif"/>
          <w:color w:val="000000"/>
          <w:sz w:val="24"/>
        </w:rPr>
      </w:r>
      <w:r>
        <w:rPr>
          <w:rFonts w:ascii="PT Astra Serif" w:hAnsi="PT Astra Serif" w:cs="PT Astra Serif"/>
          <w:color w:val="000000"/>
          <w:sz w:val="24"/>
        </w:rPr>
      </w:r>
    </w:p>
    <w:p>
      <w:pPr>
        <w:rPr>
          <w:rFonts w:ascii="PT Astra Serif" w:hAnsi="PT Astra Serif" w:eastAsia="PT Astra Serif" w:cs="PT Astra Serif"/>
          <w:bCs/>
          <w:i/>
          <w:color w:val="000000" w:themeColor="text1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4"/>
          <w:highlight w:val="none"/>
        </w:rPr>
        <w:t xml:space="preserve">Как сообщил Евгений Синельников, представитель АО «Ново-Уренгоймежрайгаз», на территории СНТ "Фемида" и ПК ДК</w:t>
      </w:r>
      <w:r>
        <w:rPr>
          <w:rFonts w:ascii="PT Astra Serif" w:hAnsi="PT Astra Serif" w:eastAsia="PT Astra Serif" w:cs="PT Astra Serif"/>
          <w:color w:val="000000" w:themeColor="text1"/>
          <w:sz w:val="24"/>
          <w:highlight w:val="none"/>
        </w:rPr>
        <w:t xml:space="preserve"> "Простоквашино" города Новый Уренгой уже ведутся работы по укладке газопровода до участков правообладателей. </w:t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bCs/>
          <w:i/>
          <w:color w:val="000000" w:themeColor="text1"/>
          <w:sz w:val="24"/>
          <w:szCs w:val="24"/>
          <w:highlight w:val="none"/>
        </w:rPr>
      </w:r>
    </w:p>
    <w:p>
      <w:pPr>
        <w:rPr>
          <w:rFonts w:ascii="PT Astra Serif" w:hAnsi="PT Astra Serif" w:cs="PT Astra Serif"/>
          <w:color w:val="000000" w:themeColor="text1"/>
          <w:highlight w:val="none"/>
        </w:rPr>
      </w:pPr>
      <w:r>
        <w:rPr>
          <w:rFonts w:ascii="PT Astra Serif" w:hAnsi="PT Astra Serif" w:eastAsia="PT Astra Serif" w:cs="PT Astra Serif"/>
          <w:i/>
          <w:color w:val="000000" w:themeColor="text1"/>
          <w:sz w:val="24"/>
          <w:highlight w:val="none"/>
        </w:rPr>
        <w:t xml:space="preserve">  «Мы реком</w:t>
      </w:r>
      <w:r>
        <w:rPr>
          <w:rFonts w:ascii="PT Astra Serif" w:hAnsi="PT Astra Serif" w:eastAsia="PT Astra Serif" w:cs="PT Astra Serif"/>
          <w:i/>
          <w:color w:val="000000" w:themeColor="text1"/>
          <w:sz w:val="24"/>
          <w:highlight w:val="none"/>
        </w:rPr>
        <w:t xml:space="preserve">ендуем </w:t>
      </w:r>
      <w:r>
        <w:rPr>
          <w:rFonts w:ascii="PT Astra Serif" w:hAnsi="PT Astra Serif" w:eastAsia="PT Astra Serif" w:cs="PT Astra Serif"/>
          <w:i/>
          <w:color w:val="000000" w:themeColor="text1"/>
          <w:sz w:val="24"/>
          <w:highlight w:val="none"/>
        </w:rPr>
        <w:t xml:space="preserve">жителям</w:t>
      </w:r>
      <w:r>
        <w:rPr>
          <w:rFonts w:ascii="PT Astra Serif" w:hAnsi="PT Astra Serif" w:eastAsia="PT Astra Serif" w:cs="PT Astra Serif"/>
          <w:i/>
          <w:color w:val="000000" w:themeColor="text1"/>
          <w:sz w:val="24"/>
          <w:highlight w:val="none"/>
        </w:rPr>
        <w:t xml:space="preserve"> </w:t>
      </w:r>
      <w:bookmarkStart w:id="0" w:name="_GoBack"/>
      <w:r>
        <w:rPr>
          <w:rFonts w:ascii="PT Astra Serif" w:hAnsi="PT Astra Serif" w:eastAsia="PT Astra Serif" w:cs="PT Astra Serif"/>
          <w:i/>
          <w:color w:val="000000" w:themeColor="text1"/>
          <w:sz w:val="24"/>
          <w:highlight w:val="none"/>
        </w:rPr>
        <w:t xml:space="preserve">провести собрание собственников</w:t>
      </w:r>
      <w:bookmarkEnd w:id="0"/>
      <w:r>
        <w:rPr>
          <w:rFonts w:ascii="PT Astra Serif" w:hAnsi="PT Astra Serif" w:eastAsia="PT Astra Serif" w:cs="PT Astra Serif"/>
          <w:i/>
          <w:color w:val="000000" w:themeColor="text1"/>
          <w:sz w:val="24"/>
          <w:highlight w:val="none"/>
        </w:rPr>
        <w:t xml:space="preserve"> и</w:t>
      </w:r>
      <w:r>
        <w:rPr>
          <w:rFonts w:ascii="PT Astra Serif" w:hAnsi="PT Astra Serif" w:eastAsia="PT Astra Serif" w:cs="PT Astra Serif"/>
          <w:i/>
          <w:color w:val="000000" w:themeColor="text1"/>
          <w:sz w:val="24"/>
          <w:highlight w:val="none"/>
        </w:rPr>
        <w:t xml:space="preserve"> уполномочить одного ответственного представителя, который будет заниматься организационными вопросами и представлять интересы в исполнительных органах», — добавил Евг</w:t>
      </w:r>
      <w:r>
        <w:rPr>
          <w:rFonts w:ascii="PT Astra Serif" w:hAnsi="PT Astra Serif" w:eastAsia="PT Astra Serif" w:cs="PT Astra Serif"/>
          <w:i/>
          <w:color w:val="000000" w:themeColor="text1"/>
          <w:sz w:val="24"/>
          <w:highlight w:val="none"/>
        </w:rPr>
        <w:t xml:space="preserve">ений.</w:t>
      </w:r>
      <w:r>
        <w:rPr>
          <w:rFonts w:ascii="PT Astra Serif" w:hAnsi="PT Astra Serif" w:cs="PT Astra Serif"/>
          <w:color w:val="000000" w:themeColor="text1"/>
          <w:highlight w:val="none"/>
        </w:rPr>
      </w:r>
      <w:r>
        <w:rPr>
          <w:rFonts w:ascii="PT Astra Serif" w:hAnsi="PT Astra Serif" w:cs="PT Astra Serif"/>
          <w:color w:val="000000" w:themeColor="text1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Tinos">
    <w:panose1 w:val="020206030504050203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1">
    <w:name w:val="Heading 1 Char"/>
    <w:basedOn w:val="689"/>
    <w:link w:val="680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2">
    <w:name w:val="Heading 2 Char"/>
    <w:basedOn w:val="689"/>
    <w:link w:val="681"/>
    <w:uiPriority w:val="9"/>
    <w:rPr>
      <w:rFonts w:ascii="Liberation Sans" w:hAnsi="Liberation Sans" w:eastAsia="Liberation Sans" w:cs="Liberation Sans"/>
      <w:sz w:val="34"/>
    </w:rPr>
  </w:style>
  <w:style w:type="character" w:styleId="663">
    <w:name w:val="Heading 3 Char"/>
    <w:basedOn w:val="689"/>
    <w:link w:val="682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64">
    <w:name w:val="Heading 4 Char"/>
    <w:basedOn w:val="689"/>
    <w:link w:val="68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5">
    <w:name w:val="Heading 5 Char"/>
    <w:basedOn w:val="689"/>
    <w:link w:val="68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6">
    <w:name w:val="Heading 6 Char"/>
    <w:basedOn w:val="689"/>
    <w:link w:val="68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7">
    <w:name w:val="Heading 7 Char"/>
    <w:basedOn w:val="689"/>
    <w:link w:val="68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8 Char"/>
    <w:basedOn w:val="689"/>
    <w:link w:val="68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9 Char"/>
    <w:basedOn w:val="689"/>
    <w:link w:val="68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0">
    <w:name w:val="Title Char"/>
    <w:basedOn w:val="689"/>
    <w:link w:val="701"/>
    <w:uiPriority w:val="10"/>
    <w:rPr>
      <w:sz w:val="48"/>
      <w:szCs w:val="48"/>
    </w:rPr>
  </w:style>
  <w:style w:type="character" w:styleId="671">
    <w:name w:val="Subtitle Char"/>
    <w:basedOn w:val="689"/>
    <w:link w:val="703"/>
    <w:uiPriority w:val="11"/>
    <w:rPr>
      <w:sz w:val="24"/>
      <w:szCs w:val="24"/>
    </w:rPr>
  </w:style>
  <w:style w:type="character" w:styleId="672">
    <w:name w:val="Quote Char"/>
    <w:link w:val="705"/>
    <w:uiPriority w:val="29"/>
    <w:rPr>
      <w:i/>
    </w:rPr>
  </w:style>
  <w:style w:type="character" w:styleId="673">
    <w:name w:val="Intense Quote Char"/>
    <w:link w:val="707"/>
    <w:uiPriority w:val="30"/>
    <w:rPr>
      <w:i/>
    </w:rPr>
  </w:style>
  <w:style w:type="character" w:styleId="674">
    <w:name w:val="Header Char"/>
    <w:basedOn w:val="689"/>
    <w:link w:val="709"/>
    <w:uiPriority w:val="99"/>
  </w:style>
  <w:style w:type="character" w:styleId="675">
    <w:name w:val="Footer Char"/>
    <w:basedOn w:val="689"/>
    <w:link w:val="711"/>
    <w:uiPriority w:val="99"/>
  </w:style>
  <w:style w:type="character" w:styleId="676">
    <w:name w:val="Caption Char"/>
    <w:basedOn w:val="689"/>
    <w:link w:val="713"/>
    <w:uiPriority w:val="35"/>
    <w:rPr>
      <w:b/>
      <w:bCs/>
      <w:color w:val="4f81bd" w:themeColor="accent1"/>
      <w:sz w:val="18"/>
      <w:szCs w:val="18"/>
    </w:rPr>
  </w:style>
  <w:style w:type="character" w:styleId="677">
    <w:name w:val="Footnote Text Char"/>
    <w:link w:val="842"/>
    <w:uiPriority w:val="99"/>
    <w:rPr>
      <w:sz w:val="18"/>
    </w:rPr>
  </w:style>
  <w:style w:type="character" w:styleId="678">
    <w:name w:val="Endnote Text Char"/>
    <w:link w:val="845"/>
    <w:uiPriority w:val="99"/>
    <w:rPr>
      <w:sz w:val="20"/>
    </w:rPr>
  </w:style>
  <w:style w:type="paragraph" w:styleId="679" w:default="1">
    <w:name w:val="Normal"/>
    <w:qFormat/>
  </w:style>
  <w:style w:type="paragraph" w:styleId="680">
    <w:name w:val="Heading 1"/>
    <w:basedOn w:val="679"/>
    <w:next w:val="679"/>
    <w:link w:val="692"/>
    <w:uiPriority w:val="9"/>
    <w:qFormat/>
    <w:pPr>
      <w:keepLines/>
      <w:keepNext/>
      <w:spacing w:before="48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681">
    <w:name w:val="Heading 2"/>
    <w:basedOn w:val="679"/>
    <w:next w:val="679"/>
    <w:link w:val="693"/>
    <w:uiPriority w:val="9"/>
    <w:unhideWhenUsed/>
    <w:qFormat/>
    <w:pPr>
      <w:keepLines/>
      <w:keepNext/>
      <w:spacing w:before="360"/>
      <w:outlineLvl w:val="1"/>
    </w:pPr>
    <w:rPr>
      <w:rFonts w:ascii="Liberation Sans" w:hAnsi="Liberation Sans" w:eastAsia="Liberation Sans" w:cs="Liberation Sans"/>
      <w:sz w:val="34"/>
    </w:rPr>
  </w:style>
  <w:style w:type="paragraph" w:styleId="682">
    <w:name w:val="Heading 3"/>
    <w:basedOn w:val="679"/>
    <w:next w:val="679"/>
    <w:link w:val="694"/>
    <w:uiPriority w:val="9"/>
    <w:unhideWhenUsed/>
    <w:qFormat/>
    <w:pPr>
      <w:keepLines/>
      <w:keepNext/>
      <w:spacing w:before="32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683">
    <w:name w:val="Heading 4"/>
    <w:basedOn w:val="679"/>
    <w:next w:val="679"/>
    <w:link w:val="695"/>
    <w:uiPriority w:val="9"/>
    <w:unhideWhenUsed/>
    <w:qFormat/>
    <w:pPr>
      <w:keepLines/>
      <w:keepNext/>
      <w:spacing w:before="32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4">
    <w:name w:val="Heading 5"/>
    <w:basedOn w:val="679"/>
    <w:next w:val="679"/>
    <w:link w:val="696"/>
    <w:uiPriority w:val="9"/>
    <w:unhideWhenUsed/>
    <w:qFormat/>
    <w:pPr>
      <w:keepLines/>
      <w:keepNext/>
      <w:spacing w:before="32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5">
    <w:name w:val="Heading 6"/>
    <w:basedOn w:val="679"/>
    <w:next w:val="679"/>
    <w:link w:val="697"/>
    <w:uiPriority w:val="9"/>
    <w:unhideWhenUsed/>
    <w:qFormat/>
    <w:pPr>
      <w:keepLines/>
      <w:keepNext/>
      <w:spacing w:before="320"/>
      <w:outlineLvl w:val="5"/>
    </w:pPr>
    <w:rPr>
      <w:rFonts w:ascii="Liberation Sans" w:hAnsi="Liberation Sans" w:eastAsia="Liberation Sans" w:cs="Liberation Sans"/>
      <w:b/>
      <w:bCs/>
    </w:rPr>
  </w:style>
  <w:style w:type="paragraph" w:styleId="686">
    <w:name w:val="Heading 7"/>
    <w:basedOn w:val="679"/>
    <w:next w:val="679"/>
    <w:link w:val="698"/>
    <w:uiPriority w:val="9"/>
    <w:unhideWhenUsed/>
    <w:qFormat/>
    <w:pPr>
      <w:keepLines/>
      <w:keepNext/>
      <w:spacing w:before="32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87">
    <w:name w:val="Heading 8"/>
    <w:basedOn w:val="679"/>
    <w:next w:val="679"/>
    <w:link w:val="699"/>
    <w:uiPriority w:val="9"/>
    <w:unhideWhenUsed/>
    <w:qFormat/>
    <w:pPr>
      <w:keepLines/>
      <w:keepNext/>
      <w:spacing w:before="32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88">
    <w:name w:val="Heading 9"/>
    <w:basedOn w:val="679"/>
    <w:next w:val="679"/>
    <w:link w:val="700"/>
    <w:uiPriority w:val="9"/>
    <w:unhideWhenUsed/>
    <w:qFormat/>
    <w:pPr>
      <w:keepLines/>
      <w:keepNext/>
      <w:spacing w:before="32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Заголовок 1 Знак"/>
    <w:link w:val="680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3" w:customStyle="1">
    <w:name w:val="Заголовок 2 Знак"/>
    <w:link w:val="681"/>
    <w:uiPriority w:val="9"/>
    <w:rPr>
      <w:rFonts w:ascii="Liberation Sans" w:hAnsi="Liberation Sans" w:eastAsia="Liberation Sans" w:cs="Liberation Sans"/>
      <w:sz w:val="34"/>
    </w:rPr>
  </w:style>
  <w:style w:type="character" w:styleId="694" w:customStyle="1">
    <w:name w:val="Заголовок 3 Знак"/>
    <w:link w:val="682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5" w:customStyle="1">
    <w:name w:val="Заголовок 4 Знак"/>
    <w:link w:val="68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6" w:customStyle="1">
    <w:name w:val="Заголовок 5 Знак"/>
    <w:link w:val="68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7" w:customStyle="1">
    <w:name w:val="Заголовок 6 Знак"/>
    <w:link w:val="68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8" w:customStyle="1">
    <w:name w:val="Заголовок 7 Знак"/>
    <w:link w:val="68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9" w:customStyle="1">
    <w:name w:val="Заголовок 8 Знак"/>
    <w:link w:val="68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0" w:customStyle="1">
    <w:name w:val="Заголовок 9 Знак"/>
    <w:link w:val="68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1">
    <w:name w:val="Title"/>
    <w:basedOn w:val="679"/>
    <w:next w:val="679"/>
    <w:link w:val="702"/>
    <w:uiPriority w:val="10"/>
    <w:qFormat/>
    <w:pPr>
      <w:contextualSpacing/>
      <w:spacing w:before="300"/>
    </w:pPr>
    <w:rPr>
      <w:sz w:val="48"/>
      <w:szCs w:val="48"/>
    </w:rPr>
  </w:style>
  <w:style w:type="character" w:styleId="702" w:customStyle="1">
    <w:name w:val="Заголовок Знак"/>
    <w:link w:val="701"/>
    <w:uiPriority w:val="10"/>
    <w:rPr>
      <w:sz w:val="48"/>
      <w:szCs w:val="48"/>
    </w:rPr>
  </w:style>
  <w:style w:type="paragraph" w:styleId="703">
    <w:name w:val="Subtitle"/>
    <w:basedOn w:val="679"/>
    <w:next w:val="679"/>
    <w:link w:val="704"/>
    <w:uiPriority w:val="11"/>
    <w:qFormat/>
    <w:pPr>
      <w:spacing w:before="200"/>
    </w:pPr>
    <w:rPr>
      <w:sz w:val="24"/>
      <w:szCs w:val="24"/>
    </w:rPr>
  </w:style>
  <w:style w:type="character" w:styleId="704" w:customStyle="1">
    <w:name w:val="Подзаголовок Знак"/>
    <w:link w:val="703"/>
    <w:uiPriority w:val="11"/>
    <w:rPr>
      <w:sz w:val="24"/>
      <w:szCs w:val="24"/>
    </w:rPr>
  </w:style>
  <w:style w:type="paragraph" w:styleId="705">
    <w:name w:val="Quote"/>
    <w:basedOn w:val="679"/>
    <w:next w:val="679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basedOn w:val="679"/>
    <w:next w:val="679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paragraph" w:styleId="709">
    <w:name w:val="Header"/>
    <w:basedOn w:val="679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 w:customStyle="1">
    <w:name w:val="Верхний колонтитул Знак"/>
    <w:link w:val="709"/>
    <w:uiPriority w:val="99"/>
  </w:style>
  <w:style w:type="paragraph" w:styleId="711">
    <w:name w:val="Footer"/>
    <w:basedOn w:val="679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 w:customStyle="1">
    <w:name w:val="Нижний колонтитул Знак"/>
    <w:link w:val="711"/>
    <w:uiPriority w:val="99"/>
  </w:style>
  <w:style w:type="paragraph" w:styleId="713">
    <w:name w:val="Caption"/>
    <w:basedOn w:val="679"/>
    <w:next w:val="679"/>
    <w:link w:val="714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14" w:customStyle="1">
    <w:name w:val="Название объекта Знак"/>
    <w:link w:val="713"/>
    <w:uiPriority w:val="35"/>
    <w:rPr>
      <w:b/>
      <w:bCs/>
      <w:color w:val="5b9bd5" w:themeColor="accent1"/>
      <w:sz w:val="18"/>
      <w:szCs w:val="18"/>
    </w:rPr>
  </w:style>
  <w:style w:type="table" w:styleId="715">
    <w:name w:val="Table Grid"/>
    <w:basedOn w:val="69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6" w:customStyle="1">
    <w:name w:val="Table Grid Light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7">
    <w:name w:val="Plain Table 1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8">
    <w:name w:val="Plain Table 2"/>
    <w:basedOn w:val="69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9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 w:customStyle="1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5" w:customStyle="1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6" w:customStyle="1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7" w:customStyle="1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8" w:customStyle="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9" w:customStyle="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0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7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8" w:customStyle="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9" w:customStyle="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0" w:customStyle="1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1" w:customStyle="1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2" w:customStyle="1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3" w:customStyle="1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4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rFonts w:ascii="Liberation Sans" w:hAnsi="Liberation Sans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0" w:customStyle="1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1" w:customStyle="1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2" w:customStyle="1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3" w:customStyle="1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4" w:customStyle="1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5" w:customStyle="1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6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7" w:customStyle="1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8" w:customStyle="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9" w:customStyle="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0" w:customStyle="1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1" w:customStyle="1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2" w:customStyle="1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3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rFonts w:ascii="Liberation Sans" w:hAnsi="Liberation Sans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2" w:customStyle="1">
    <w:name w:val="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6" w:customStyle="1">
    <w:name w:val="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 &amp; 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Bordered &amp; 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9" w:customStyle="1">
    <w:name w:val="Bordered &amp; 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0" w:customStyle="1">
    <w:name w:val="Bordered &amp; 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1" w:customStyle="1">
    <w:name w:val="Bordered &amp; 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2" w:customStyle="1">
    <w:name w:val="Bordered &amp; 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3" w:customStyle="1">
    <w:name w:val="Bordered &amp; 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4" w:customStyle="1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5" w:customStyle="1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6" w:customStyle="1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7" w:customStyle="1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8" w:customStyle="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9" w:customStyle="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0" w:customStyle="1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563c1" w:themeColor="hyperlink"/>
      <w:u w:val="single"/>
    </w:rPr>
  </w:style>
  <w:style w:type="paragraph" w:styleId="842">
    <w:name w:val="footnote text"/>
    <w:basedOn w:val="67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67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679"/>
    <w:next w:val="679"/>
    <w:uiPriority w:val="39"/>
    <w:unhideWhenUsed/>
    <w:pPr>
      <w:spacing w:after="57"/>
    </w:pPr>
  </w:style>
  <w:style w:type="paragraph" w:styleId="849">
    <w:name w:val="toc 2"/>
    <w:basedOn w:val="679"/>
    <w:next w:val="679"/>
    <w:uiPriority w:val="39"/>
    <w:unhideWhenUsed/>
    <w:pPr>
      <w:ind w:left="283"/>
      <w:spacing w:after="57"/>
    </w:pPr>
  </w:style>
  <w:style w:type="paragraph" w:styleId="850">
    <w:name w:val="toc 3"/>
    <w:basedOn w:val="679"/>
    <w:next w:val="679"/>
    <w:uiPriority w:val="39"/>
    <w:unhideWhenUsed/>
    <w:pPr>
      <w:ind w:left="567"/>
      <w:spacing w:after="57"/>
    </w:pPr>
  </w:style>
  <w:style w:type="paragraph" w:styleId="851">
    <w:name w:val="toc 4"/>
    <w:basedOn w:val="679"/>
    <w:next w:val="679"/>
    <w:uiPriority w:val="39"/>
    <w:unhideWhenUsed/>
    <w:pPr>
      <w:ind w:left="850"/>
      <w:spacing w:after="57"/>
    </w:pPr>
  </w:style>
  <w:style w:type="paragraph" w:styleId="852">
    <w:name w:val="toc 5"/>
    <w:basedOn w:val="679"/>
    <w:next w:val="679"/>
    <w:uiPriority w:val="39"/>
    <w:unhideWhenUsed/>
    <w:pPr>
      <w:ind w:left="1134"/>
      <w:spacing w:after="57"/>
    </w:pPr>
  </w:style>
  <w:style w:type="paragraph" w:styleId="853">
    <w:name w:val="toc 6"/>
    <w:basedOn w:val="679"/>
    <w:next w:val="679"/>
    <w:uiPriority w:val="39"/>
    <w:unhideWhenUsed/>
    <w:pPr>
      <w:ind w:left="1417"/>
      <w:spacing w:after="57"/>
    </w:pPr>
  </w:style>
  <w:style w:type="paragraph" w:styleId="854">
    <w:name w:val="toc 7"/>
    <w:basedOn w:val="679"/>
    <w:next w:val="679"/>
    <w:uiPriority w:val="39"/>
    <w:unhideWhenUsed/>
    <w:pPr>
      <w:ind w:left="1701"/>
      <w:spacing w:after="57"/>
    </w:pPr>
  </w:style>
  <w:style w:type="paragraph" w:styleId="855">
    <w:name w:val="toc 8"/>
    <w:basedOn w:val="679"/>
    <w:next w:val="679"/>
    <w:uiPriority w:val="39"/>
    <w:unhideWhenUsed/>
    <w:pPr>
      <w:ind w:left="1984"/>
      <w:spacing w:after="57"/>
    </w:pPr>
  </w:style>
  <w:style w:type="paragraph" w:styleId="856">
    <w:name w:val="toc 9"/>
    <w:basedOn w:val="679"/>
    <w:next w:val="679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679"/>
    <w:next w:val="679"/>
    <w:uiPriority w:val="99"/>
    <w:unhideWhenUsed/>
    <w:pPr>
      <w:spacing w:after="0"/>
    </w:pPr>
  </w:style>
  <w:style w:type="paragraph" w:styleId="859">
    <w:name w:val="No Spacing"/>
    <w:basedOn w:val="679"/>
    <w:uiPriority w:val="1"/>
    <w:qFormat/>
    <w:pPr>
      <w:spacing w:after="0" w:line="240" w:lineRule="auto"/>
    </w:pPr>
  </w:style>
  <w:style w:type="paragraph" w:styleId="860">
    <w:name w:val="List Paragraph"/>
    <w:basedOn w:val="67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8</cp:revision>
  <dcterms:created xsi:type="dcterms:W3CDTF">2026-06-17T09:29:00Z</dcterms:created>
  <dcterms:modified xsi:type="dcterms:W3CDTF">2026-06-17T10:04:04Z</dcterms:modified>
</cp:coreProperties>
</file>