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620963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</w:p>
    <w:p>
      <w:pPr>
        <w:ind w:left="0" w:right="0" w:firstLine="0"/>
        <w:rPr>
          <w:rFonts w:ascii="PT Astra Serif" w:hAnsi="PT Astra Serif" w:cs="PT Astra Serif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С 1 июля 2026 года в ЕГРН начнут вносить границы сельхозугодий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rPr>
          <w:rFonts w:ascii="PT Astra Serif" w:hAnsi="PT Astra Serif" w:cs="PT Astra Serif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С 1 июля 2026 года в Единый государственный реестр недвижимости (ЕГРН) начнут вносить сведения о границах сельскохозяйственных угодий в составе земель сельхозназначения.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Это важное изменение предусмотрено Федеральным законом № 478-ФЗ от 15.12.2025 и направлено на защиту ценных земель нашего региона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left="0" w:right="0" w:firstLine="0"/>
        <w:rPr>
          <w:rFonts w:ascii="PT Astra Serif" w:hAnsi="PT Astra Serif" w:cs="PT Astra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Что относится к сельскохозяйственным угодьям?</w:t>
        <w:br/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В соответствии с Земельным кодексом РФ, это пашни, сенокосы, пастбища, земли под многолетними насаждениями (сады, виноградники и другие). Это особо ценные земли, которые имеют приоритет в использовании и подлежат охране. Их перевод в другие категории возмо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жен лишь в исключительных случаях, а действия, ведущие к порче плодородного слоя, запрещены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left="0" w:right="0" w:firstLine="0"/>
        <w:rPr>
          <w:rFonts w:ascii="PT Astra Serif" w:hAnsi="PT Astra Serif" w:cs="PT Astra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Зачем нужна фиксация границ?</w:t>
        <w:br/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Внесение точных границ в ЕГРН создаёт прозрачность при сделках, защищает земли от нерационального использования и снижает риск земельных споров. Порядок установления границ определён Минсельхозом РФ, а полный объём работ должен быть завершён до </w:t>
      </w: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1 января 2028 года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(Постановление Правительства РФ № 1943 от 28.11.2025).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left="0" w:right="0" w:firstLine="0"/>
        <w:rPr>
          <w:rFonts w:ascii="PT Astra Serif" w:hAnsi="PT Astra Serif" w:cs="PT Astra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Комментарий руководителя Управления Росреестра по Ямало-Ненецкому автономному округу Михаила Кириллова: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left="0" w:right="0" w:firstLine="0"/>
        <w:rPr>
          <w:rFonts w:ascii="PT Astra Serif" w:hAnsi="PT Astra Serif" w:cs="PT Astra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/>
          <w:color w:val="000000"/>
          <w:sz w:val="24"/>
          <w:szCs w:val="24"/>
        </w:rPr>
        <w:t xml:space="preserve">«Новая норма — это не ограничение для собственников, а, наоборот, чёткий правовой ориентир как в документах, так и на местности. Она минимизирует споры, повышает прозрачность сделок и защищает ценные угодья от нерационального использования. Мы со своей сто</w:t>
      </w:r>
      <w:r>
        <w:rPr>
          <w:rFonts w:ascii="PT Astra Serif" w:hAnsi="PT Astra Serif" w:eastAsia="PT Astra Serif" w:cs="PT Astra Serif"/>
          <w:i/>
          <w:color w:val="000000"/>
          <w:sz w:val="24"/>
          <w:szCs w:val="24"/>
        </w:rPr>
        <w:t xml:space="preserve">роны обеспечим качественное внесение всех сведений в ЕГРН в установленные сроки»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ind w:left="0" w:right="0" w:firstLine="0"/>
        <w:rPr>
          <w:rFonts w:ascii="PT Astra Serif" w:hAnsi="PT Astra Serif" w:cs="PT Astra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  <w:szCs w:val="24"/>
        </w:rPr>
        <w:t xml:space="preserve">Наша задача — сделать взаимодействие с Росреестром максимально комфортным для каждого жителя округа.</w:t>
      </w:r>
      <w:r>
        <w:rPr>
          <w:rFonts w:ascii="PT Astra Serif" w:hAnsi="PT Astra Serif" w:eastAsia="PT Astra Serif" w:cs="PT Astra Serif"/>
          <w:color w:val="000000"/>
          <w:sz w:val="24"/>
          <w:szCs w:val="24"/>
        </w:rPr>
        <w:t xml:space="preserve"> Следите за новостями и обращайтесь за консультациями в установленном порядке!</w:t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2026-06-23T12:12:31Z</dcterms:modified>
</cp:coreProperties>
</file>