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auto"/>
          <w:highlight w:val="none"/>
        </w:rPr>
      </w:pPr>
      <w:r>
        <w:rPr>
          <w:highlight w:val="none"/>
        </w:rPr>
        <w:t xml:space="preserve">                 </w:t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7429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8539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762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.25pt;height:58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auto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955" cy="763143"/>
                <wp:effectExtent l="0" t="0" r="0" b="0"/>
                <wp:docPr id="2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5955" cy="76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65pt;height:60.0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r>
          </w:p>
          <w:p>
            <w:pPr>
              <w:pStyle w:val="873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</w:p>
        </w:tc>
      </w:tr>
    </w:tbl>
    <w:p>
      <w:pPr>
        <w:pStyle w:val="873"/>
        <w:jc w:val="center"/>
        <w:widowControl w:val="off"/>
        <w:rPr>
          <w:rFonts w:ascii="Liberation Sans" w:hAnsi="Liberation Sans" w:cs="Liberation Sans"/>
          <w:b/>
          <w:bCs/>
          <w:color w:val="auto"/>
          <w:sz w:val="20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highlight w:val="none"/>
        </w:rPr>
      </w:r>
    </w:p>
    <w:p>
      <w:pPr>
        <w:pStyle w:val="873"/>
        <w:jc w:val="center"/>
        <w:widowControl w:val="off"/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36"/>
          <w:szCs w:val="36"/>
          <w:highlight w:val="none"/>
        </w:rPr>
        <w:t xml:space="preserve">РЕШЕНИЕ № 79</w:t>
      </w:r>
      <w:r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r>
    </w:p>
    <w:p>
      <w:pPr>
        <w:pStyle w:val="869"/>
        <w:widowControl w:val="off"/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r>
    </w:p>
    <w:p>
      <w:pPr>
        <w:pStyle w:val="873"/>
        <w:widowControl w:val="off"/>
        <w:rPr>
          <w:rFonts w:ascii="Liberation Sans" w:hAnsi="Liberation Sans" w:cs="Liberation Sans"/>
          <w:b/>
          <w:bCs/>
          <w:color w:val="auto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18.06.2026                                         </w:t>
      </w: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  <w:color w:val="auto"/>
          <w:highlight w:val="none"/>
        </w:rPr>
        <w:t xml:space="preserve">                    </w:t>
      </w:r>
      <w:r>
        <w:rPr>
          <w:rFonts w:ascii="Liberation Sans" w:hAnsi="Liberation Sans" w:cs="Liberation Sans"/>
          <w:b/>
          <w:bCs/>
          <w:color w:val="auto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highlight w:val="none"/>
        </w:rPr>
      </w:r>
    </w:p>
    <w:p>
      <w:pPr>
        <w:pStyle w:val="719"/>
        <w:jc w:val="center"/>
        <w:widowControl w:val="off"/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/>
          <w:color w:val="auto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  <w:shd w:val="clear" w:color="auto" w:fill="ffffff"/>
        </w:rPr>
        <w:t xml:space="preserve">О внесении изменений в решение Думы города Новый Уренгой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none"/>
          <w:shd w:val="clear" w:color="auto" w:fill="ffffff"/>
        </w:rPr>
        <w:t xml:space="preserve">от 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none"/>
          <w:shd w:val="clear" w:color="auto" w:fill="ffffff"/>
        </w:rPr>
        <w:t xml:space="preserve">27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none"/>
          <w:shd w:val="clear" w:color="auto" w:fill="ffffff"/>
        </w:rPr>
        <w:t xml:space="preserve">.11.2025 № 20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С целью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приведения перечня льготной категории обучающихся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 соответствие с единым региональным стандартом оказания услуги по обеспечению горячим питанием обучающихся государственных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 муниц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ипальных общеобразовательных организаций, расположенных на территории Ямало-Ненецкого автономного округа, в том числе получающих начальное общее образование, утвержденным распоряжением Правительства Ямало-Ненецкого автономного округа от 10.01.2022 № 1-РП,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соответствии со </w:t>
      </w:r>
      <w:hyperlink r:id="rId12" w:tooltip="https://internet.garant.ru/document/redirect/12112604/741" w:history="1"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  <w:t xml:space="preserve">статьей 74.1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 Бюджетного кодекса Российской Федерации, </w:t>
      </w:r>
      <w:hyperlink r:id="rId13" w:tooltip="https://internet.garant.ru/document/redirect/411718599/0" w:history="1"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  <w:t xml:space="preserve">Федеральным законом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ородского округа город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Дума 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</w:r>
    </w:p>
    <w:p>
      <w:pPr>
        <w:pStyle w:val="710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u w:val="none"/>
        </w:rPr>
      </w:r>
    </w:p>
    <w:p>
      <w:pPr>
        <w:pStyle w:val="710"/>
        <w:ind w:firstLine="0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ШИЛА: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691"/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91"/>
        <w:ind w:left="0" w:right="0" w:firstLine="708"/>
        <w:jc w:val="both"/>
        <w:spacing w:before="0" w:beforeAutospacing="0" w:after="0" w:afterAutospacing="0"/>
        <w:rPr>
          <w:rFonts w:ascii="Liberation Sans" w:hAnsi="Liberation Sans" w:cs="Liberation Sans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Внести в Положение о социальной поддержке отдельных категорий граждан в городе Новый Уренгой, утвержденное р</w:t>
      </w:r>
      <w:hyperlink r:id="rId14" w:tooltip="https://internet.garant.ru/document/redirect/413163809/0" w:history="1"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  <w:t xml:space="preserve">ешением Думы города Новый Уренгой от 27.11.2025 № 20, </w:t>
        </w:r>
        <w:r>
          <w:rPr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</w:rPr>
          <w:t xml:space="preserve">следующие изменения</w:t>
        </w:r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</w:r>
    </w:p>
    <w:p>
      <w:pPr>
        <w:pStyle w:val="710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1.1. Признать утратившим силу а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бзац 6 подпункта 6.1.2 пун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кт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а 6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.1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10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1.2. Пункт 8.4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изложить в новой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«8.4. Меры социальной помощи для категорий детей, указанных в </w:t>
      </w:r>
      <w:hyperlink r:id="rId15" w:tooltip="https://internet.garant.ru/#/document/413163809/entry/6128" w:history="1">
        <w:r>
          <w:rPr>
            <w:rStyle w:val="851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абзацах 8 - 11 подпункта 6.1.2 пункта 6.1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hyperlink r:id="rId16" w:tooltip="https://internet.garant.ru/#/document/413163809/entry/6146" w:history="1">
        <w:r>
          <w:rPr>
            <w:rStyle w:val="851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абзацах 6 - 10 подпункта 6.1.4 пункта 6.1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hyperlink r:id="rId17" w:tooltip="https://internet.garant.ru/#/document/413163809/entry/716" w:history="1">
        <w:r>
          <w:rPr>
            <w:rStyle w:val="851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абзацах 6 - 10 пункта 7.1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hyperlink r:id="rId18" w:tooltip="https://internet.garant.ru/#/document/413163809/entry/73" w:history="1">
        <w:r>
          <w:rPr>
            <w:rStyle w:val="851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пункте 7.3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настоящего Положения, сохраняются в случае гибели (смерти) граждан, военнослужащих и сотрудников в ходе проведения специальной военной операции или в случае прекращения участия в специальной военной операции в связи с ранением и признанием его инвалидом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I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группы в порядке, установленном законодательством Российской Федерации».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Liberation Sans" w:hAnsi="Liberation Sans" w:cs="Liberation Sans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2. Разместить настоящее решение в </w:t>
      </w:r>
      <w:hyperlink r:id="rId19" w:tooltip="https://internet.garant.ru/document/redirect/27998025/604" w:history="1"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  <w:t xml:space="preserve">сетевом издании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 «Импульс Севера» и на </w:t>
      </w:r>
      <w:hyperlink r:id="rId20" w:tooltip="https://internet.garant.ru/document/redirect/27998025/228" w:history="1">
        <w:r>
          <w:rPr>
            <w:rStyle w:val="851"/>
            <w:rFonts w:ascii="Liberation Sans" w:hAnsi="Liberation Sans" w:eastAsia="Liberation Sans" w:cs="Liberation Sans"/>
            <w:color w:val="000000"/>
            <w:sz w:val="28"/>
            <w:szCs w:val="28"/>
            <w:highlight w:val="none"/>
            <w:u w:val="none"/>
          </w:rPr>
          <w:t xml:space="preserve">официальном сайте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 Думы города Новый Уренгой в сети Интернет.</w:t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after="0" w:line="240" w:lineRule="auto"/>
        <w:rPr>
          <w:rFonts w:ascii="Liberation Sans" w:hAnsi="Liberation Sans" w:cs="Liberation Sans"/>
          <w:color w:val="auto"/>
          <w:highlight w:val="none"/>
        </w:rPr>
      </w:pP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3. Решение вступает в силу со дня его опубликования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, кроме подпункта 1.1 пункта 1, который вступает в силу с 01.09.2026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u w:val="none"/>
        </w:rPr>
        <w:t xml:space="preserve">.</w:t>
      </w:r>
      <w:r>
        <w:rPr>
          <w:rFonts w:ascii="Liberation Sans" w:hAnsi="Liberation Sans" w:cs="Liberation Sans"/>
          <w:color w:val="ff0000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</w:p>
    <w:p>
      <w:pPr>
        <w:pStyle w:val="71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10"/>
        <w:ind w:left="0" w:right="0" w:firstLine="0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Глава города Новый Уренгой                                        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    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  </w:t>
      </w: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А.А. Колодин</w:t>
      </w:r>
      <w:r/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Председатель Думы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                  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П.М.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Шумова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5244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auto"/>
          <w:highlight w:val="none"/>
        </w:rPr>
      </w:pPr>
      <w:r>
        <w:rPr>
          <w:rFonts w:ascii="Liberation Sans" w:hAnsi="Liberation Sans" w:eastAsia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color w:val="auto"/>
          <w:highlight w:val="none"/>
        </w:rPr>
      </w:pP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</w:p>
    <w:p>
      <w:pPr>
        <w:pStyle w:val="71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contextualSpacing w:val="0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19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sz w:val="28"/>
      <w:szCs w:val="28"/>
      <w:lang w:val="ru-RU" w:eastAsia="ru-RU" w:bidi="ar-SA"/>
    </w:rPr>
  </w:style>
  <w:style w:type="character" w:styleId="870">
    <w:name w:val="Основной шрифт абзаца"/>
    <w:next w:val="870"/>
    <w:link w:val="869"/>
    <w:semiHidden/>
  </w:style>
  <w:style w:type="table" w:styleId="871">
    <w:name w:val="Обычная таблица"/>
    <w:next w:val="871"/>
    <w:link w:val="869"/>
    <w:semiHidden/>
    <w:tblPr/>
  </w:style>
  <w:style w:type="numbering" w:styleId="872">
    <w:name w:val="Нет списка"/>
    <w:next w:val="872"/>
    <w:link w:val="869"/>
    <w:semiHidden/>
  </w:style>
  <w:style w:type="paragraph" w:styleId="873">
    <w:name w:val="Верхний колонтитул"/>
    <w:basedOn w:val="869"/>
    <w:next w:val="873"/>
    <w:link w:val="878"/>
    <w:pPr>
      <w:tabs>
        <w:tab w:val="center" w:pos="4153" w:leader="none"/>
        <w:tab w:val="right" w:pos="8306" w:leader="none"/>
      </w:tabs>
    </w:pPr>
  </w:style>
  <w:style w:type="table" w:styleId="874">
    <w:name w:val="Сетка таблицы"/>
    <w:basedOn w:val="871"/>
    <w:next w:val="874"/>
    <w:link w:val="869"/>
    <w:tblPr/>
  </w:style>
  <w:style w:type="paragraph" w:styleId="875">
    <w:name w:val="ConsPlusNormal"/>
    <w:next w:val="875"/>
    <w:link w:val="86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6">
    <w:name w:val="ConsPlusTitle"/>
    <w:next w:val="876"/>
    <w:link w:val="869"/>
    <w:rPr>
      <w:b/>
      <w:bCs/>
      <w:sz w:val="24"/>
      <w:szCs w:val="24"/>
      <w:lang w:val="ru-RU" w:eastAsia="ru-RU" w:bidi="ar-SA"/>
    </w:rPr>
  </w:style>
  <w:style w:type="paragraph" w:styleId="877">
    <w:name w:val="Знак"/>
    <w:basedOn w:val="869"/>
    <w:next w:val="877"/>
    <w:link w:val="8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8">
    <w:name w:val="Верхний колонтитул Знак"/>
    <w:basedOn w:val="870"/>
    <w:next w:val="878"/>
    <w:link w:val="873"/>
    <w:rPr>
      <w:sz w:val="28"/>
      <w:szCs w:val="28"/>
      <w:lang w:val="ru-RU" w:eastAsia="ru-RU" w:bidi="ar-SA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paragraph" w:styleId="882" w:customStyle="1">
    <w:name w:val="Body Text Indent 2"/>
    <w:basedOn w:val="841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s://internet.garant.ru/document/redirect/12112604/741" TargetMode="External"/><Relationship Id="rId13" Type="http://schemas.openxmlformats.org/officeDocument/2006/relationships/hyperlink" Target="https://internet.garant.ru/document/redirect/411718599/0" TargetMode="External"/><Relationship Id="rId14" Type="http://schemas.openxmlformats.org/officeDocument/2006/relationships/hyperlink" Target="https://internet.garant.ru/document/redirect/413163809/0" TargetMode="External"/><Relationship Id="rId15" Type="http://schemas.openxmlformats.org/officeDocument/2006/relationships/hyperlink" Target="https://internet.garant.ru/#/document/413163809/entry/6128" TargetMode="External"/><Relationship Id="rId16" Type="http://schemas.openxmlformats.org/officeDocument/2006/relationships/hyperlink" Target="https://internet.garant.ru/#/document/413163809/entry/6146" TargetMode="External"/><Relationship Id="rId17" Type="http://schemas.openxmlformats.org/officeDocument/2006/relationships/hyperlink" Target="https://internet.garant.ru/#/document/413163809/entry/716" TargetMode="External"/><Relationship Id="rId18" Type="http://schemas.openxmlformats.org/officeDocument/2006/relationships/hyperlink" Target="https://internet.garant.ru/#/document/413163809/entry/73" TargetMode="External"/><Relationship Id="rId19" Type="http://schemas.openxmlformats.org/officeDocument/2006/relationships/hyperlink" Target="https://internet.garant.ru/document/redirect/27998025/604" TargetMode="External"/><Relationship Id="rId20" Type="http://schemas.openxmlformats.org/officeDocument/2006/relationships/hyperlink" Target="https://internet.garant.ru/document/redirect/27998025/2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409</cp:revision>
  <dcterms:created xsi:type="dcterms:W3CDTF">2008-11-10T06:13:00Z</dcterms:created>
  <dcterms:modified xsi:type="dcterms:W3CDTF">2026-06-17T08:42:53Z</dcterms:modified>
  <cp:version>786432</cp:version>
</cp:coreProperties>
</file>