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</w:p>
    <w:p>
      <w:pPr>
        <w:rPr>
          <w:rFonts w:ascii="Tinos" w:hAnsi="Tinos" w:eastAsia="Tinos" w:cs="Tinos"/>
          <w:b/>
          <w:bCs w:val="0"/>
          <w:i w:val="0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</w:rPr>
      </w:r>
      <w:r>
        <w:rPr>
          <w:rFonts w:ascii="Tinos" w:hAnsi="Tinos" w:eastAsia="Tinos" w:cs="Tinos"/>
          <w:b/>
          <w:bCs/>
          <w:i w:val="0"/>
          <w:iCs w:val="0"/>
          <w:color w:val="000000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687709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rotation:0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highlight w:val="none"/>
        </w:rPr>
      </w:r>
    </w:p>
    <w:p>
      <w:pPr>
        <w:rPr>
          <w:rFonts w:ascii="PT Astra Serif" w:hAnsi="PT Astra Serif" w:eastAsia="PT Astra Serif" w:cs="PT Astra Serif"/>
          <w:highlight w:val="none"/>
        </w:rPr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</w:p>
    <w:p>
      <w:pPr>
        <w:ind w:left="0" w:right="0" w:firstLine="0"/>
        <w:rPr>
          <w:rFonts w:ascii="Tinos" w:hAnsi="Tinos" w:eastAsia="Tinos" w:cs="Tinos"/>
          <w:b/>
          <w:bCs w:val="0"/>
          <w:i w:val="0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i w:val="0"/>
          <w:iCs w:val="0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b/>
          <w:bCs/>
          <w:i w:val="0"/>
          <w:iCs w:val="0"/>
          <w:color w:val="000000"/>
          <w:sz w:val="24"/>
          <w:szCs w:val="24"/>
          <w:highlight w:val="none"/>
        </w:rPr>
        <w:t xml:space="preserve">Права детей и родителей в сделках с недвижимостью</w:t>
      </w:r>
      <w:r>
        <w:rPr>
          <w:rFonts w:ascii="Tinos" w:hAnsi="Tinos" w:eastAsia="Tinos" w:cs="Tinos"/>
          <w:b/>
          <w:bCs w:val="0"/>
          <w:i w:val="0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b/>
          <w:bCs w:val="0"/>
          <w:i w:val="0"/>
          <w:color w:val="000000"/>
          <w:sz w:val="24"/>
          <w:szCs w:val="24"/>
          <w:highlight w:val="none"/>
        </w:rPr>
      </w:r>
    </w:p>
    <w:p>
      <w:pPr>
        <w:rPr>
          <w:rFonts w:ascii="PT Astra Serif" w:hAnsi="PT Astra Serif" w:eastAsia="PT Astra Serif" w:cs="PT Astra Serif"/>
          <w:highlight w:val="none"/>
        </w:rPr>
      </w:pPr>
      <w:r>
        <w:rPr>
          <w:rFonts w:ascii="Tinos" w:hAnsi="Tinos" w:eastAsia="Tinos" w:cs="Tinos"/>
          <w:b/>
          <w:bCs/>
          <w:i w:val="0"/>
          <w:iCs w:val="0"/>
          <w:color w:val="000000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</w:rPr>
        <w:t xml:space="preserve">Сделки с недвижимостью с участием несовершеннолетних всегда находятся под пристальным вниманием закона, а их проведение требует особой осторожности. Управление Росреестра по Ямало-Ненецкому автономному округу разъясняет ключевые правила, чтобы обезопасить вс</w:t>
      </w:r>
      <w:r>
        <w:rPr>
          <w:rFonts w:ascii="PT Astra Serif" w:hAnsi="PT Astra Serif" w:eastAsia="PT Astra Serif" w:cs="PT Astra Serif"/>
        </w:rPr>
        <w:t xml:space="preserve">ех участников: от родителей до самих несовершеннолетних.</w:t>
      </w:r>
      <w:r>
        <w:rPr>
          <w:rFonts w:ascii="PT Astra Serif" w:hAnsi="PT Astra Serif" w:eastAsia="PT Astra Serif" w:cs="PT Astra Serif"/>
        </w:rPr>
      </w:r>
      <w:r/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Права несовершеннолетних строго охраняются государством, и их участие в сделке напрямую зависит от возраста. По закону все несовершеннолетние делятся на две категории: несовершеннолетние от 14 до 18 лет и малолетние до 14 лет. Объем их полномочий принципиал</w:t>
      </w:r>
      <w:r>
        <w:rPr>
          <w:rFonts w:ascii="PT Astra Serif" w:hAnsi="PT Astra Serif" w:eastAsia="PT Astra Serif" w:cs="PT Astra Serif"/>
        </w:rPr>
        <w:t xml:space="preserve">ьно различается.</w:t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</w:rPr>
        <w:t xml:space="preserve">Категории и их правомочия</w:t>
      </w:r>
      <w:r>
        <w:rPr>
          <w:rFonts w:ascii="PT Astra Serif" w:hAnsi="PT Astra Serif" w:eastAsia="PT Astra Serif" w:cs="PT Astra Serif"/>
          <w:b/>
          <w:bCs/>
        </w:rPr>
      </w:r>
    </w:p>
    <w:p>
      <w:pPr>
        <w:pStyle w:val="622"/>
        <w:numPr>
          <w:ilvl w:val="0"/>
          <w:numId w:val="2"/>
        </w:num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От 14 до 18 лет: частично дееспособны, сделки ими совершаются самостоятельно, но с письменного согласия законных представителей, родителей, опекунов. Без него сделка может быть признан судом недействительной. Исключение — мелкие бытовые сделки. Важно, что</w:t>
      </w:r>
      <w:r>
        <w:rPr>
          <w:rFonts w:ascii="PT Astra Serif" w:hAnsi="PT Astra Serif" w:eastAsia="PT Astra Serif" w:cs="PT Astra Serif"/>
        </w:rPr>
        <w:t xml:space="preserve"> для отчуждения имущества несовершеннолетних этой группы все равно требуется разрешение органов опеки и попечительства.</w:t>
      </w:r>
      <w:r>
        <w:rPr>
          <w:rFonts w:ascii="PT Astra Serif" w:hAnsi="PT Astra Serif" w:eastAsia="PT Astra Serif" w:cs="PT Astra Serif"/>
        </w:rPr>
      </w:r>
    </w:p>
    <w:p>
      <w:pPr>
        <w:pStyle w:val="622"/>
        <w:numPr>
          <w:ilvl w:val="0"/>
          <w:numId w:val="2"/>
        </w:num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До 14 лет (малолетние): полностью не дееспособны. Сделки от их имени совершают представители, родители, опекуны. Самостоятельно совершать сделки такие несовершеннолетние не могут.</w:t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i/>
          <w:iCs/>
        </w:rPr>
        <w:t xml:space="preserve">«При совершении сделок с недвижимостью несовершеннолетние являются наиболее уязвимой категорией населения. Важно знать, что права несовершеннолетних охраняются законом, поэтому при проведении сделок с недвижимостью, следует максимально обезопасить себя от р</w:t>
      </w:r>
      <w:r>
        <w:rPr>
          <w:rFonts w:ascii="PT Astra Serif" w:hAnsi="PT Astra Serif" w:eastAsia="PT Astra Serif" w:cs="PT Astra Serif"/>
          <w:i/>
          <w:iCs/>
        </w:rPr>
        <w:t xml:space="preserve">исков и тщательно проверять все документы»</w:t>
      </w:r>
      <w:r>
        <w:rPr>
          <w:rFonts w:ascii="PT Astra Serif" w:hAnsi="PT Astra Serif" w:eastAsia="PT Astra Serif" w:cs="PT Astra Serif"/>
        </w:rPr>
        <w:t xml:space="preserve">, — отметил </w:t>
      </w:r>
      <w:r>
        <w:rPr>
          <w:rFonts w:ascii="PT Astra Serif" w:hAnsi="PT Astra Serif" w:eastAsia="PT Astra Serif" w:cs="PT Astra Serif"/>
          <w:b/>
          <w:bCs/>
        </w:rPr>
        <w:t xml:space="preserve">Руслан Насретдинов</w:t>
      </w:r>
      <w:r>
        <w:rPr>
          <w:rFonts w:ascii="PT Astra Serif" w:hAnsi="PT Astra Serif" w:eastAsia="PT Astra Serif" w:cs="PT Astra Serif"/>
        </w:rPr>
        <w:t xml:space="preserve">, юрист ведомства.</w:t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</w:rPr>
        <w:t xml:space="preserve"> Зачем нужно разрешение органов опеки?</w:t>
      </w:r>
      <w:r>
        <w:rPr>
          <w:rFonts w:ascii="PT Astra Serif" w:hAnsi="PT Astra Serif" w:eastAsia="PT Astra Serif" w:cs="PT Astra Serif"/>
          <w:b/>
          <w:bCs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Это ключевое условие. Родители не могут совершить сделки от имени несовершеннолетних. Имущество, принадлежащее несовершеннолетнему, — исключительно его собственность.</w:t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Орган опеки и попечительства выдает письменное предварительное разрешение на определенных условиях. Например, при отчуждении (продаже) имущества несовершеннолетнего  нужно взамен предоставить ему равноценное (по цене) или равнозначное (по площади) имущество</w:t>
      </w:r>
      <w:r>
        <w:rPr>
          <w:rFonts w:ascii="PT Astra Serif" w:hAnsi="PT Astra Serif" w:eastAsia="PT Astra Serif" w:cs="PT Astra Serif"/>
        </w:rPr>
        <w:t xml:space="preserve">  (Отследить это обязанность органа опеки и попечительства, а исполняют эту обязанность как правило уже после регистрации перехода права собственности в течении от 3 до 6 месяцев).</w:t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i/>
          <w:iCs/>
        </w:rPr>
        <w:t xml:space="preserve">«Если среди собственников есть несовершеннолетние, без разрешения органов опеки и попечительства сделка будет признана незаконной», </w:t>
      </w:r>
      <w:r>
        <w:rPr>
          <w:rFonts w:ascii="PT Astra Serif" w:hAnsi="PT Astra Serif" w:eastAsia="PT Astra Serif" w:cs="PT Astra Serif"/>
        </w:rPr>
        <w:t xml:space="preserve">— поясняет </w:t>
      </w:r>
      <w:r>
        <w:rPr>
          <w:rFonts w:ascii="PT Astra Serif" w:hAnsi="PT Astra Serif" w:eastAsia="PT Astra Serif" w:cs="PT Astra Serif"/>
          <w:b/>
          <w:bCs/>
        </w:rPr>
        <w:t xml:space="preserve">Марина Савельева</w:t>
      </w:r>
      <w:r>
        <w:rPr>
          <w:rFonts w:ascii="PT Astra Serif" w:hAnsi="PT Astra Serif" w:eastAsia="PT Astra Serif" w:cs="PT Astra Serif"/>
        </w:rPr>
        <w:t xml:space="preserve">, заместитель руководителя Управления Росреестра по ЯНАО.</w:t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</w:rPr>
        <w:t xml:space="preserve">Нотариус — обязательный участник</w:t>
      </w:r>
      <w:r>
        <w:rPr>
          <w:rFonts w:ascii="PT Astra Serif" w:hAnsi="PT Astra Serif" w:eastAsia="PT Astra Serif" w:cs="PT Astra Serif"/>
          <w:b/>
          <w:bCs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Все сделки по отчуждению недвижимости (продажа, дарение, мена, аренда, изъятие, залог), где собственником является несовершеннолетний или он участвует в общей долевой собственности, подлежат обязательному нотариальному удостоверению. Не соблюдение данной фо</w:t>
      </w:r>
      <w:r>
        <w:rPr>
          <w:rFonts w:ascii="PT Astra Serif" w:hAnsi="PT Astra Serif" w:eastAsia="PT Astra Serif" w:cs="PT Astra Serif"/>
        </w:rPr>
        <w:t xml:space="preserve">рмы, делает сделку ничтожной (недействительной).</w:t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i/>
          <w:iCs/>
        </w:rPr>
        <w:t xml:space="preserve">«Нотариальное удостоверение — это не просто формальность, а гарантия юридической чистоты сделки. Начиная с 2016 года, любые сделки с недвижимостью,  принадлежащей несовершеннолетним, в обязательном порядке удостоверяются нотариусом. При этом хочу подчеркнут</w:t>
      </w:r>
      <w:r>
        <w:rPr>
          <w:rFonts w:ascii="PT Astra Serif" w:hAnsi="PT Astra Serif" w:eastAsia="PT Astra Serif" w:cs="PT Astra Serif"/>
          <w:i/>
          <w:iCs/>
        </w:rPr>
        <w:t xml:space="preserve">ь: при таких сделках к нотариальному тарифу применяется льгота, поэтому расходы для семьи не станут ощутимыми. Также обращу внимание на изменения в Законодательстве РФ с 2025 года: все договоры дарения недвижимого имущества между физическими лицами должны быть</w:t>
      </w:r>
      <w:r>
        <w:rPr>
          <w:rFonts w:ascii="PT Astra Serif" w:hAnsi="PT Astra Serif" w:eastAsia="PT Astra Serif" w:cs="PT Astra Serif"/>
          <w:i/>
          <w:iCs/>
        </w:rPr>
        <w:t xml:space="preserve"> удостоверены нотариально»</w:t>
      </w:r>
      <w:r>
        <w:rPr>
          <w:rFonts w:ascii="PT Astra Serif" w:hAnsi="PT Astra Serif" w:eastAsia="PT Astra Serif" w:cs="PT Astra Serif"/>
        </w:rPr>
        <w:t xml:space="preserve">, — поясняет</w:t>
      </w:r>
      <w:r>
        <w:rPr>
          <w:rFonts w:ascii="PT Astra Serif" w:hAnsi="PT Astra Serif" w:eastAsia="PT Astra Serif" w:cs="PT Astra Serif"/>
          <w:b/>
          <w:bCs/>
        </w:rPr>
        <w:t xml:space="preserve"> Анна Куракина</w:t>
      </w:r>
      <w:r>
        <w:rPr>
          <w:rFonts w:ascii="PT Astra Serif" w:hAnsi="PT Astra Serif" w:eastAsia="PT Astra Serif" w:cs="PT Astra Serif"/>
        </w:rPr>
        <w:t xml:space="preserve">, нотариус нотариального округа г. Салехард Ямало-Ненецкого автономного округа.</w:t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</w:rPr>
        <w:t xml:space="preserve">Как подать документы на регистрацию?</w:t>
      </w:r>
      <w:r>
        <w:rPr>
          <w:rFonts w:ascii="PT Astra Serif" w:hAnsi="PT Astra Serif" w:eastAsia="PT Astra Serif" w:cs="PT Astra Serif"/>
          <w:b/>
          <w:bCs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Подать заявление и пакет документов можно несколькими удобными способами:</w:t>
      </w:r>
      <w:r>
        <w:rPr>
          <w:rFonts w:ascii="PT Astra Serif" w:hAnsi="PT Astra Serif" w:eastAsia="PT Astra Serif" w:cs="PT Astra Serif"/>
        </w:rPr>
      </w:r>
    </w:p>
    <w:p>
      <w:pPr>
        <w:pStyle w:val="622"/>
        <w:numPr>
          <w:ilvl w:val="0"/>
          <w:numId w:val="1"/>
        </w:num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Лично в МФЦ (в любом удобном отделении).</w:t>
      </w:r>
      <w:r>
        <w:rPr>
          <w:rFonts w:ascii="PT Astra Serif" w:hAnsi="PT Astra Serif" w:eastAsia="PT Astra Serif" w:cs="PT Astra Serif"/>
        </w:rPr>
      </w:r>
    </w:p>
    <w:p>
      <w:pPr>
        <w:pStyle w:val="622"/>
        <w:numPr>
          <w:ilvl w:val="0"/>
          <w:numId w:val="1"/>
        </w:num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Дистанционно через портал «Госуслуги» или личный кабинет на сайте Росреестра (требуется усиленная квалифицированная электронная подпись).</w:t>
      </w:r>
      <w:r>
        <w:rPr>
          <w:rFonts w:ascii="PT Astra Serif" w:hAnsi="PT Astra Serif" w:eastAsia="PT Astra Serif" w:cs="PT Astra Serif"/>
        </w:rPr>
      </w:r>
    </w:p>
    <w:p>
      <w:pPr>
        <w:pStyle w:val="622"/>
        <w:numPr>
          <w:ilvl w:val="0"/>
          <w:numId w:val="1"/>
        </w:num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Через нотариуса: после удостоверения договора он направляет документы в электронном виде.</w:t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Помните: соблюдение этих простых, но обязательных правил — залог защиты имущественных прав несовершеннолетних и безопасности сделок для всех их участников.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PT Astra Serif">
    <w:panose1 w:val="020A0603040505020204"/>
  </w:font>
  <w:font w:name="Courier New">
    <w:panose1 w:val="02070409020205020404"/>
  </w:font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2026-06-17T07:01:22Z</dcterms:modified>
</cp:coreProperties>
</file>