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0549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Снес дом, а налог приходит? Рассказываем, как снять объект с учета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практике нередки случаи, когда постройка физически уже давно исчезла с земельного участка, но в Едином государственном реестре недвижимости (ЕГРН) она продолжает «числиться» как действующий объект. Это приводит к тому, что собственнику продолжают начисля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ть имущественный налог. Чтобы избежать этой ситуации, необходимо провести процедуру снятия объекта с государственного кадастрового учета.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 Росреестра по Ямало-Ненецкому автономному округу разъясняет алгоритм действий и перечень необходимых бумаг.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Кто может подать заявление?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Подать документы на снятие с учета вправе как сам собственник объекта, так и владелец земельного участка, на котором этот объект ранее располагался.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Куда обращаться и что брать с собой?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проведения процедуры заявителю достаточно посетить любой удобный офис Многофункционального центра (МФЦ). При себе необходимо иметь следующий пакет документов: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Заявление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 снятии с учета объекта недвижимости (с отметкой о прекращении права, если оно было оформлено).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Акт обследования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ключевой документ, подтверждающий факт физического уничтожения постройки. Его готовит кадастровый инженер после выезда на место.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Правоустанавливающие документы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объект (потребуются только в том случае, если ваше право на него ранее не было зарегистрировано в Росреестре).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Важный момент: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государственная пошлина за эту процедуру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не взимается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Снятие с учета и прекращение прав на ликвидированный объект проводится абсолютно бесплатно.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После того как специалисты Росреестра рассмотрят ваше заявление, вы получите выписку из ЕГРН. В ней в специальной графе «статус записи об объекте» будет отмечена дата и точное время, когда объект перестал числиться в реестре.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Начальник отдела государственной регистрации недвижимости Управления Росреестра по ЯНАО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Светлана Кожевина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подчеркнула важность своевременного решения этого вопроса: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«Затягивая с процедурой снятия разрушенных объектов, граждане добровольно берут на себя лишние финансовые обязательства по налогам. Кроме того, учтенные в реестре постройки могут стать серьезным препятствием при планировании нового строительства или прове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дении сделок с участком. Мы призываем северян не откладывать визит в МФЦ, если их старый дом уже прекратил свое существование».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2026-06-17T07:26:41Z</dcterms:modified>
</cp:coreProperties>
</file>