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1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8023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661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Запрет на действия c недвижимостью без личного участия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: защита недвижимости без хлопот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Жители Ямала всё чаще выбирают превентивную защиту своей недвижимости. Управление Росреестра по Ямало-Ненецкому автономному округу фиксирует взрывной рост популярности сервиса по «запрету на сделки без личного участия». Если за весь 2025 год жители округа подали 100 таких заявлений, то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только за первые три месяца 2026 года их количество составило уже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3684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рост почти в 37 раз.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Особенно показательно то, что ямальцы активно осваивают цифровые сервисы: из общего числа заявлений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2793 подано в электронном виде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через портал «Госуслуги» и приложение «Госключ». Это свидетельствует не только о стремлении защитить имущество, но и о растущей цифровой грамотности граждан.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Что дает эта услуга?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Собственник может подать заявление, после которого в Единый государственный реестр недвижимости (ЕГРН) вносится специальная запись. Пока она действует, никто не сможет продать, подарить или оформить ипотеку на квартиру или дом без личного присутствия хозяи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на. Даже наличие нотариальной доверенности у третьего лица не поможет — Росреестр вернет такие документы без рассмотрения.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Как подать заявление?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Процедура максимально проста и абсолютно бесплатна (госпошлина не взимается). Есть два варианта:</w:t>
      </w:r>
      <w:r/>
    </w:p>
    <w:p>
      <w:pPr>
        <w:pStyle w:val="837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Через интернет: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Портал «Госуслуг», раздел «Земля Дом», подраздел ГКУ и ГРП -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Запрет на действия c недвижимостью без личного участия.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Нужна подтвержденная учетная запись на «Госуслугах» и приложение «Госключ» для подписания заявления квалифицированной электронной подписью. </w:t>
      </w:r>
      <w:r>
        <w:t xml:space="preserve">Этот способ уже выбрали 2793 человека.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pStyle w:val="837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Классический способ: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Лично прийти в любой офис МФЦ с паспортом.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Срок внесения записи  — 5 рабочих дней, при электронной подаче - 3 рабочих дня.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Когда защита перестанет действовать?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Запись автоматически аннулируется, когда собственник сам лично придет совершать сделку (например, продаст квартиру), либо по его письменному заявлению об отзыве запрета, либо по решению суда.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Кому это особенно нужно?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Эта мера — спасение для тех, кто уехал жить в другой регион, но оставил квартиру на Ямале. Владельцам недвижимости больше не нужно бояться, что мошенники воспользуются старой доверенностью или поддельными документами.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Светлана Кожевина, начальник отдела государственной регистрации недвижимости Управления Росреестра по ЯНАО, прокомментировала: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Резкий скачок числа заявлений — с 100 до 3684 — говорит о том, что ямальцы стали намного ответственнее подходить к сохранности своего имущества. Люди поняли: проще поставить запрет за пять минут через смартфон, чем потом годами судиться с "черными риелтора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ми". И тот факт, что 2793 заявления поступили именно в электронном виде, доказывает: наши жители не только хотят защитить себя, но и успешно пользуются современными технологиями»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Тенденцию подчеркивают и в профессиональном нотариальном сообществе.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 В</w:t>
      </w:r>
      <w:r>
        <w:rPr>
          <w:rFonts w:ascii="Times New Roman" w:hAnsi="Times New Roman"/>
          <w:sz w:val="24"/>
          <w:szCs w:val="24"/>
          <w:highlight w:val="none"/>
        </w:rPr>
        <w:t xml:space="preserve">ице-президент Нотариальной палаты </w:t>
      </w:r>
      <w:r>
        <w:rPr>
          <w:rFonts w:ascii="Times New Roman" w:hAnsi="Times New Roman"/>
          <w:sz w:val="24"/>
          <w:szCs w:val="24"/>
          <w:highlight w:val="none"/>
        </w:rPr>
        <w:t xml:space="preserve">Ямало-Ненецкого автономного округа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Анна Куракина отмечает, что рост числа запретов — это правильная реакция граждан на современные реалии.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«Участившиеся случаи мошенничества с недвижимостью требуют от граждан активной позиции. Установление в ЕГРН запрета на сделки без личного участия — это самый доступный и эффективный способ обезопасить себя. Но важно помнить: если сделка все же планируется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через представителя, запрет лучше снять заранее личным обращением. Также всегда можно воспользоваться и альтернативным вариантом защиты — удостоверить сделку у нотариуса, который, в отличие от Росреестра, обязан провести правовую экспертизу документов на п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редмет их законности и дееспособности сторон прямо на месте»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— напоминает Анна Куракина.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Получить консультацию по порядку подачи заявлений можно по телефону Управления Росреестра по ЯНАО 8(34922) 4-42-81.</w:t>
      </w:r>
      <w:r/>
    </w:p>
    <w:p>
      <w:r/>
      <w:r/>
    </w:p>
    <w:p>
      <w:r/>
      <w:r/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Подготовлено пресс-службой Управления Росреестра по ЯНАО</w:t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2026-05-14T12:11:44Z</dcterms:modified>
</cp:coreProperties>
</file>