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jc w:val="center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object w:dxaOrig="4943" w:dyaOrig="5564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60pt;height:60.10pt;mso-wrap-distance-left:0.00pt;mso-wrap-distance-top:0.00pt;mso-wrap-distance-right:0.00pt;mso-wrap-distance-bottom:0.00pt;" filled="f" stroked="f">
            <v:path textboxrect="0,0,0,0"/>
            <v:imagedata r:id="rId14" o:title=""/>
          </v:shape>
          <o:OLEObject DrawAspect="Content" r:id="rId15" ObjectID="_1525040" ProgID="" ShapeID="_x0000_i0" Type="Embed"/>
        </w:objec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tbl>
      <w:tblPr>
        <w:tblW w:w="9354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4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widowControl w:val="off"/>
              <w:tabs>
                <w:tab w:val="clear" w:pos="4677" w:leader="none"/>
                <w:tab w:val="right" w:pos="9213" w:leader="none"/>
                <w:tab w:val="clear" w:pos="9355" w:leader="none"/>
              </w:tabs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</w:r>
          </w:p>
          <w:p>
            <w:pPr>
              <w:pStyle w:val="926"/>
              <w:jc w:val="center"/>
              <w:widowControl w:val="off"/>
              <w:tabs>
                <w:tab w:val="clear" w:pos="4677" w:leader="none"/>
                <w:tab w:val="right" w:pos="9213" w:leader="none"/>
                <w:tab w:val="clear" w:pos="9355" w:leader="none"/>
              </w:tabs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4" w:type="dxa"/>
            <w:vAlign w:val="top"/>
            <w:textDirection w:val="lrTb"/>
            <w:noWrap w:val="false"/>
          </w:tcPr>
          <w:p>
            <w:pPr>
              <w:pStyle w:val="926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r>
          </w:p>
        </w:tc>
      </w:tr>
    </w:tbl>
    <w:p>
      <w:pPr>
        <w:pStyle w:val="767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  <w:highlight w:val="white"/>
        </w:rPr>
      </w:pP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</w:p>
    <w:p>
      <w:pPr>
        <w:pStyle w:val="767"/>
        <w:jc w:val="center"/>
        <w:widowControl w:val="off"/>
        <w:tabs>
          <w:tab w:val="clear" w:pos="7143" w:leader="none"/>
          <w:tab w:val="clear" w:pos="14287" w:leader="none"/>
        </w:tabs>
        <w:rPr>
          <w:rFonts w:ascii="Liberation Sans" w:hAnsi="Liberation Sans" w:cs="Liberation Sans"/>
          <w:b/>
          <w:bCs/>
          <w:sz w:val="36"/>
          <w:szCs w:val="36"/>
          <w:highlight w:val="white"/>
        </w:rPr>
      </w:pP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  <w:t xml:space="preserve">РЕШЕНИЕ № 395</w:t>
      </w: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36"/>
          <w:highlight w:val="white"/>
        </w:rPr>
      </w:pP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</w:p>
    <w:p>
      <w:pPr>
        <w:pStyle w:val="767"/>
        <w:widowControl w:val="off"/>
        <w:rPr>
          <w:rFonts w:ascii="Liberation Sans" w:hAnsi="Liberation Sans" w:cs="Liberation Sans"/>
          <w:bCs/>
          <w:i/>
          <w:highlight w:val="white"/>
        </w:rPr>
      </w:pP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  <w:t xml:space="preserve">27.03.2025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 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      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                                                             г. Новый Уренгой</w:t>
      </w:r>
      <w:r>
        <w:rPr>
          <w:rFonts w:ascii="Liberation Sans" w:hAnsi="Liberation Sans" w:cs="Liberation Sans"/>
          <w:bCs/>
          <w:i/>
          <w:highlight w:val="white"/>
        </w:rPr>
      </w:r>
      <w:r>
        <w:rPr>
          <w:rFonts w:ascii="Liberation Sans" w:hAnsi="Liberation Sans" w:cs="Liberation Sans"/>
          <w:bCs/>
          <w:i/>
          <w:highlight w:val="white"/>
        </w:rPr>
      </w:r>
    </w:p>
    <w:p>
      <w:pPr>
        <w:pStyle w:val="767"/>
        <w:widowControl w:val="off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i/>
          <w:sz w:val="28"/>
          <w:szCs w:val="28"/>
          <w:highlight w:val="white"/>
        </w:rPr>
        <w:t xml:space="preserve"> 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4590"/>
        <w:gridCol w:w="57"/>
        <w:gridCol w:w="4778"/>
        <w:gridCol w:w="38"/>
      </w:tblGrid>
      <w:tr>
        <w:tblPrEx/>
        <w:trPr>
          <w:trHeight w:val="531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textDirection w:val="lrTb"/>
            <w:noWrap w:val="false"/>
          </w:tcPr>
          <w:p>
            <w:pPr>
              <w:ind w:firstLine="567"/>
              <w:jc w:val="center"/>
              <w:rPr>
                <w:rFonts w:ascii="Liberation Sans" w:hAnsi="Liberation Sans" w:cs="Liberation Sans"/>
                <w:b/>
                <w:bCs/>
                <w:strike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б утверждении Положения о порядке </w:t>
            </w:r>
            <w:r>
              <w:rPr>
                <w:rFonts w:ascii="Liberation Sans" w:hAnsi="Liberation Sans" w:eastAsia="Liberation Sans" w:cs="Liberation Sans"/>
                <w:b/>
                <w:bCs/>
                <w:sz w:val="28"/>
                <w:szCs w:val="28"/>
                <w:highlight w:val="none"/>
              </w:rPr>
              <w:t xml:space="preserve">назначения</w:t>
            </w: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br/>
              <w:t xml:space="preserve">и проведения публичных слушаний 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в 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гор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о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е</w:t>
            </w:r>
            <w:r>
              <w:rPr>
                <w:rFonts w:ascii="Liberation Sans" w:hAnsi="Liberation Sans" w:cs="Liberation Sans"/>
                <w:b/>
                <w:sz w:val="28"/>
                <w:szCs w:val="28"/>
                <w:highlight w:val="white"/>
              </w:rPr>
              <w:t xml:space="preserve"> Новый Уренгой </w:t>
            </w:r>
            <w:r>
              <w:rPr>
                <w:rFonts w:ascii="Liberation Sans" w:hAnsi="Liberation Sans" w:cs="Liberation Sans"/>
                <w:b/>
                <w:bCs/>
                <w:strike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trike/>
                <w:sz w:val="28"/>
                <w:szCs w:val="28"/>
                <w:highlight w:val="white"/>
              </w:rPr>
            </w:r>
          </w:p>
        </w:tc>
      </w:tr>
    </w:tbl>
    <w:p>
      <w:pPr>
        <w:pStyle w:val="767"/>
        <w:jc w:val="center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(в редакции решения Думы города Новый Уренгой от 26.02.2026 № 41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)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767"/>
        <w:jc w:val="center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767"/>
        <w:jc w:val="center"/>
        <w:widowControl w:val="off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соответствии с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Федеральн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ым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закон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ом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 20.03.2025 № 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-ФЗ «Об общих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принципах организации местного самоуправления </w:t>
        <w:br/>
        <w:t xml:space="preserve">в единой системе публичной власти»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Законом Ямало-Ненецкого автономного округа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24.12.2025 №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109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-ЗАО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регулировании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отдельных вопросов организации местного самоуправления в Ямало-Ненецком автономном округе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руководствуясь Уставом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городского округа 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 Новый Уренгой Ямало-Ненецкого автономного округа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Дума города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Новый Уренгой</w:t>
      </w:r>
      <w:r/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 Утвердить Положение о порядке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назначения</w:t>
      </w:r>
      <w:r/>
      <w:r>
        <w:rPr>
          <w:rFonts w:ascii="Liberation Sans" w:hAnsi="Liberation Sans" w:cs="Liberation Sans"/>
          <w:sz w:val="28"/>
          <w:szCs w:val="28"/>
          <w:highlight w:val="white"/>
        </w:rPr>
        <w:t xml:space="preserve"> и проведения публичных слушаний в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Новый Уренгой                                           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согласно приложению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к настоящему решению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Признать утратившими силу решения Городской Думы муниципального образования город Новый Уренгой: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– от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31.03.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20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2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№ 135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б утверждении Положения о порядке организации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и проведения публичных слушаний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в муниципальном образовании гор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д Новый Уренгой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 от 27.06.2024 № 317 «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 внесении изменений в решение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Городской Думы муниципального образования город Новый Уренгой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от 31.03.2022 № 135».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Разместить настоящее решение в сетевом издании «Импульс Севера»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Решение вступает в силу со дня его официального опубликования.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88"/>
        <w:gridCol w:w="1068"/>
        <w:gridCol w:w="1919"/>
      </w:tblGrid>
      <w:tr>
        <w:tblPrEx/>
        <w:trPr/>
        <w:tc>
          <w:tcPr>
            <w:tcW w:w="6388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068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91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  А.А. Колодин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388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Председатель Думы 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068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919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  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П.М. Шумова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</w:tbl>
    <w:p>
      <w:pPr>
        <w:pStyle w:val="923"/>
        <w:ind w:firstLine="0"/>
        <w:rPr>
          <w:rFonts w:ascii="Liberation Sans" w:hAnsi="Liberation Sans" w:cs="Liberation Sans"/>
          <w:highlight w:val="white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7" w:h="16840" w:orient="portrait"/>
          <w:pgMar w:top="963" w:right="851" w:bottom="709" w:left="1701" w:header="182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6236" w:right="0" w:firstLine="0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Приложение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6236" w:right="0" w:firstLine="0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6236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к решению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6236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6236" w:right="0" w:firstLine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от  27.03.2025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№ 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395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6236" w:right="0" w:firstLine="0"/>
        <w:jc w:val="left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(в редакции решения </w:t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6236" w:right="0" w:firstLine="0"/>
        <w:jc w:val="left"/>
        <w:widowControl w:val="off"/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Думы города Новый </w:t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6236" w:right="0" w:firstLine="0"/>
        <w:jc w:val="left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 w:val="24"/>
          <w:szCs w:val="24"/>
          <w:highlight w:val="none"/>
        </w:rPr>
        <w:t xml:space="preserve">Уренгой от 26.02.2026                    № 41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)</w:t>
      </w:r>
      <w:r/>
      <w:r/>
    </w:p>
    <w:p>
      <w:pPr>
        <w:ind w:left="6236" w:right="0" w:firstLine="0"/>
        <w:jc w:val="left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Положение о порядке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назначения</w:t>
      </w:r>
      <w:r/>
      <w:r>
        <w:rPr>
          <w:rFonts w:ascii="Liberation Sans" w:hAnsi="Liberation Sans" w:cs="Liberation Sans"/>
          <w:sz w:val="28"/>
          <w:szCs w:val="28"/>
          <w:highlight w:val="white"/>
        </w:rPr>
        <w:t xml:space="preserve"> и проведения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Новый Уренгой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trike/>
          <w:sz w:val="28"/>
          <w:szCs w:val="28"/>
          <w:highlight w:val="white"/>
        </w:rPr>
      </w:pP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 Общие положения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1.1. 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Настоящее Положение 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порядке назначения и проведения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публичных слушани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в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де Новый Уренгой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(далее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– Положение) разработано в соответствии с Конституцией Российской Федерации, Федеральным законом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 20.03.2025 № 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-ФЗ «Об общих принципах организации местного самоуправления в единой системе публичной власти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»,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Законом Ямало-Ненецкого автономного округа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24.12.2025 №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109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-ЗАО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регулировании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отдельных вопросов организации местного самоуправления в Ямало-Ненецком автономном округе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Уставом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городского округа 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 Новый Уренгой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Ямало-Ненецкого автономного округа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определяет порядок назначения и проведения публичных слушаний на территории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Новый Уренгой </w:t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направлен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на реализацию права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жителей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(д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  <w:u w:val="none"/>
        </w:rPr>
        <w:t xml:space="preserve">ал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  <w:u w:val="none"/>
        </w:rPr>
        <w:t xml:space="preserve">е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  <w:u w:val="none"/>
        </w:rPr>
        <w:t xml:space="preserve">е –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  <w:u w:val="none"/>
        </w:rPr>
        <w:t xml:space="preserve"> ж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ители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на осуществление местного самоуправления посредством участия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публичных слушаниях</w:t>
      </w:r>
      <w:r/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Действие настоящего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оложени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распространяется                          на порядок проведения публичных слушаний по вопросам регулирования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градостроительной деятельности.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1.2. Публичные слушания проводятся в очной форме,                         а в случаях, предусмотренных настоящим Положением, – в заочной форме.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Организационно-техническое и информационное обеспечение проведения публичных слушаний осуществляет Администрация города Новый Уренгой (далее – Администрация города).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4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Источником финансирования расходов на проведение публичных слушаний являются средства бюджета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если иное не установлено законодательством 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 Основные понятия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настоящем Положении используются следующие основные понятия: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2.1. 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Публичные слушания – форма участия жителей в осуществлении местного самоуправления путем обсуждения проектов муниципальных правовых актов по вопросам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/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Представитель общественности – физ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ическое лицо, а также орган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изации, ассоциации, группы или иные объединения,                            за исключением лиц, принимающих решение по вопросам публичных слушаний в силу служебных обязанностей, и лиц, представляющих органы государственной власти и местного самоуправления.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Организационный комитет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специально сформированный орган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местного самоуправления в целях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подготовки 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организации проведения публичных слушаний коллегиальный орган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4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Заключение о результатах публичных слушаний – рекомендации (предложения) для принятия решений органами местного самоуправления,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утвержденн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ые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анизационным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 Цели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задачи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проведения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Публичные слушания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проводятся в целях: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Обеспечения гласности и соблюдения интересов населения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 подготовке решений органами местного самоуправления по вопросам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непосредственного обеспечения жизнедеятельности насел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ия</w:t>
      </w:r>
      <w:r/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Информирования жителей и органов местного самоуправления о фактах и существующих мнениях по обсуждаемым вопросам.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3.1.3. 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Выявления общественного мнения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вопросам, выносимым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3.1.4. 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Подготовки предложений и рекомендаций для принятия решений органами местного самоуправления по вопросам, 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ыносимым на публичные слушания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3.1.5. 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Осуществления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взаимодействия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органов местного самоуправления с жителями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3.2. Задачами публичных слушаний являются: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3.2.1. Доведение до жителей полной и точной информации                  о проектах муниципальных правовых актов, выносимых на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3.2.2. Свободное и добровольное обсуждение жителями проектов муниципальных правовых актов, выносимых на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3.2.3. Оценка отношения жителей к рассматриваемым проектам муниципальных правовых актов,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выносимым на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3.2.4.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Признан утратившим силу.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 Вопросы, выносимые на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слушани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публичные слушания должны выноситься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.1.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Проект Устава городского округа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 Новый Уренгой Ямало-Ненецкого автономного округа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(далее – Устав)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а также проект муниципального правового акта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 внесении изменений и дополнений   в Устав, кроме случаев, когда в Устав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вносятся изменения в форме точного воспроизведения положений </w:t>
      </w:r>
      <w:hyperlink r:id="rId16" w:tooltip="consultantplus://offline/ref=9F988B74DC23806DE0FFB6A84E0885947C9AFD80502661D41B26A0G5t0F" w:history="1">
        <w:r>
          <w:rPr>
            <w:rFonts w:ascii="Liberation Sans" w:hAnsi="Liberation Sans" w:cs="Liberation Sans"/>
            <w:sz w:val="28"/>
            <w:szCs w:val="28"/>
            <w:highlight w:val="white"/>
          </w:rPr>
          <w:t xml:space="preserve">Конституции</w:t>
        </w:r>
      </w:hyperlink>
      <w:r>
        <w:rPr>
          <w:rFonts w:ascii="Liberation Sans" w:hAnsi="Liberation Sans" w:cs="Liberation Sans"/>
          <w:sz w:val="28"/>
          <w:szCs w:val="28"/>
          <w:highlight w:val="white"/>
        </w:rPr>
        <w:t xml:space="preserve"> Российской Федерации, федеральных законов, Устава (Основного закона)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Ямало-Ненецкого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автономного округа или законов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Ямало-Ненецкого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автономного округа в целях приведения Устава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соответствие                     с этими нормативными правовыми актами.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Проект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бюджета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отчет о его исполнении.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1.3. 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Вопросы о преобразовании муниципального образования</w:t>
      </w:r>
      <w:r/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Признан утратившим силу.</w:t>
      </w:r>
      <w:r/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4.2. 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 публичные слушания могут вы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носиться иные проекты муниципальных правовых актов в случаях, предусмотренных законодательством Российской Федерации, а также в случае выдвижения инициативы о проведении публичных слушаний                              в соответствии с настоящим Положением.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4.3. Допускается одновременное проведение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нескольким проектам муниципальных правовых актов, если это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не препятствует всестороннему и полному обсуждению каждого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проекта 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му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ниципального правового акта.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5. Инициат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ива проведения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5.1. 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инициативой проведения публичных слушаний могут выступать жители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Дума 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Глава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(далее – Глава города)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5.2. 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Инициаторами проведения публичн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ых слушаний от имени жителей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могут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выступать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5.2.1. Инициативная группа жителей в составе не менее трех человек, достигших возраста 18 лет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(далее – инициативная группа граждан).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5.2.2. 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Органы территориального общественного самоуправления.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cs="Liberation Sans"/>
          <w:sz w:val="28"/>
          <w:szCs w:val="28"/>
          <w:highlight w:val="white"/>
        </w:rPr>
      </w:r>
      <w:bookmarkEnd w:id="0"/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 Назначение публичных слушаний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Публичные слушания, проводимые по инициативе жителей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или Думы города Новый Уренгой, назначаются решением Думы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Публичные слушания, проводимые по инициативе Главы города, назначаются постановлением Администрации города.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решении (постановлении) о назначении публичных слушаний указываются:</w:t>
      </w:r>
      <w:r/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 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аименование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кта 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униципального правового акта (вопроса), выносимого на публичные слушания;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инициатор публичных 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лушаний;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дата, время начала  и окончания (в часах и минутах) и место проведения публичных слушаний в случае проведения публичных слушаний в очной форме;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временной период проведения публичных слушаний в заочной форме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способ ознакомления с вынесенным на обсуждение проектом муниципального правового акта,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том числе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посредством официального сайта Администрации города Новый Уренгой </w:t>
        <w:br/>
        <w:t xml:space="preserve">в информационно-телекоммуникационной сети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Интернет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(далее – официальный сайт Администрации города)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сетевого издания, предусмотренного пунктом 4 статьи 46 Устава городского округа город Новый Уренгой Ямало-Ненецкого автономного округа (далее – сетевое издание);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способ и 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роки представления жителями своих замечаний </w:t>
        <w:br/>
        <w:t xml:space="preserve">и предложений по вынесенному на обсуждение проекту муниципального правового акта, в том числе посредством официального сайта Администрации 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состав организационного комитета, включая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информацию о его местонахождении, номере телефона, адресе электронной почты</w:t>
      </w:r>
      <w:r/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/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состав организационного комитета на паритетных началах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численному составу должны быть включены: депутаты Думы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должностные лица Администрации города, представители общественности, интересы которых затрагиваются при принятии решения. В состав организационного комитета могут быть включены специалисты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для выполнения консультационных работ                    по обсу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ждаемым вопросам.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6.5.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Решение (постановление) о назначении публичных слушаний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должно быть принято Думой города Новый Уренгой или Главой города в течение 10 дней с момента поступления инициативы проведения публичных слушаний, предусмотренной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 пунктами 6.1, 6.2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настоящего Положения</w:t>
      </w:r>
      <w:r/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6.6.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шени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е 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(постановление)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 о н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азначении публичных слушан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ий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, а также проект мун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иципального правового акта, для обсужд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ения которого назначены публичные слушания, должны быть размещены</w:t>
      </w:r>
      <w:r>
        <w:rPr>
          <w:rFonts w:ascii="Liberation Sans" w:hAnsi="Liberation Sans" w:eastAsia="Liberation Serif" w:cs="Liberation Sans"/>
          <w:strike w:val="0"/>
          <w:sz w:val="28"/>
          <w:szCs w:val="28"/>
          <w:highlight w:val="white"/>
        </w:rPr>
        <w:t xml:space="preserve"> в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сетевом издании 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и на официальном сайте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</w:rPr>
        <w:t xml:space="preserve">не менее чем за 10 дней до проведения публичных слушаний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</w:rPr>
        <w:t xml:space="preserve">.</w:t>
      </w:r>
      <w:r/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trike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Одновременно с проектом Устава, проектом муницип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ального правового акта о внесении изменений и дополнений в Устав размещению подлежит установленный Думой города Новый Уренгой порядок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учета предложений по проекту Устава, проекту муниципального правового акта о внесении изменений и дополнений </w:t>
        <w:br/>
        <w:t xml:space="preserve">в Устав, а также порядок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участия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граждан 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публичных слушаниях, кроме случаев, когда в Устав вносятся изменения в форме точного воспроизведения положений </w:t>
      </w:r>
      <w:hyperlink r:id="rId17" w:tooltip="consultantplus://offline/ref=9F988B74DC23806DE0FFB6A84E0885947C9AFD80502661D41B26A0G5t0F" w:history="1">
        <w:r>
          <w:rPr>
            <w:rFonts w:ascii="Liberation Sans" w:hAnsi="Liberation Sans" w:cs="Liberation Sans"/>
            <w:sz w:val="28"/>
            <w:szCs w:val="28"/>
            <w:highlight w:val="white"/>
          </w:rPr>
          <w:t xml:space="preserve">Конституции</w:t>
        </w:r>
      </w:hyperlink>
      <w:r>
        <w:rPr>
          <w:rFonts w:ascii="Liberation Sans" w:hAnsi="Liberation Sans" w:cs="Liberation Sans"/>
          <w:sz w:val="28"/>
          <w:szCs w:val="28"/>
          <w:highlight w:val="white"/>
        </w:rPr>
        <w:t xml:space="preserve"> Российской Федерации, федеральных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законов, Устава (Основного закона) Ямало-Ненецкого автономного округа или законов Ямало-Ненецкого автономного округа в целях приведения Уста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ва в соответствие с этими нормативными правовыми актами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</w:rPr>
        <w:t xml:space="preserve">. </w:t>
      </w:r>
      <w:r>
        <w:rPr>
          <w:rFonts w:ascii="Liberation Sans" w:hAnsi="Liberation Sans" w:eastAsia="Liberation Sans" w:cs="Liberation Sans"/>
          <w:strike/>
          <w:color w:val="000000"/>
          <w:sz w:val="28"/>
          <w:szCs w:val="28"/>
        </w:rPr>
        <w:t xml:space="preserve"> </w:t>
      </w:r>
      <w:r>
        <w:rPr>
          <w:strike/>
          <w:highlight w:val="none"/>
        </w:rPr>
      </w:r>
      <w:r>
        <w:rPr>
          <w:strike/>
          <w:highlight w:val="non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strike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Глава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или Дума города Новый Уренгой, принявшие решение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 назначении публичных слушаний, либо организационный комитет должны не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менее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чем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за 10 дней до проведения публичных слушаний разместить </w:t>
      </w:r>
      <w:r>
        <w:rPr>
          <w:rFonts w:ascii="Liberation Sans" w:hAnsi="Liberation Sans" w:eastAsia="Liberation Serif" w:cs="Liberation Sans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сетевом издании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и на официальном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информацию о месте и времени </w:t>
        <w:br/>
        <w:t xml:space="preserve">их проведения</w:t>
      </w:r>
      <w:r/>
      <w:r>
        <w:rPr>
          <w:strike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/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6.7. 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Сроки приема предло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жений и замечаний по вынесенному на обсуждение про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екту муниципального правового акта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 со дня размещения решения (постановления) о назначении публичных слушаний, проекта муниципального правового акта, вынесенного </w:t>
        <w:br/>
        <w:t xml:space="preserve">на публичные слушания, 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день проведения публичных слушаний, а также в течение 2 дней после проведения публичных слушаний</w:t>
      </w:r>
      <w:r/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6.8.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Для принятия решения о назначении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инициативе жителей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его инициаторы направляют в Думу города Новый Уренгой: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6.8.1.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Ходатайство 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назначении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публичных слушаний                             с указанием темы и обоснованием ее общественной значимости.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Ходатайство подписывается всеми членами инициативной группы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указанием лица, в адрес которого должно быть направлено сообщение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 результатах его рассмотрения.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6.8.2. 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Список жителей в поддержку назначения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подписями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не менее ста жителей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достигших возраста                   18 лет, оформленный согласно приложению к настоящему Положению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6.8.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Список кандидатур для включения в состав организационного комитета.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6.8.4. 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Протокол собрания инициативной группы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жителей</w:t>
      </w:r>
      <w:r/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                      на котором было принято решение о выдвижении инициативы проведения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6.9.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Ходатайство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 назначении публичных слушаний, внесенное жителями, рассматривается Думой города 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овый Уренгой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течение 10 дней с момента его поступления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очередном (внеочередном)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заседании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соответствии с Регламентом Думы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/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 результатам рассмотрения ходатайства при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нимается решение 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назначении публичных слушаний либо об отказе </w:t>
        <w:br/>
        <w:t xml:space="preserve">в назначении публичных слушаний.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Решение о назначении публичных слушаний принимается в виде решения Думы города Новый Уренгой.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Решение об отказе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назначении публичных слушаний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оформляется в виде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письменного уведомления Думы города Новый Уренгой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случае несоответствия ходатайства действующему законодательству, в т.ч. настоящему Положению</w:t>
      </w:r>
      <w:r/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/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6.10.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Решение о назначении публичных слушаний принимается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заседании Думы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большинством голосов                     от установленной численности депутатов.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 Подготовка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7.1. Организация и проведение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как в очной,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так 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заочной форме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осуществляется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анизационным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комитетом.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Дума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Новый Уренгой или Администрация города </w:t>
        <w:br/>
        <w:t xml:space="preserve">не позднее 5 дней со дня принятия решения о назначении публичных слушаний организует проведение первого заседания организационного комитета, на котором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избирают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председателя организационного комитета, заместителя председателя организационного комит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ета,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секретаря организационного комитета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  <w:br/>
        <w:t xml:space="preserve">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определяют их полномочия по организации и проведению публичных слушаний. </w:t>
      </w:r>
      <w:r/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Заместитель председателя оргкомитета исполняет обязанности председателя в период его временного отсутствия</w:t>
      </w:r>
      <w:r/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/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Организационный комитет проводит следующие мероприятия: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7.3.1.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Разрабатывает план работы по подготовке и проведению публичных слушаний, распределяет обязанности среди членов организационного комитета.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Определяет перечень должностных лиц, специалистов, организаций и других представителей общественности, приглашаемых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 участию в публичных слушаниях в качестве экспертов, и направляет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им официальные приглашения.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7.3.3. 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Содействует участникам публичных слушаний в получении информации, необходимой для подготовки рекомендаций по вопросам публичных слушаний и в представлении информации на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7.3.4. 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ринимает и осуществляет учет поступивших предложений, замечаний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период срока приема предложений и замечаний к проекту муниципального правового акта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все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заинтересованные жи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тели,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достигшие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18-летнего возраста, имеют право вносить предложения и замечания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проекту муниципального правового акта, подлежащему обсуждению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публичных слушаниях,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письменной форме, электронно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виде в адрес организационного комитета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посредством официального сайта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либо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нарочно (лично, c предъявлением документа, удостоверяющего личность гражданина Российской Федерации)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Предложения, замечания, не содержащие информацию                        о заявителе (фамилия, имя, отчество (при наличии), дата рождения, место жительства или адрес электронной почты),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 также не касающиеся предмета публичных слушани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либо содержащие нецензурные либо оскорбительные выражения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либо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поступившие по истечении срока их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приема, рассмотрению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не подл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ежат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5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Проводит анализ материалов, представленных участниками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7.3.6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Определяет перечень конкретных вопросов, выносимых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обсуждение по теме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7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Составляет список лиц, участвующих в публичных слушаниях, включая состав приглашенных лиц.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8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Регистрирует участников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9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Назначает ведущего и секретаря публичных слушаний                   из числа членов организационного комитета для ведения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составления протокола.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Определяет докладчиков (содокладчиков)                                  по обсуждаемым вопросам.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7.3.1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Устанавливает порядок выступлений на публичных слушаниях.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7.4. 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Основной формой работы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 является заседание. Заседание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 правомочно, если на нем присутствует не менее половины                            от установленного числа членов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7.5. 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Решения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 принимаются открытым голосованием большинством голосов от присутствующих                                 на заседании членов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комитета. Решения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 оформляются протоколом заседания.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7.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6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Организационный комитет вправе создавать рабочие группы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для решения конкретных организационных вопросов и привлекать                     к своей деятельности других лиц.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8. Участники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8.1.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Участниками публичных слушаний с правом выступления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для аргументации своих предложений являются жители, которые внесли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организационный комитет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порядке, предусмотренном                  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подп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унктом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7.3.4 пункта 7.3 настоящего Положения,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свои предложения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рекомендации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по обсуждаемым вопросам не позднее чем за 3 дня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до даты проведения публичных слушаний, а также приглашенные лица, депутаты Думы города Новый Уренгой и должностные лица Администрации города.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8.2.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Участниками публичных слушаний без права выступления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публичных слушаниях могут быть все жители, средства массовой информации и другие заинтересованные лица.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cs="Liberation Sans"/>
          <w:sz w:val="28"/>
          <w:szCs w:val="28"/>
          <w:highlight w:val="white"/>
        </w:rPr>
      </w:r>
      <w:bookmarkEnd w:id="0"/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 Порядок посещения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очной форме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жителями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Каждый житель вправе присутствовать и выступать                          на публичных слушаниях, пред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ставлять свои замечания                                и предложения по вынесенному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обсуждение проекту муниципального правового акта, в том числе посредством официального сайта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Жители, желающие принять участие в публичных слушаниях, обязаны не позднее чем за 1 день до даты проведения публичных слушаний подать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заявление в организационный комитет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  <w:br/>
        <w:t xml:space="preserve">в порядке, предусмотренном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подп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унктом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7.3.4 пункта 7.3 настоящего Положения</w:t>
      </w:r>
      <w:r/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Организационный комитет рассматривает поступившие заявления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составляет список желающих принять участие                              в публичных слушаниях согласно поданным заявлениям.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4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Жители, не подавшие письменные заявления о своем желании принять участие в публичных слушаниях либо подавшие такие заявления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нарушением срока, предусмотренного пунктом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настоящего Положения, допускаются в помещение, являющееся местом проведения публичных слушаний, только при наличии свободных мест.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Если в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публичных слушаниях желает участвовать значительное число граждан, а имеющиеся помещения не позволяют разместить всех участников, организующий публичные слушания орган (должностное лицо) местного самоуправления обязан обеспечить запись желающих выступить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и трансляцию публичных слушаний.                  В зале, где будут они проводиться,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в первую очередь размещаются лица, записавшиеся на выступления.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Информация о проведении трансляции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публичных слушаний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                в режиме реального времени на информационном ресурсе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                                 в информационно-телекоммуникационной сети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Интернет с указанием адресной ссылки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размещается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на официальном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9.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5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Жители допускаются в помещение, являющееся местом проведения публичных слушаний, по предъявлен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документов, удостоверяющих личность.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 Проведение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в очной форме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cs="Liberation Sans"/>
          <w:sz w:val="28"/>
          <w:szCs w:val="28"/>
          <w:highlight w:val="white"/>
        </w:rPr>
      </w:r>
      <w:bookmarkEnd w:id="0"/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Публичные слушания в очной форме проводятся в форме заседания.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Публичные слушания должны проводиться в помещении, соответствующем санитарным нормам.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Перед началом проведения публичных слушаний организационный комитет проводит регистрацию участников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10.3. 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публичные слушания не допускаются лица, находящиеся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состоянии алкогольного, наркотического или иного опьянения.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10.4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Ведущий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публичных слушаний открывает слушания, оглашает тему и перечень вопросов, выносимых на публичные слушания, инициаторов их проведения, предложения организационного комитета по порядку проведения публичных слушаний, представляет секретаря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5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Секретарь ведет протокол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6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Время выступления определяется голосованием участников публичных слушаний исходя из количества выступающих и времени, отведенного для проведения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7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Для организации прений ведущий публичных слушаний объявляет вопрос, по которому проводится обсуждение,                                и предоставляет слово участникам публичных слушаний с правом выступления для аргументации своих предложений.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10.8. 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окончании выступления участника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правом выступления ведущий публичных слушаний дает возможность иным участникам публичных слушаний задать уточняющие вопросы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позиции и (или) аргументам участника публичных слушаний с правом выступления и дополнительное время для ответов на вопросы.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9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Участники публичных слушаний с правом выступления вправе снять свои предложения и рекомендации и (или) присоединиться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 предложениям, выдвинутым другими участниками. Решения об изменении их позиций по обсуждаемому вопросу отражаются в протоколе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После окончания выступлений участников публичных слушаний по каждому вопросу повестки публичных слушаний ведущий обращается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 участникам с вопросом о возможном изменении их позиций по итогам проведенного обсуждения.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10.11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После окончания прений по всем вопросам повестки публичных слушаний ведущий предоставляет слово секретарю для уточнения предложений и рекомендаций по обсуждаемым вопросам. Ведущий уточняет произошедшие изменения позиций участников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для внесения их в протокол.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окончании публичных слушаний ведущий напоминает участникам публичных слушаний о возможности внесения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организационный комитет в письменной форме дополнительных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предложений и (или) снятия своих рекомендаций по обсуждаемым вопросам в течение последующих 2 дней и закрывает публичные слушания.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10.1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Присутствующие и выступающие на публичных слушаниях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не вправе: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.1. Употреблять в своей речи грубые и оскорбительные выражения, наносящие ущерб чести и достоинству других лиц.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.2. Допускать необоснованные обвинения в чей-либо адрес.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.3. Использовать заведомо ложную и непроверенную информацию.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.4. Призывать к незаконным действиям, мешать нормальному ходу проведения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cs="Liberation Sans"/>
          <w:sz w:val="28"/>
          <w:szCs w:val="28"/>
          <w:highlight w:val="white"/>
        </w:rPr>
      </w:r>
      <w:bookmarkEnd w:id="0"/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 несоблюдении указанных требований они могут быть удалены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из помещения, являющегося местом проведения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 Проведение публичных слушаний в заочной форме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ind w:firstLine="54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Публичные слушания в заочной форме проводятся                          в случаях отсутствия возможности отло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жить, перенести их на более поздние даты проведения и необходимости принятия (издания) муниципальных правовых актов в сроки, установленные федеральными законами и (или) законами Ямало-Ненецкого автономного округа, при возникновении следующих обстоятельств: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11.1.1. 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ведение режима чрезвычайной ситуации или режима повы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шенной готовности.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11.1.2. 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озникновение угрозы распространения заболевания, представляющего опасность для окружающих, либо введение                       на территории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огранич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ительных мероприятий (карантина).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Заочная форма проведения публичных слушаний предполагает размещение проекта муниципального правового акта, выносимого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публичные слушания, а также иных документов                       и материалов, связанных с проведением пуб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личных слушаний                        в заочной форме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в электронном виде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сетевом издании                                      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официальном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с предоставлением участникам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публичных слушаний возможности направить письменное обращение в адрес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комитета, изложить                            на официальном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свои позиции, замечания, предложения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вопросы по проекту муниципального правового акта, выносимого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публичные слушания, и получение ответа на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письменное или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электронное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обращение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 Ответ на поступившее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письменное или электронное обращение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анизационным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комитетом направляется заявителю в письменной форме или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электронной форме (по желанию лица, направившего обращение).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Дополнительно информация о результатах рассмотрения электронного или письменного обращения по проекту муниципального правового акта размещается организационным комитетом                             в электронном виде в тех же разделах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сетевого издания     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                          и официального сайта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на которых были размещены материалы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11.3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Предложения, замечания и обращения, не содержащие информацию о заявителе (фамилия, имя, отчество (при наличии), дата рождения, место жительства), не рассматриваются.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11.4. 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Участники публичных слушаний в электронных                                 и письменных обращениях не вправе употреблять грубые                                 и оскорбительные выражения, наносящие ущерб чести и достоинств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 других лиц, допускать необоснованные обвинения в чей-либо адрес, использовать заведомо ложную и непроверенную информацию, призывать к незаконным действиям. Несоблюдение указанных требований влечет оставление указанных обращений без рассмотрения и ответа.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11.5. 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итогам публичных слушаний с учетом поступивших замечаний, предложений участников публичных слушаний по проекту муниципального правового акта, вынесенному на публичные слушания, проводимые в заочной форме, орг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анизационным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комитетом составляется протокол о результатах публичных слушаний в заочной форме.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Обращения, поступившие по истечении срока проведения публичных слушаний, при составлении протокола о результатах публичных слушаний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заочной форме не учитываются.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 Результаты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12.1. 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После окончания публичных слушаний в течение 5 дней организационный комитет составляет протокол.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.2. В протоколе публичных слушаний указываются: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номер протокола и дата заседания;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список лиц, выступивших в публичных слушаниях (в том числе приглашенных);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перечень тем и обсуждаемых вопросов;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принятые решения по каждому из обсуждаемых вопросов;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поступившие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особые мнения, предложения и замечания лиц, участвующих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публичных слушаниях.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.3.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течение 2 дней после окончания публичных слушаний организационный комитет принимает дополнительные предложения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 заявления о снятии своих рекомендаций участниками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2.4. 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Все дополнительно поступившие предложения и заявления оформляются приложением к протоколу публичных слушаний.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.5.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протоколом публичных слушаний вправе ознакомиться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все заинтересованные лица.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.6.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основании протокола публичных слушаний в срок                      не более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10 дней с момента окончания публичных слушаний организационный комитет подготавливает заключение о результатах публичных слушаний, содержащее рекомендации для принятия решений органами местного самоуправления.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12.7. 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Заключение о результатах публичных слушаний, включая мотивированное обоснование принятых решений, размещается </w:t>
        <w:br/>
        <w:t xml:space="preserve">в сетевом издании и на официальном сайте Администрации города </w:t>
        <w:br/>
        <w:t xml:space="preserve">не позднее 10 дней со дня проведения публичных слушаний</w:t>
      </w:r>
      <w:r/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.8. 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езультаты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публичных слушаний подлеж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 обязательному рассмотрению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Думой города Новый Уренгой,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Администрацией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ри рассмотрении проектов муниципальных пра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вовых актов и нос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рекомендательный характер</w:t>
      </w:r>
      <w:r/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.9.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Решения органов местного самоуправления, принятые                   с учетом результатов публичных слушаний, размещаются в сетевом издании 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офи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циальном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случае принятия органами местного самоуправления решений, не совпадающих с результатами публичных слушаний,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органы местного самоуправления обязаны размест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ить в сетевом издании 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официаль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мотивы принятия таких решений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13. Заключительные положения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54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13.1. 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Вопросы, не урегулированные настоящим 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оложением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регулируются в соответствии с федеральными законами,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иными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нормативными правовыми актами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Российской Федерации, законами Ямало-Ненецкого автономного округа,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Уставом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13.2. 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Для размещения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решения о назначении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проекта муниципального правового акта, выносимого                    на публичные слушания,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информаци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 времени, месте                                    их проведения, все необходимые материалы по рассматриваемому вопросу,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порядка учета предложений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проекту муниципального правового акта, а также порядка участия граждан в его обсуждении, обеспечения возможности представления жителями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своих замечаний и предложений по проекту муниципального правового акта, а также для участия жителей в публичных слушаниях </w:t>
      </w:r>
      <w:r>
        <w:rPr>
          <w:rFonts w:ascii="Liberation Sans" w:hAnsi="Liberation Sans" w:cs="Liberation Sans"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соблюдением тр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ебований об обязательном использовании для таких целей официального сайта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может использоваться федеральная государственная информационная система «Единый портал государственных и муниципальных услуг (функций)»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порядок использования которой для целей настоящего Положения устанавливается Правительством Российской Федерации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7"/>
        <w:ind w:firstLine="540"/>
        <w:jc w:val="both"/>
        <w:rPr>
          <w:rFonts w:ascii="Liberation Sans" w:hAnsi="Liberation Sans" w:cs="Liberation Sans"/>
          <w:sz w:val="28"/>
          <w:szCs w:val="28"/>
          <w:highlight w:val="white"/>
        </w:rPr>
        <w:sectPr>
          <w:footnotePr/>
          <w:endnotePr/>
          <w:type w:val="nextPage"/>
          <w:pgSz w:w="11906" w:h="16838" w:orient="portrait"/>
          <w:pgMar w:top="851" w:right="851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                                                      Приложение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529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                                               к Положению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о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порядке назначения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                                             и проведения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публичных слушани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й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br/>
      </w: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                           в </w:t>
      </w:r>
      <w:r>
        <w:rPr>
          <w:rFonts w:ascii="Liberation Sans" w:hAnsi="Liberation Sans" w:cs="Liberation Sans"/>
          <w:b w:val="0"/>
          <w:bCs w:val="0"/>
          <w:strike w:val="0"/>
          <w:sz w:val="28"/>
          <w:szCs w:val="28"/>
          <w:highlight w:val="white"/>
        </w:rPr>
        <w:t xml:space="preserve">г</w:t>
      </w:r>
      <w:r>
        <w:rPr>
          <w:rFonts w:ascii="Liberation Sans" w:hAnsi="Liberation Sans" w:cs="Liberation Sans"/>
          <w:b w:val="0"/>
          <w:bCs w:val="0"/>
          <w:strike w:val="0"/>
          <w:sz w:val="28"/>
          <w:szCs w:val="28"/>
          <w:highlight w:val="white"/>
        </w:rPr>
        <w:t xml:space="preserve">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Н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овый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Уренгой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p>
      <w:pPr>
        <w:ind w:left="5529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strike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Список жителей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</w:p>
    <w:p>
      <w:pPr>
        <w:jc w:val="center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поддержку назначения публичных слушаний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jc w:val="center"/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613"/>
        <w:gridCol w:w="2002"/>
        <w:gridCol w:w="1404"/>
        <w:gridCol w:w="1944"/>
        <w:gridCol w:w="1942"/>
        <w:gridCol w:w="1666"/>
      </w:tblGrid>
      <w:tr>
        <w:tblPrEx/>
        <w:trPr/>
        <w:tc>
          <w:tcPr>
            <w:tcW w:w="613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002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Ф.И.О. (полностью)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Дата рождения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4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Место регистрации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Контактный телефон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66" w:type="dxa"/>
            <w:vAlign w:val="center"/>
            <w:textDirection w:val="lrTb"/>
            <w:noWrap w:val="false"/>
          </w:tcPr>
          <w:p>
            <w:pPr>
              <w:jc w:val="center"/>
              <w:spacing w:before="100" w:beforeAutospacing="1" w:after="200" w:afterAutospacing="1" w:line="276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Подпись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13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   1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0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4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2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200" w:afterAutospacing="1" w:line="276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61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002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2" w:type="dxa"/>
            <w:textDirection w:val="lrTb"/>
            <w:noWrap w:val="false"/>
          </w:tcPr>
          <w:p>
            <w:pPr>
              <w:jc w:val="both"/>
              <w:spacing w:before="100" w:beforeAutospacing="1" w:after="200" w:afterAutospacing="1" w:line="276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66" w:type="dxa"/>
            <w:textDirection w:val="lrTb"/>
            <w:noWrap w:val="false"/>
          </w:tcPr>
          <w:p>
            <w:pPr>
              <w:jc w:val="both"/>
              <w:spacing w:before="100" w:beforeAutospacing="1" w:after="200" w:afterAutospacing="1" w:line="276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61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002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2" w:type="dxa"/>
            <w:textDirection w:val="lrTb"/>
            <w:noWrap w:val="false"/>
          </w:tcPr>
          <w:p>
            <w:pPr>
              <w:jc w:val="both"/>
              <w:spacing w:before="100" w:beforeAutospacing="1" w:after="200" w:afterAutospacing="1" w:line="276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66" w:type="dxa"/>
            <w:textDirection w:val="lrTb"/>
            <w:noWrap w:val="false"/>
          </w:tcPr>
          <w:p>
            <w:pPr>
              <w:jc w:val="both"/>
              <w:spacing w:before="100" w:beforeAutospacing="1" w:after="200" w:afterAutospacing="1" w:line="276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61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2002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404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360" w:lineRule="atLeast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tcW w:w="1942" w:type="dxa"/>
            <w:textDirection w:val="lrTb"/>
            <w:noWrap w:val="false"/>
          </w:tcPr>
          <w:p>
            <w:pPr>
              <w:jc w:val="both"/>
              <w:spacing w:before="100" w:beforeAutospacing="1" w:after="200" w:afterAutospacing="1" w:line="276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666" w:type="dxa"/>
            <w:textDirection w:val="lrTb"/>
            <w:noWrap w:val="false"/>
          </w:tcPr>
          <w:p>
            <w:pPr>
              <w:jc w:val="both"/>
              <w:spacing w:before="100" w:beforeAutospacing="1" w:after="200" w:afterAutospacing="1" w:line="276" w:lineRule="auto"/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/>
                <w:sz w:val="24"/>
                <w:szCs w:val="24"/>
                <w:highlight w:val="white"/>
              </w:rPr>
            </w:r>
          </w:p>
        </w:tc>
      </w:tr>
    </w:tbl>
    <w:p>
      <w:pPr>
        <w:rPr>
          <w:rFonts w:ascii="Liberation Sans" w:hAnsi="Liberation Sans" w:cs="Liberation Sans"/>
          <w:b/>
          <w:bCs/>
          <w:strike/>
          <w:sz w:val="24"/>
          <w:szCs w:val="24"/>
          <w:highlight w:val="white"/>
        </w:rPr>
      </w:pPr>
      <w:r>
        <w:rPr>
          <w:rFonts w:ascii="Liberation Sans" w:hAnsi="Liberation Sans" w:cs="Liberation Sans"/>
          <w:sz w:val="24"/>
          <w:szCs w:val="24"/>
          <w:highlight w:val="white"/>
        </w:rPr>
        <w:t xml:space="preserve"> </w:t>
      </w:r>
      <w:r>
        <w:rPr>
          <w:rFonts w:ascii="Liberation Sans" w:hAnsi="Liberation Sans" w:cs="Liberation Sans"/>
          <w:b/>
          <w:bCs/>
          <w:strike/>
          <w:sz w:val="24"/>
          <w:szCs w:val="24"/>
          <w:highlight w:val="white"/>
        </w:rPr>
      </w:r>
      <w:r>
        <w:rPr>
          <w:rFonts w:ascii="Liberation Sans" w:hAnsi="Liberation Sans" w:cs="Liberation Sans"/>
          <w:b/>
          <w:bCs/>
          <w:strike/>
          <w:sz w:val="24"/>
          <w:szCs w:val="24"/>
          <w:highlight w:val="white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     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sectPr>
      <w:footerReference w:type="default" r:id="rId12"/>
      <w:footerReference w:type="first" r:id="rId13"/>
      <w:footnotePr/>
      <w:endnotePr/>
      <w:type w:val="nextPage"/>
      <w:pgSz w:w="11907" w:h="16840" w:orient="portrait"/>
      <w:pgMar w:top="1134" w:right="850" w:bottom="1134" w:left="1701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6030504020204"/>
  </w:font>
  <w:font w:name="Courier New">
    <w:panose1 w:val="020704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ind w:right="360"/>
      <w:rPr>
        <w:rFonts w:ascii="Tahoma" w:hAnsi="Tahoma" w:cs="Tahoma"/>
        <w:color w:val="808080"/>
        <w:sz w:val="14"/>
        <w:szCs w:val="14"/>
      </w:rPr>
    </w:pPr>
    <w:r>
      <w:rPr>
        <w:rFonts w:ascii="Tahoma" w:hAnsi="Tahoma" w:cs="Tahoma"/>
        <w:color w:val="808080"/>
        <w:sz w:val="14"/>
        <w:szCs w:val="14"/>
      </w:rPr>
    </w:r>
    <w:r>
      <w:rPr>
        <w:rFonts w:ascii="Tahoma" w:hAnsi="Tahoma" w:cs="Tahoma"/>
        <w:color w:val="808080"/>
        <w:sz w:val="14"/>
        <w:szCs w:val="14"/>
      </w:rPr>
    </w:r>
    <w:r>
      <w:rPr>
        <w:rFonts w:ascii="Tahoma" w:hAnsi="Tahoma" w:cs="Tahoma"/>
        <w:color w:val="808080"/>
        <w:sz w:val="14"/>
        <w:szCs w:val="14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924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  <w:jc w:val="center"/>
      <w:rPr>
        <w:rFonts w:ascii="Liberation Sans" w:hAnsi="Liberation Sans" w:cs="Liberation Sans"/>
        <w:sz w:val="28"/>
        <w:szCs w:val="28"/>
      </w:rPr>
    </w:pPr>
    <w:fldSimple w:instr="PAGE \* MERGEFORMAT">
      <w:r>
        <w:rPr>
          <w:rFonts w:ascii="Liberation Sans" w:hAnsi="Liberation Sans" w:eastAsia="Liberation Sans" w:cs="Liberation Sans"/>
          <w:sz w:val="28"/>
          <w:szCs w:val="28"/>
        </w:rPr>
        <w:t xml:space="preserve">1</w:t>
      </w:r>
    </w:fldSimple>
    <w:r>
      <w:rPr>
        <w:rFonts w:ascii="Liberation Sans" w:hAnsi="Liberation Sans" w:eastAsia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</w:p>
  <w:p>
    <w:pPr>
      <w:pStyle w:val="76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283" w:hanging="28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1701" w:hanging="28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8" w:hanging="360"/>
        <w:tabs>
          <w:tab w:val="num" w:pos="213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  <w:tabs>
          <w:tab w:val="num" w:pos="285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  <w:tabs>
          <w:tab w:val="num" w:pos="357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  <w:tabs>
          <w:tab w:val="num" w:pos="429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  <w:tabs>
          <w:tab w:val="num" w:pos="501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  <w:tabs>
          <w:tab w:val="num" w:pos="573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  <w:tabs>
          <w:tab w:val="num" w:pos="645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  <w:tabs>
          <w:tab w:val="num" w:pos="717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  <w:tabs>
          <w:tab w:val="num" w:pos="789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%1. "/>
      <w:legacy w:legacy="1" w:legacyIndent="0" w:legacySpace="0"/>
      <w:lvlJc w:val="left"/>
      <w:pPr>
        <w:ind w:left="1003" w:hanging="28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5" w:hanging="1005"/>
        <w:tabs>
          <w:tab w:val="num" w:pos="1545" w:leader="none"/>
        </w:tabs>
      </w:pPr>
      <w:rPr>
        <w:rFonts w:ascii="Arial" w:hAnsi="Arial" w:cs="Arial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4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9">
    <w:name w:val="Heading 1"/>
    <w:basedOn w:val="917"/>
    <w:next w:val="917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0">
    <w:name w:val="Heading 1 Char"/>
    <w:link w:val="739"/>
    <w:uiPriority w:val="9"/>
    <w:rPr>
      <w:rFonts w:ascii="Arial" w:hAnsi="Arial" w:eastAsia="Arial" w:cs="Arial"/>
      <w:sz w:val="40"/>
      <w:szCs w:val="40"/>
    </w:rPr>
  </w:style>
  <w:style w:type="paragraph" w:styleId="741">
    <w:name w:val="Heading 2"/>
    <w:basedOn w:val="917"/>
    <w:next w:val="917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2">
    <w:name w:val="Heading 2 Char"/>
    <w:link w:val="741"/>
    <w:uiPriority w:val="9"/>
    <w:rPr>
      <w:rFonts w:ascii="Arial" w:hAnsi="Arial" w:eastAsia="Arial" w:cs="Arial"/>
      <w:sz w:val="34"/>
    </w:rPr>
  </w:style>
  <w:style w:type="paragraph" w:styleId="743">
    <w:name w:val="Heading 3"/>
    <w:basedOn w:val="917"/>
    <w:next w:val="917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4">
    <w:name w:val="Heading 3 Char"/>
    <w:link w:val="743"/>
    <w:uiPriority w:val="9"/>
    <w:rPr>
      <w:rFonts w:ascii="Arial" w:hAnsi="Arial" w:eastAsia="Arial" w:cs="Arial"/>
      <w:sz w:val="30"/>
      <w:szCs w:val="30"/>
    </w:rPr>
  </w:style>
  <w:style w:type="paragraph" w:styleId="745">
    <w:name w:val="Heading 4"/>
    <w:basedOn w:val="917"/>
    <w:next w:val="917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6">
    <w:name w:val="Heading 4 Char"/>
    <w:link w:val="745"/>
    <w:uiPriority w:val="9"/>
    <w:rPr>
      <w:rFonts w:ascii="Arial" w:hAnsi="Arial" w:eastAsia="Arial" w:cs="Arial"/>
      <w:b/>
      <w:bCs/>
      <w:sz w:val="26"/>
      <w:szCs w:val="26"/>
    </w:rPr>
  </w:style>
  <w:style w:type="paragraph" w:styleId="747">
    <w:name w:val="Heading 5"/>
    <w:basedOn w:val="917"/>
    <w:next w:val="917"/>
    <w:link w:val="7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8">
    <w:name w:val="Heading 5 Char"/>
    <w:link w:val="747"/>
    <w:uiPriority w:val="9"/>
    <w:rPr>
      <w:rFonts w:ascii="Arial" w:hAnsi="Arial" w:eastAsia="Arial" w:cs="Arial"/>
      <w:b/>
      <w:bCs/>
      <w:sz w:val="24"/>
      <w:szCs w:val="24"/>
    </w:rPr>
  </w:style>
  <w:style w:type="paragraph" w:styleId="749">
    <w:name w:val="Heading 6"/>
    <w:basedOn w:val="917"/>
    <w:next w:val="917"/>
    <w:link w:val="7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0">
    <w:name w:val="Heading 6 Char"/>
    <w:link w:val="749"/>
    <w:uiPriority w:val="9"/>
    <w:rPr>
      <w:rFonts w:ascii="Arial" w:hAnsi="Arial" w:eastAsia="Arial" w:cs="Arial"/>
      <w:b/>
      <w:bCs/>
      <w:sz w:val="22"/>
      <w:szCs w:val="22"/>
    </w:rPr>
  </w:style>
  <w:style w:type="paragraph" w:styleId="751">
    <w:name w:val="Heading 7"/>
    <w:basedOn w:val="917"/>
    <w:next w:val="917"/>
    <w:link w:val="7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2">
    <w:name w:val="Heading 7 Char"/>
    <w:link w:val="7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3">
    <w:name w:val="Heading 8"/>
    <w:basedOn w:val="917"/>
    <w:next w:val="917"/>
    <w:link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4">
    <w:name w:val="Heading 8 Char"/>
    <w:link w:val="753"/>
    <w:uiPriority w:val="9"/>
    <w:rPr>
      <w:rFonts w:ascii="Arial" w:hAnsi="Arial" w:eastAsia="Arial" w:cs="Arial"/>
      <w:i/>
      <w:iCs/>
      <w:sz w:val="22"/>
      <w:szCs w:val="22"/>
    </w:rPr>
  </w:style>
  <w:style w:type="paragraph" w:styleId="755">
    <w:name w:val="Heading 9"/>
    <w:basedOn w:val="917"/>
    <w:next w:val="917"/>
    <w:link w:val="7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6">
    <w:name w:val="Heading 9 Char"/>
    <w:link w:val="755"/>
    <w:uiPriority w:val="9"/>
    <w:rPr>
      <w:rFonts w:ascii="Arial" w:hAnsi="Arial" w:eastAsia="Arial" w:cs="Arial"/>
      <w:i/>
      <w:iCs/>
      <w:sz w:val="21"/>
      <w:szCs w:val="21"/>
    </w:rPr>
  </w:style>
  <w:style w:type="paragraph" w:styleId="757">
    <w:name w:val="List Paragraph"/>
    <w:basedOn w:val="917"/>
    <w:uiPriority w:val="34"/>
    <w:qFormat/>
    <w:pPr>
      <w:contextualSpacing/>
      <w:ind w:left="720"/>
    </w:pPr>
  </w:style>
  <w:style w:type="paragraph" w:styleId="758">
    <w:name w:val="No Spacing"/>
    <w:uiPriority w:val="1"/>
    <w:qFormat/>
    <w:pPr>
      <w:spacing w:before="0" w:after="0" w:line="240" w:lineRule="auto"/>
    </w:pPr>
  </w:style>
  <w:style w:type="paragraph" w:styleId="759">
    <w:name w:val="Title"/>
    <w:basedOn w:val="917"/>
    <w:next w:val="917"/>
    <w:link w:val="7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0">
    <w:name w:val="Title Char"/>
    <w:link w:val="759"/>
    <w:uiPriority w:val="10"/>
    <w:rPr>
      <w:sz w:val="48"/>
      <w:szCs w:val="48"/>
    </w:rPr>
  </w:style>
  <w:style w:type="paragraph" w:styleId="761">
    <w:name w:val="Subtitle"/>
    <w:basedOn w:val="917"/>
    <w:next w:val="917"/>
    <w:link w:val="762"/>
    <w:uiPriority w:val="11"/>
    <w:qFormat/>
    <w:pPr>
      <w:spacing w:before="200" w:after="200"/>
    </w:pPr>
    <w:rPr>
      <w:sz w:val="24"/>
      <w:szCs w:val="24"/>
    </w:rPr>
  </w:style>
  <w:style w:type="character" w:styleId="762">
    <w:name w:val="Subtitle Char"/>
    <w:link w:val="761"/>
    <w:uiPriority w:val="11"/>
    <w:rPr>
      <w:sz w:val="24"/>
      <w:szCs w:val="24"/>
    </w:rPr>
  </w:style>
  <w:style w:type="paragraph" w:styleId="763">
    <w:name w:val="Quote"/>
    <w:basedOn w:val="917"/>
    <w:next w:val="917"/>
    <w:link w:val="764"/>
    <w:uiPriority w:val="29"/>
    <w:qFormat/>
    <w:pPr>
      <w:ind w:left="720" w:right="720"/>
    </w:pPr>
    <w:rPr>
      <w:i/>
    </w:rPr>
  </w:style>
  <w:style w:type="character" w:styleId="764">
    <w:name w:val="Quote Char"/>
    <w:link w:val="763"/>
    <w:uiPriority w:val="29"/>
    <w:rPr>
      <w:i/>
    </w:rPr>
  </w:style>
  <w:style w:type="paragraph" w:styleId="765">
    <w:name w:val="Intense Quote"/>
    <w:basedOn w:val="917"/>
    <w:next w:val="917"/>
    <w:link w:val="7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6">
    <w:name w:val="Intense Quote Char"/>
    <w:link w:val="765"/>
    <w:uiPriority w:val="30"/>
    <w:rPr>
      <w:i/>
    </w:rPr>
  </w:style>
  <w:style w:type="paragraph" w:styleId="767">
    <w:name w:val="Header"/>
    <w:basedOn w:val="917"/>
    <w:link w:val="7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8">
    <w:name w:val="Header Char"/>
    <w:link w:val="767"/>
    <w:uiPriority w:val="99"/>
  </w:style>
  <w:style w:type="paragraph" w:styleId="769">
    <w:name w:val="Footer"/>
    <w:basedOn w:val="917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>
    <w:name w:val="Footer Char"/>
    <w:link w:val="769"/>
    <w:uiPriority w:val="99"/>
  </w:style>
  <w:style w:type="paragraph" w:styleId="771">
    <w:name w:val="Caption"/>
    <w:basedOn w:val="917"/>
    <w:next w:val="9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2">
    <w:name w:val="Caption Char"/>
    <w:basedOn w:val="771"/>
    <w:link w:val="769"/>
    <w:uiPriority w:val="99"/>
  </w:style>
  <w:style w:type="table" w:styleId="7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000ff" w:themeColor="hyperlink"/>
      <w:u w:val="single"/>
    </w:rPr>
  </w:style>
  <w:style w:type="paragraph" w:styleId="900">
    <w:name w:val="footnote text"/>
    <w:basedOn w:val="917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>
    <w:name w:val="Footnote Text Char"/>
    <w:link w:val="900"/>
    <w:uiPriority w:val="99"/>
    <w:rPr>
      <w:sz w:val="18"/>
    </w:rPr>
  </w:style>
  <w:style w:type="character" w:styleId="902">
    <w:name w:val="footnote reference"/>
    <w:uiPriority w:val="99"/>
    <w:unhideWhenUsed/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907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908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909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910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911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912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913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914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next w:val="917"/>
    <w:link w:val="917"/>
    <w:qFormat/>
    <w:rPr>
      <w:sz w:val="24"/>
      <w:szCs w:val="24"/>
      <w:lang w:val="ru-RU" w:eastAsia="ru-RU" w:bidi="ar-SA"/>
    </w:rPr>
  </w:style>
  <w:style w:type="character" w:styleId="918">
    <w:name w:val="Основной шрифт абзаца"/>
    <w:next w:val="918"/>
    <w:link w:val="917"/>
    <w:semiHidden/>
  </w:style>
  <w:style w:type="table" w:styleId="919">
    <w:name w:val="Обычная таблица"/>
    <w:next w:val="919"/>
    <w:link w:val="917"/>
    <w:semiHidden/>
    <w:tblPr/>
  </w:style>
  <w:style w:type="numbering" w:styleId="920">
    <w:name w:val="Нет списка"/>
    <w:next w:val="920"/>
    <w:link w:val="917"/>
    <w:semiHidden/>
  </w:style>
  <w:style w:type="paragraph" w:styleId="921">
    <w:name w:val="ConsTitle"/>
    <w:next w:val="921"/>
    <w:link w:val="917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922">
    <w:name w:val="ConsNonformat"/>
    <w:next w:val="922"/>
    <w:link w:val="917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3">
    <w:name w:val="ConsNormal"/>
    <w:next w:val="923"/>
    <w:link w:val="917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24">
    <w:name w:val="Нижний колонтитул"/>
    <w:basedOn w:val="917"/>
    <w:next w:val="924"/>
    <w:link w:val="933"/>
    <w:uiPriority w:val="99"/>
    <w:pPr>
      <w:tabs>
        <w:tab w:val="center" w:pos="4677" w:leader="none"/>
        <w:tab w:val="right" w:pos="9355" w:leader="none"/>
      </w:tabs>
    </w:pPr>
  </w:style>
  <w:style w:type="character" w:styleId="925">
    <w:name w:val="Номер страницы"/>
    <w:basedOn w:val="918"/>
    <w:next w:val="925"/>
    <w:link w:val="917"/>
  </w:style>
  <w:style w:type="paragraph" w:styleId="926">
    <w:name w:val="Верхний колонтитул"/>
    <w:basedOn w:val="917"/>
    <w:next w:val="926"/>
    <w:link w:val="932"/>
    <w:pPr>
      <w:tabs>
        <w:tab w:val="center" w:pos="4677" w:leader="none"/>
        <w:tab w:val="right" w:pos="9355" w:leader="none"/>
      </w:tabs>
    </w:pPr>
  </w:style>
  <w:style w:type="paragraph" w:styleId="927">
    <w:name w:val="Текст выноски"/>
    <w:basedOn w:val="917"/>
    <w:next w:val="927"/>
    <w:link w:val="917"/>
    <w:semiHidden/>
    <w:rPr>
      <w:rFonts w:ascii="Tahoma" w:hAnsi="Tahoma" w:cs="Tahoma"/>
      <w:sz w:val="16"/>
      <w:szCs w:val="16"/>
    </w:rPr>
  </w:style>
  <w:style w:type="paragraph" w:styleId="928">
    <w:name w:val="Основной текст 2"/>
    <w:basedOn w:val="917"/>
    <w:next w:val="928"/>
    <w:link w:val="917"/>
    <w:pPr>
      <w:spacing w:after="120" w:line="480" w:lineRule="auto"/>
    </w:pPr>
  </w:style>
  <w:style w:type="paragraph" w:styleId="929">
    <w:name w:val="Название"/>
    <w:basedOn w:val="917"/>
    <w:next w:val="929"/>
    <w:link w:val="917"/>
    <w:qFormat/>
    <w:pPr>
      <w:jc w:val="center"/>
    </w:pPr>
  </w:style>
  <w:style w:type="paragraph" w:styleId="930">
    <w:name w:val="Цитата"/>
    <w:basedOn w:val="917"/>
    <w:next w:val="930"/>
    <w:link w:val="917"/>
    <w:pPr>
      <w:ind w:left="709" w:right="284"/>
      <w:jc w:val="both"/>
    </w:pPr>
  </w:style>
  <w:style w:type="table" w:styleId="931">
    <w:name w:val="Сетка таблицы"/>
    <w:basedOn w:val="919"/>
    <w:next w:val="931"/>
    <w:link w:val="917"/>
    <w:rPr>
      <w:lang w:bidi="ar-SA"/>
    </w:rPr>
    <w:tblPr/>
  </w:style>
  <w:style w:type="character" w:styleId="932">
    <w:name w:val="Верхний колонтитул Знак1"/>
    <w:basedOn w:val="918"/>
    <w:next w:val="932"/>
    <w:link w:val="926"/>
    <w:rPr>
      <w:sz w:val="24"/>
      <w:szCs w:val="24"/>
    </w:rPr>
  </w:style>
  <w:style w:type="character" w:styleId="933">
    <w:name w:val="Нижний колонтитул Знак"/>
    <w:basedOn w:val="918"/>
    <w:next w:val="933"/>
    <w:link w:val="924"/>
    <w:uiPriority w:val="99"/>
    <w:rPr>
      <w:sz w:val="24"/>
      <w:szCs w:val="24"/>
    </w:rPr>
  </w:style>
  <w:style w:type="character" w:styleId="934" w:default="1">
    <w:name w:val="Default Paragraph Font"/>
    <w:uiPriority w:val="1"/>
    <w:semiHidden/>
    <w:unhideWhenUsed/>
  </w:style>
  <w:style w:type="numbering" w:styleId="935" w:default="1">
    <w:name w:val="No List"/>
    <w:uiPriority w:val="99"/>
    <w:semiHidden/>
    <w:unhideWhenUsed/>
  </w:style>
  <w:style w:type="table" w:styleId="936" w:default="1">
    <w:name w:val="Normal Table"/>
    <w:uiPriority w:val="99"/>
    <w:semiHidden/>
    <w:unhideWhenUsed/>
    <w:tblPr/>
  </w:style>
  <w:style w:type="paragraph" w:styleId="937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emf"/><Relationship Id="rId15" Type="http://schemas.openxmlformats.org/officeDocument/2006/relationships/oleObject" Target="embeddings/oleObject1.bin"/><Relationship Id="rId16" Type="http://schemas.openxmlformats.org/officeDocument/2006/relationships/hyperlink" Target="consultantplus://offline/ref=9F988B74DC23806DE0FFB6A84E0885947C9AFD80502661D41B26A0G5t0F" TargetMode="External"/><Relationship Id="rId17" Type="http://schemas.openxmlformats.org/officeDocument/2006/relationships/hyperlink" Target="consultantplus://offline/ref=9F988B74DC23806DE0FFB6A84E0885947C9AFD80502661D41B26A0G5t0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Центр правовой поддержки МСУ</Company>
  <DocSecurity>0</DocSecurity>
  <HyperlinksChanged>false</HyperlinksChanged>
  <Manager>Центр правовой поддержки МСУ</Manager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правовой поддержки МСУ</dc:title>
  <dc:subject>Центр правовой поддержки МСУ</dc:subject>
  <dc:creator>Центр правовой поддержки МСУ</dc:creator>
  <cp:keywords>Центр правовой поддержки МСУ</cp:keywords>
  <dc:description>Центр правовой поддержки МСУ</dc:description>
  <cp:revision>59</cp:revision>
  <dcterms:created xsi:type="dcterms:W3CDTF">2008-12-19T04:45:00Z</dcterms:created>
  <dcterms:modified xsi:type="dcterms:W3CDTF">2026-03-04T07:27:39Z</dcterms:modified>
  <cp:category>Центр правовой поддержки МСУ</cp:category>
  <cp:version>786432</cp:version>
</cp:coreProperties>
</file>