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8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101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1018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1018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67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1014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1018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30.04.2026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1018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014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Об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утверждении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отчета Думы города Новый Уренгой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за 2025 год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1014"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Заслушав отчет Думы города Новый Уренгой за 2025 год,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           в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соответствии с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Федеральным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законом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от 20.03.2025 № 33-ФЗ </w:t>
        <w:br/>
        <w:t xml:space="preserve">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решением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Городской Думы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от 25.05.2023 </w:t>
        <w:br/>
        <w:t xml:space="preserve">№ 231 «Об организации доступа к информации о деятельности органов местного самоуправления муниц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ипального образования город Новый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1014"/>
        <w:contextualSpacing w:val="0"/>
        <w:jc w:val="both"/>
        <w:spacing w:before="0" w:after="0"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 Утвердить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прилагаемый отчет Думы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br/>
        <w:t xml:space="preserve">за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2025 год.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2.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3. Решение вступает в силу со дня его принятия.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1014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4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1014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pStyle w:val="1014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  <w:p>
            <w:pPr>
              <w:pStyle w:val="1014"/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УТВЕРЖДЕН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                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решением Думы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от 30.04.2026  № 67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left="6236" w:right="0" w:firstLine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pStyle w:val="1014"/>
        <w:contextualSpacing w:val="0"/>
        <w:ind w:left="0" w:firstLine="0"/>
        <w:jc w:val="center"/>
        <w:spacing w:before="0" w:after="0" w:line="240" w:lineRule="auto"/>
        <w:widowControl/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ОТЧЕТ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</w:r>
    </w:p>
    <w:p>
      <w:pPr>
        <w:contextualSpacing w:val="0"/>
        <w:ind w:lef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Думы города Новый Уренгой за 2025 год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Liberation Sans" w:hAnsi="Liberation Sans" w:cs="Liberation Sans"/>
          <w:b/>
          <w:bCs/>
          <w:strike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 w:val="0"/>
          <w:sz w:val="28"/>
          <w:szCs w:val="28"/>
          <w:highlight w:val="white"/>
        </w:rPr>
      </w:r>
    </w:p>
    <w:p>
      <w:pPr>
        <w:contextualSpacing w:val="0"/>
        <w:ind w:firstLine="60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Дума города Новый Уренгой (далее – Дума города) является представительным (выборным) органом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городск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ого округа город Новый Уренгой Ямало-Ненецкого автономного округа (далее – город Новый Уренгой), обладающим правом представлять интересы населения города Новый Уренгой и принимать в случаях, определенных Уставом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, решения, действующие </w:t>
        <w:br/>
        <w:t xml:space="preserve">на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города Новый Уренгой.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60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Дума города наделена правами юридического лица.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60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отчетном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периоде 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созыв начал свою работу в составе </w:t>
        <w:br/>
        <w:t xml:space="preserve">из 23 депутатов.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12-14 сентября 2025 года состоялись выборы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депутатов Думы города восьмого созыва, по итогом которых сф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ормирован состав из 25 депутатов Думы города.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600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Все де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путаты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включая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Председателя и заместителя Председателя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осуществляют свои полномочия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 непостоянной основе.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600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В Думе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ляют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деятельность 5 постоянных профильных комиссий: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54"/>
        <w:numPr>
          <w:ilvl w:val="0"/>
          <w:numId w:val="45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к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омиссия по бюджету, финансам, экономической </w:t>
        <w:br/>
        <w:t xml:space="preserve">и 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логовой политике;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54"/>
        <w:numPr>
          <w:ilvl w:val="0"/>
          <w:numId w:val="45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комиссия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по вопросам город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ского хозяйства, градостроит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ельству, земельным отношениям и управлению муниципальной собственностью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54"/>
        <w:numPr>
          <w:ilvl w:val="0"/>
          <w:numId w:val="45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омиссия по вопросам местного самоуправления </w:t>
        <w:br/>
        <w:t xml:space="preserve">и общественной безопасности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54"/>
        <w:numPr>
          <w:ilvl w:val="0"/>
          <w:numId w:val="45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комиссия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по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социальной политике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54"/>
        <w:numPr>
          <w:ilvl w:val="0"/>
          <w:numId w:val="45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lang w:val="ru-RU"/>
        </w:rPr>
        <w:t xml:space="preserve">комиссия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  <w:u w:val="none"/>
          <w:lang w:val="ru-RU"/>
        </w:rPr>
        <w:t xml:space="preserve">по Регламенту и депутатской этике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firstLine="600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trike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Кроме того, в Думе города создана и действует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депутатская фракция «ЕДИНАЯ РОССИЯ».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 w:val="0"/>
        <w:ind w:firstLine="600"/>
        <w:jc w:val="both"/>
        <w:spacing w:line="240" w:lineRule="auto"/>
        <w:rPr>
          <w:rFonts w:ascii="Liberation Sans" w:hAnsi="Liberation Sans" w:eastAsia="Liberation Sans" w:cs="Liberation Sans"/>
          <w:strike w:val="0"/>
          <w:sz w:val="28"/>
          <w:szCs w:val="28"/>
          <w:highlight w:val="yellow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Одним из основных направлений работы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епутатского корпуса является нормотворческая деятельность – утвержде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ние решений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br/>
        <w:t xml:space="preserve">по вопросам, отнесённым к компетенции Думы города.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Решения Думы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города принимаются на заседаниях. В отчетном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периоде состоялось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заседаний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Думы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города 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 очередных, </w:t>
        <w:br/>
        <w:t xml:space="preserve">1 внеочередное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 ц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елью предварительного рассмотрения проектов решений проведено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рабочих заседаний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darkGreen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darkGreen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Повестки заседаний формировались из вопросов перспективного годового и квартальных планов проведения заседаний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предложений Главы города Новый Уренгой, прокуратуры города Новый Уренгой, председателя Контрольно-счетной палаты Нового Уренгоя, председателей постоянных комиссий 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darkGreen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darkGreen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отчетном году на заседаниях рассмотре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93 вопроса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принято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89 решений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(из них 56 – нормативные правовые акты)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77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решений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none"/>
        </w:rPr>
        <w:t xml:space="preserve">размещены в сетевом издании «Импульс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none"/>
        </w:rPr>
        <w:t xml:space="preserve"> Севера»,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на официальных сайтах Администрации города Новый Уренгой </w:t>
        <w:br/>
        <w:t xml:space="preserve">и Думы города,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56 решений размещено на сайте </w:t>
        <w:br/>
        <w:t xml:space="preserve">ООО «КонсультантПлюс: Региональные Технологии»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Все 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ешения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направлены в департамент внутренней политики Ямало-Ненецкого автономного округа для включения в регистр муниципальных правовых актов Ямало-Ненецкого автономного округа, прокуратуру города Новый Уренгой.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cyan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Кроме принятых на заседаниях Думы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решений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в отчетном периоде Председателем Думы города издан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 постановление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br/>
        <w:t xml:space="preserve">27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распоряжений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(по основной деятельности 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20,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по кадровым вопросам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 вопросам муниципальной службы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cyan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 рамках осуществления материально-технического обеспечения деятельности Думы города в 2025 году заключен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24 му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ниципальных контракта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на общу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ю сумму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796 133,00 рублей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рганизована работа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 формированию потребности на материально-техническое обеспечение деятельности 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, оформлению заявок, первичных бухгалтерских документов: авансовых отчетов, реестров закупок, актов и отчётов на списа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ние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Организована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работа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 ведению архива 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 Разработаны и утверждены на 2025 год: номенклатура дел, годовой план работы архива Думы города, план работы экспертной комиссии Думы города,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подготовлен акт о выделении к уничтожению документов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Ду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мы города,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не подлежащих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хранен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ю,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утверждена опись дел Думы города на 2023 год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Кроме того,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подготов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лено </w:t>
        <w:br/>
        <w:t xml:space="preserve">и передано в архивный отдел (муниципальный архив)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48 дел 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за 2020 год, а также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формирован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 35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дел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постоянного срока хранения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за 2025 год.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yellow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yellow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За отчетный период подготовлено и зарегистрировано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370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писем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в адрес должностных лиц органов Администрации города Новый Уренгой, государственных органов исполнительной власти Ямало-Ненецкого автономного округа, а также ответов на обращения граждан.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yellow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yellow"/>
          <w:u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Постоянные комиссии являются постоянно дей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ствующими органами Думы города, образованными в целях подготовки </w:t>
        <w:br/>
        <w:t xml:space="preserve">и предварительного рассмотрения вопросов, относящихся </w:t>
        <w:br/>
        <w:t xml:space="preserve">к компетенции Думы города.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029"/>
        <w:contextualSpacing w:val="0"/>
        <w:ind w:right="0" w:firstLine="708"/>
        <w:jc w:val="both"/>
        <w:spacing w:after="0" w:afterAutospacing="0" w:line="240" w:lineRule="auto"/>
        <w:shd w:val="clear" w:color="ffffff" w:themeColor="background1" w:fill="ffffff" w:themeFill="background1"/>
        <w:widowControl/>
        <w:rPr>
          <w:rFonts w:ascii="Liberation Sans" w:hAnsi="Liberation Sans" w:cs="Liberation Sans"/>
          <w:b w:val="0"/>
          <w:bCs w:val="0"/>
          <w:color w:val="000000" w:themeColor="text1"/>
          <w:spacing w:val="-11"/>
          <w:sz w:val="28"/>
          <w:szCs w:val="28"/>
          <w:highlight w:val="whit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В 20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25 году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постоянными комис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сиями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 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 проведено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 </w:t>
        <w:br/>
        <w:t xml:space="preserve">37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 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  <w:u w:val="none"/>
        </w:rPr>
        <w:t xml:space="preserve"> в том числе: </w:t>
      </w:r>
      <w:r>
        <w:rPr>
          <w:rFonts w:ascii="Liberation Sans" w:hAnsi="Liberation Sans" w:cs="Liberation Sans"/>
          <w:b w:val="0"/>
          <w:bCs w:val="0"/>
          <w:color w:val="000000" w:themeColor="text1"/>
          <w:spacing w:val="-1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pacing w:val="-11"/>
          <w:sz w:val="28"/>
          <w:szCs w:val="28"/>
          <w:highlight w:val="white"/>
          <w:u w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6 заседаний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омиссии по бюджету, финансам, экономической </w:t>
        <w:br/>
        <w:t xml:space="preserve">и 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логовой политике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(общее количество рассмотренн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ых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вопросов – 11;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подготовлено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9 положительных заключений на проекты решений Думы горо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6 заседаний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комиссии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по вопросам город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ского хозяйства, градостроит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ельству, земельным отношениям и управлению муниципальной собственностью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(общее количество рассмотренных во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просов 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25; подготовлено 23 положительных заключения </w:t>
        <w:br/>
        <w:t xml:space="preserve">на проекты решений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);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9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заседа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омиссии по вопросам местного самоуправления </w:t>
        <w:br/>
        <w:t xml:space="preserve">и общественной безопасности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(общее количество рассмо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тренных вопросов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подготовлено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положительных заключения на проекты решений Думы города)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-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заседаний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комиссии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по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социальной политике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(общее количество рассмотренных вопросов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9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подготовлено 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7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положительных заключений на проекты решений Думы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города)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заседаний комиссии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none"/>
          <w:lang w:val="ru-RU"/>
        </w:rPr>
        <w:t xml:space="preserve">по Регламенту и депутатской этике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(общее количество рассмотренных вопросов 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18;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подготовлено </w:t>
        <w:br/>
        <w:t xml:space="preserve">17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положительных заключений на рассмотренные проекты решений Думы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).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85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Кроме того,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комиссией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по Регламенту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  <w:lang w:val="ru-RU"/>
        </w:rPr>
        <w:t xml:space="preserve"> и депутатской этике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подготовлено 7 проектов решений о награждении почетной грамотой Думы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128 новоуренгойцев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сумм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 единовременных денежных вознаграждений к почётной 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рамоте Ду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мы города в 2025 году составила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729 600,00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рубл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ей).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5"/>
        <w:ind w:firstLine="708"/>
        <w:jc w:val="both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2025 году </w:t>
      </w:r>
      <w:r>
        <w:rPr>
          <w:rFonts w:ascii="Liberation Sans" w:hAnsi="Liberation Sans" w:eastAsia="Liberation Sans" w:cs="Liberation Sans"/>
          <w:color w:val="000000"/>
          <w:spacing w:val="3"/>
          <w:sz w:val="28"/>
          <w:szCs w:val="28"/>
          <w:highlight w:val="white"/>
        </w:rPr>
        <w:t xml:space="preserve">депутаты Думы города осуществляли работу </w:t>
        <w:br/>
        <w:t xml:space="preserve">в составе коллегиальных </w:t>
      </w:r>
      <w:r>
        <w:rPr>
          <w:rFonts w:ascii="Liberation Sans" w:hAnsi="Liberation Sans" w:eastAsia="Liberation Sans" w:cs="Liberation Sans"/>
          <w:color w:val="000000"/>
          <w:spacing w:val="3"/>
          <w:sz w:val="28"/>
          <w:szCs w:val="28"/>
          <w:highlight w:val="white"/>
        </w:rPr>
        <w:t xml:space="preserve">органов </w:t>
      </w:r>
      <w:r>
        <w:rPr>
          <w:rFonts w:ascii="Liberation Sans" w:hAnsi="Liberation Sans" w:eastAsia="Liberation Sans" w:cs="Liberation Sans"/>
          <w:color w:val="000000"/>
          <w:spacing w:val="3"/>
          <w:sz w:val="28"/>
          <w:szCs w:val="28"/>
          <w:highlight w:val="white"/>
        </w:rPr>
        <w:t xml:space="preserve">Администрации </w:t>
      </w:r>
      <w:r>
        <w:rPr>
          <w:rFonts w:ascii="Liberation Sans" w:hAnsi="Liberation Sans" w:eastAsia="Liberation Sans" w:cs="Liberation Sans"/>
          <w:color w:val="000000"/>
          <w:spacing w:val="3"/>
          <w:sz w:val="28"/>
          <w:szCs w:val="28"/>
          <w:highlight w:val="white"/>
        </w:rPr>
        <w:t xml:space="preserve">города Новый Уренгой: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овета по финансово-бюджетной 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олитике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межведомственной комиссии по охране труда муниципального образования город Новый Уренгой;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межведомственном совете при Главе города Новый Уренгой; межведомственной комиссии </w:t>
        <w:br/>
        <w:t xml:space="preserve">по профилактике правонарушений в муниципальном образовании; 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иссии по делам несовершеннолетних и защите их прав; комиссии по организации отдыха, оздоровления и трудовой занятости детей </w:t>
        <w:br/>
        <w:t xml:space="preserve">и молодёжи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ан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тина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ркотической комиссии в муниципальном образовании город Новый Уренгой; городской комиссии </w:t>
        <w:br/>
        <w:t xml:space="preserve">по безопасности дорожного движения; Координационном 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овете </w:t>
        <w:br/>
        <w:t xml:space="preserve">по делам инвалидов при Главе города;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комиссии по присвоению почетного звания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Почётный гражданин города Новый Уренгой»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рамках взаимодействия с органами 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осударственной власти Председатель и депутаты Думы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города в течение года принимали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участие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различных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мероприя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тиях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17 марта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расширенном заседании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Ко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митета Законодательного Собрания Ямало-Ненецкого автономного округа </w:t>
        <w:br/>
        <w:t xml:space="preserve">по социальной политике, в рамках которого обсуждались вопросы </w:t>
        <w:br/>
        <w:t xml:space="preserve">о реабилитации и социальной адаптации ветеранов боевых действий, участников специальной военной операции и членов их семей,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режиме видео-конференц-связи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21 мар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та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Совете законодателей Тюменской области, Ямало-Не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нецкого автономного округа и Ханты-Мансийского автономного округа, в рамках которого обсуждались вопросы по подготовке </w:t>
        <w:br/>
        <w:t xml:space="preserve">к 80-летию Победы в Великой Отечественной войне, усилению мер поддержки участникам специальной военной операции и их семьям.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14 апреля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во Всероссийской конференции по развитию представительных органов муниципальных образований </w:t>
        <w:br/>
        <w:t xml:space="preserve">и общественного самоуправления на региональном и местном уров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нях с опорой на традиционные российские духовно-нравственные и культурно-исторические ценности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режиме видео-конференц-связи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9 июня – в заседании Молодежного парламента при Законо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дательном Собрании Ямало-Ненецкого автономного округа, </w:t>
        <w:br/>
        <w:t xml:space="preserve">в рамках которого обсуждались вопросы развития молодежного парламентаризма на Ямале до 2030 года, в режиме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21 июля – в заседании Палаты молодых законодателей </w:t>
        <w:br/>
        <w:t xml:space="preserve">в г. Москв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в рамках которого обсуждались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перспектив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ы законодательных инициатив, направленных на развитие молодёжной политики и других сфер жизни граждан России.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17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 21 ноября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стажировке депутатов муниципальных образований в Законодательном Собрании Ямало-Ненецкого автономного округа в г. Салехард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5 декабря – в правовом брифинге Законодательного Собрания  Ямало-Ненецкого автономного округа на тему «Кадры для Арктики: текущая ситуация, актуальные вопросы и пути их 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ешения»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режиме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рамках реализации контрольных полномочий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2025 году депутаты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Думы города приняли 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частие 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9 рейдовых мероприятиях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55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 очистке дворовых территорий от снега и оценке качества зимнего содержания дворовых территорий (1);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55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проверке качества питания в школьной столовой (1);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55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осмотру строящихся значимых городских объектов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(4)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55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осмотру состояния детских и спортивных площадок </w:t>
        <w:br/>
        <w:t xml:space="preserve">во дворах многоквартирных домов города (2);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55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 содержанию теплых автобусных остановок города (1).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Депутаты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приняли участие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27 публичных слушаниях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в том числе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по вопросам: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утверждения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Устава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городского округа город </w:t>
        <w:br/>
        <w:t xml:space="preserve">Новый Уренгой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об исполнении бюджета города Новый Уренгой за 2024 год;</w:t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3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бюджете города Новый Уренгой на 2026 год </w:t>
        <w:br/>
        <w:t xml:space="preserve">и на пла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новый период 2027 и 2028 годов;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– «Гостиничное обслуживание» в отношении зем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ельного участка с кадастровым номером 89:11:020204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:1457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0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внесения изменений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документацию по планировке территории линейного объекта «Реконструкция участков улиц Подшибякина, Дружбы Народов, Западной Магистрали в г.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2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 утверждении документации по планировке территории </w:t>
        <w:br/>
        <w:t xml:space="preserve">в отношении линейного объекта «Строительство железнодорожного пути необщего пользо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вания ООО «СТН» с примыканием по станции Еваяха Свердловской железной дороги – филиала ОАО «РЖД» </w:t>
        <w:br/>
        <w:t xml:space="preserve">1 и 2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этапы строительства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2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 внесении изменений в постановление Администрации города Новый Уренгой от 01.10.2021 № 406 в отношении территории элемента планировочной структуры 01:11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микрорайон Полярный;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2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участка, расположенного в р-не Лимбяяха, для размещения объекта «Очистные сооружения КОС-1»;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2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внесения изменений в постановление Администрации города Новый Уренгой от 21.06.2022 № 240 «Об утверждении Правил землепользования и застройки муниципального образования город Новый Уренгой»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Одним из важных направлений деятельности депутатского корпуса остаётся работа с обращениями граждан.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В 2025 году </w:t>
        <w:br/>
        <w:t xml:space="preserve">в депутатскую пр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иёмную поступило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7 пис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ьменных и 74 устных обращения граждан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Письменные 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бращения, направленные в Думу города, регистрировались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 портале «Сетевой справочный телефонный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уз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ел РФ» в установленном порядке.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Совместно с местным отделением партии «ЕДИНАЯ РОССИЯ»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прин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ято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33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обращения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Итого 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114 обращений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Количество поступивших обращений по сферам (направлениям):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государство, общество, политика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 4;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опросы по оказанию содействия участникам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специальной военной операции и членам их семей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12;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опросы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обеспечению жильем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22;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вопросы социальной сферы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23; 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вопросы здравоохранения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2;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вопросы жилищно-коммунального хозяйства, хозяйственн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о-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бытовых услуг, благоустройства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21;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вопросы труда, трудоустройства и заработной платы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16;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54"/>
        <w:numPr>
          <w:ilvl w:val="0"/>
          <w:numId w:val="44"/>
        </w:numPr>
        <w:contextualSpacing w:val="0"/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иные вопросы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14.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Таким образом, в процентном соотношении большинство обращений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остаются по вопросам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социальной сферы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20%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):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оказание содействия в оформлении ежемесячных пособий, звания «Вет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еран труда», установлении пенсии по старости,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проезда на территорию аэропорта для граждан инвалидов,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восстановление документов </w:t>
        <w:br/>
        <w:t xml:space="preserve">об образовании,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получение социальных субсидий при переезде </w:t>
        <w:br/>
        <w:t xml:space="preserve">из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Доля вопросов по обеспечению жильем составила 19%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(переселение из ветхого аварийного жилья, оформление семейной, арктической ипотеки, предоставление жилья представителям КМНС,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споры о правах собственности на жилое помещение, признанное аварийным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опросы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жилищно-коммунального хозяйства, хозяйственно-бытовых услуг и благоустройства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составили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18%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от общего количества (жалобы на бездействие управляющей компании </w:t>
        <w:br/>
        <w:t xml:space="preserve">в ситуации с протеканием крыши МКД,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содержание контейнерных площадок на придомовой территории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очистка дворовых территорий от снега и льда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устранение шума в квартире после замены теплоузла в подъезде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Положительно решены вопросы о монтаже коммуникационных сете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й интернет в микрорайоне Заозёрный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 установке дорожного знака «Инвалид» во дворе многоквартирного дома, по устранению уличной торговли овощами и фруктами в районе торгового центра «Белые ночи».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 итогам 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ассмотрения обращений: 68 – решено положительно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(60%)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 46 вопросам даны подробные разъяснения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(40%)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Ямало-Ненецком автономном округе 2025 год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был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объявлен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Годо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 героев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В честь 80-летия Победы, в преддверии юбилея основания города Новый Уренгой и в знак благодарности героям - ветеранам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Великой Отечественной войны, первопроходцам города </w:t>
        <w:br/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участникам специ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альной военной операции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– Дума города провела конкурс детских рисунков «Мой герой».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 конкурс подана 151 заявка от юных горожан.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2025 году депутаты приняли участие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олее чем </w:t>
        <w:br/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0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общегородских мероприятиях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торжественная церемония открытия Года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еро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ородской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естиваль науки;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День оленевод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Ямальский нефтегазовый форум – 2025;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емпионат России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br/>
        <w:t xml:space="preserve">по волейболу на снегу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благотворительны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акци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: «Собери ребенка </w:t>
        <w:br/>
        <w:t xml:space="preserve">в школу», «Новый Уренгой – Волновахскому району», «В гости </w:t>
        <w:br/>
        <w:t xml:space="preserve">к ветерану», «Коробка храбрости»,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лка заботы», «Новый год </w:t>
        <w:br/>
        <w:t xml:space="preserve">в каждый дом»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и другие).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Информирование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о работе представительного органа города Новый Уренгой осуществляется посредством официального сайта в сети Интернет 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https://dumanur.yanao.ru/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2025 году пользователи посетили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сайт Ду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9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en-US"/>
        </w:rPr>
        <w:t xml:space="preserve">479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раз.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firstLine="708"/>
        <w:jc w:val="both"/>
        <w:spacing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Также информация о деятельности Думы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размещается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br/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социальных сетях «ВКонтакте»,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Одноклассники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мессенджерах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«Телеграм»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«Макс»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688 информационных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постов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У 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епутат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им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еют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личные аккаунты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вышеуказанных социальны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х сетях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  <w:br/>
        <w:t xml:space="preserve">и мессендж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ерах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что положительно от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ражается на открытости </w:t>
        <w:br/>
        <w:t xml:space="preserve">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доступности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информаци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 о деятельности депутатского корпуса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для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избирателей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В 2025 году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депутат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разме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стили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 своих страницах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3856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ублик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аций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2026 году работа депутатского корпуса будет продолжена </w:t>
        <w:br/>
        <w:t xml:space="preserve">в тесном взаимодействии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 Администрацией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 Приоритетным направлением останется обеспечение интересов избирателей и дальнейшее социально-экономическое развитие города Новый Уренгой.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sectPr>
      <w:headerReference w:type="default" r:id="rId11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6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6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6">
    <w:name w:val="Heading 1"/>
    <w:basedOn w:val="1014"/>
    <w:next w:val="1014"/>
    <w:link w:val="8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7">
    <w:name w:val="Heading 1 Char"/>
    <w:link w:val="836"/>
    <w:uiPriority w:val="9"/>
    <w:rPr>
      <w:rFonts w:ascii="Arial" w:hAnsi="Arial" w:eastAsia="Arial" w:cs="Arial"/>
      <w:sz w:val="40"/>
      <w:szCs w:val="40"/>
    </w:rPr>
  </w:style>
  <w:style w:type="paragraph" w:styleId="838">
    <w:name w:val="Heading 2"/>
    <w:basedOn w:val="1014"/>
    <w:next w:val="1014"/>
    <w:link w:val="8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9">
    <w:name w:val="Heading 2 Char"/>
    <w:link w:val="838"/>
    <w:uiPriority w:val="9"/>
    <w:rPr>
      <w:rFonts w:ascii="Arial" w:hAnsi="Arial" w:eastAsia="Arial" w:cs="Arial"/>
      <w:sz w:val="34"/>
    </w:rPr>
  </w:style>
  <w:style w:type="paragraph" w:styleId="840">
    <w:name w:val="Heading 3"/>
    <w:basedOn w:val="1014"/>
    <w:next w:val="1014"/>
    <w:link w:val="8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1">
    <w:name w:val="Heading 3 Char"/>
    <w:link w:val="840"/>
    <w:uiPriority w:val="9"/>
    <w:rPr>
      <w:rFonts w:ascii="Arial" w:hAnsi="Arial" w:eastAsia="Arial" w:cs="Arial"/>
      <w:sz w:val="30"/>
      <w:szCs w:val="30"/>
    </w:rPr>
  </w:style>
  <w:style w:type="paragraph" w:styleId="842">
    <w:name w:val="Heading 4"/>
    <w:basedOn w:val="1014"/>
    <w:next w:val="1014"/>
    <w:link w:val="8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4 Char"/>
    <w:link w:val="842"/>
    <w:uiPriority w:val="9"/>
    <w:rPr>
      <w:rFonts w:ascii="Arial" w:hAnsi="Arial" w:eastAsia="Arial" w:cs="Arial"/>
      <w:b/>
      <w:bCs/>
      <w:sz w:val="26"/>
      <w:szCs w:val="26"/>
    </w:rPr>
  </w:style>
  <w:style w:type="paragraph" w:styleId="844">
    <w:name w:val="Heading 5"/>
    <w:basedOn w:val="1014"/>
    <w:next w:val="1014"/>
    <w:link w:val="8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5">
    <w:name w:val="Heading 5 Char"/>
    <w:link w:val="844"/>
    <w:uiPriority w:val="9"/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1014"/>
    <w:next w:val="1014"/>
    <w:link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7">
    <w:name w:val="Heading 6 Char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848">
    <w:name w:val="Heading 7"/>
    <w:basedOn w:val="1014"/>
    <w:next w:val="1014"/>
    <w:link w:val="8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>
    <w:name w:val="Heading 7 Char"/>
    <w:link w:val="8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0">
    <w:name w:val="Heading 8"/>
    <w:basedOn w:val="1014"/>
    <w:next w:val="1014"/>
    <w:link w:val="8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1">
    <w:name w:val="Heading 8 Char"/>
    <w:link w:val="850"/>
    <w:uiPriority w:val="9"/>
    <w:rPr>
      <w:rFonts w:ascii="Arial" w:hAnsi="Arial" w:eastAsia="Arial" w:cs="Arial"/>
      <w:i/>
      <w:iCs/>
      <w:sz w:val="22"/>
      <w:szCs w:val="22"/>
    </w:rPr>
  </w:style>
  <w:style w:type="paragraph" w:styleId="852">
    <w:name w:val="Heading 9"/>
    <w:basedOn w:val="1014"/>
    <w:next w:val="1014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3">
    <w:name w:val="Heading 9 Char"/>
    <w:link w:val="852"/>
    <w:uiPriority w:val="9"/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1014"/>
    <w:uiPriority w:val="34"/>
    <w:qFormat/>
    <w:pPr>
      <w:contextualSpacing/>
      <w:ind w:left="720"/>
    </w:pPr>
  </w:style>
  <w:style w:type="paragraph" w:styleId="855">
    <w:name w:val="No Spacing"/>
    <w:uiPriority w:val="1"/>
    <w:qFormat/>
    <w:pPr>
      <w:spacing w:before="0" w:after="0" w:line="240" w:lineRule="auto"/>
    </w:pPr>
  </w:style>
  <w:style w:type="paragraph" w:styleId="856">
    <w:name w:val="Title"/>
    <w:basedOn w:val="1014"/>
    <w:next w:val="1014"/>
    <w:link w:val="8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7">
    <w:name w:val="Title Char"/>
    <w:link w:val="856"/>
    <w:uiPriority w:val="10"/>
    <w:rPr>
      <w:sz w:val="48"/>
      <w:szCs w:val="48"/>
    </w:rPr>
  </w:style>
  <w:style w:type="paragraph" w:styleId="858">
    <w:name w:val="Subtitle"/>
    <w:basedOn w:val="1014"/>
    <w:next w:val="1014"/>
    <w:link w:val="859"/>
    <w:uiPriority w:val="11"/>
    <w:qFormat/>
    <w:pPr>
      <w:spacing w:before="200" w:after="200"/>
    </w:pPr>
    <w:rPr>
      <w:sz w:val="24"/>
      <w:szCs w:val="24"/>
    </w:rPr>
  </w:style>
  <w:style w:type="character" w:styleId="859">
    <w:name w:val="Subtitle Char"/>
    <w:link w:val="858"/>
    <w:uiPriority w:val="11"/>
    <w:rPr>
      <w:sz w:val="24"/>
      <w:szCs w:val="24"/>
    </w:rPr>
  </w:style>
  <w:style w:type="paragraph" w:styleId="860">
    <w:name w:val="Quote"/>
    <w:basedOn w:val="1014"/>
    <w:next w:val="1014"/>
    <w:link w:val="861"/>
    <w:uiPriority w:val="29"/>
    <w:qFormat/>
    <w:pPr>
      <w:ind w:left="720" w:right="720"/>
    </w:pPr>
    <w:rPr>
      <w:i/>
    </w:rPr>
  </w:style>
  <w:style w:type="character" w:styleId="861">
    <w:name w:val="Quote Char"/>
    <w:link w:val="860"/>
    <w:uiPriority w:val="29"/>
    <w:rPr>
      <w:i/>
    </w:rPr>
  </w:style>
  <w:style w:type="paragraph" w:styleId="862">
    <w:name w:val="Intense Quote"/>
    <w:basedOn w:val="1014"/>
    <w:next w:val="1014"/>
    <w:link w:val="8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3">
    <w:name w:val="Intense Quote Char"/>
    <w:link w:val="862"/>
    <w:uiPriority w:val="30"/>
    <w:rPr>
      <w:i/>
    </w:rPr>
  </w:style>
  <w:style w:type="paragraph" w:styleId="864">
    <w:name w:val="Header"/>
    <w:basedOn w:val="1014"/>
    <w:link w:val="8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5">
    <w:name w:val="Header Char"/>
    <w:link w:val="864"/>
    <w:uiPriority w:val="99"/>
  </w:style>
  <w:style w:type="paragraph" w:styleId="866">
    <w:name w:val="Footer"/>
    <w:basedOn w:val="1014"/>
    <w:link w:val="8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7">
    <w:name w:val="Footer Char"/>
    <w:link w:val="866"/>
    <w:uiPriority w:val="99"/>
  </w:style>
  <w:style w:type="paragraph" w:styleId="868">
    <w:name w:val="Caption"/>
    <w:basedOn w:val="1014"/>
    <w:next w:val="10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9">
    <w:name w:val="Caption Char"/>
    <w:basedOn w:val="868"/>
    <w:link w:val="866"/>
    <w:uiPriority w:val="99"/>
  </w:style>
  <w:style w:type="table" w:styleId="8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6">
    <w:name w:val="Hyperlink"/>
    <w:uiPriority w:val="99"/>
    <w:unhideWhenUsed/>
    <w:rPr>
      <w:color w:val="0000ff" w:themeColor="hyperlink"/>
      <w:u w:val="single"/>
    </w:rPr>
  </w:style>
  <w:style w:type="paragraph" w:styleId="997">
    <w:name w:val="footnote text"/>
    <w:basedOn w:val="1014"/>
    <w:link w:val="998"/>
    <w:uiPriority w:val="99"/>
    <w:semiHidden/>
    <w:unhideWhenUsed/>
    <w:pPr>
      <w:spacing w:after="40" w:line="240" w:lineRule="auto"/>
    </w:pPr>
    <w:rPr>
      <w:sz w:val="18"/>
    </w:rPr>
  </w:style>
  <w:style w:type="character" w:styleId="998">
    <w:name w:val="Footnote Text Char"/>
    <w:link w:val="997"/>
    <w:uiPriority w:val="99"/>
    <w:rPr>
      <w:sz w:val="18"/>
    </w:rPr>
  </w:style>
  <w:style w:type="character" w:styleId="999">
    <w:name w:val="footnote reference"/>
    <w:uiPriority w:val="99"/>
    <w:unhideWhenUsed/>
    <w:rPr>
      <w:vertAlign w:val="superscript"/>
    </w:rPr>
  </w:style>
  <w:style w:type="paragraph" w:styleId="1000">
    <w:name w:val="endnote text"/>
    <w:basedOn w:val="1014"/>
    <w:link w:val="1001"/>
    <w:uiPriority w:val="99"/>
    <w:semiHidden/>
    <w:unhideWhenUsed/>
    <w:pPr>
      <w:spacing w:after="0" w:line="240" w:lineRule="auto"/>
    </w:pPr>
    <w:rPr>
      <w:sz w:val="20"/>
    </w:rPr>
  </w:style>
  <w:style w:type="character" w:styleId="1001">
    <w:name w:val="Endnote Text Char"/>
    <w:link w:val="1000"/>
    <w:uiPriority w:val="99"/>
    <w:rPr>
      <w:sz w:val="20"/>
    </w:rPr>
  </w:style>
  <w:style w:type="character" w:styleId="1002">
    <w:name w:val="endnote reference"/>
    <w:uiPriority w:val="99"/>
    <w:semiHidden/>
    <w:unhideWhenUsed/>
    <w:rPr>
      <w:vertAlign w:val="superscript"/>
    </w:rPr>
  </w:style>
  <w:style w:type="paragraph" w:styleId="1003">
    <w:name w:val="toc 1"/>
    <w:basedOn w:val="1014"/>
    <w:next w:val="1014"/>
    <w:uiPriority w:val="39"/>
    <w:unhideWhenUsed/>
    <w:pPr>
      <w:ind w:left="0" w:right="0" w:firstLine="0"/>
      <w:spacing w:after="57"/>
    </w:pPr>
  </w:style>
  <w:style w:type="paragraph" w:styleId="1004">
    <w:name w:val="toc 2"/>
    <w:basedOn w:val="1014"/>
    <w:next w:val="1014"/>
    <w:uiPriority w:val="39"/>
    <w:unhideWhenUsed/>
    <w:pPr>
      <w:ind w:left="283" w:right="0" w:firstLine="0"/>
      <w:spacing w:after="57"/>
    </w:pPr>
  </w:style>
  <w:style w:type="paragraph" w:styleId="1005">
    <w:name w:val="toc 3"/>
    <w:basedOn w:val="1014"/>
    <w:next w:val="1014"/>
    <w:uiPriority w:val="39"/>
    <w:unhideWhenUsed/>
    <w:pPr>
      <w:ind w:left="567" w:right="0" w:firstLine="0"/>
      <w:spacing w:after="57"/>
    </w:pPr>
  </w:style>
  <w:style w:type="paragraph" w:styleId="1006">
    <w:name w:val="toc 4"/>
    <w:basedOn w:val="1014"/>
    <w:next w:val="1014"/>
    <w:uiPriority w:val="39"/>
    <w:unhideWhenUsed/>
    <w:pPr>
      <w:ind w:left="850" w:right="0" w:firstLine="0"/>
      <w:spacing w:after="57"/>
    </w:pPr>
  </w:style>
  <w:style w:type="paragraph" w:styleId="1007">
    <w:name w:val="toc 5"/>
    <w:basedOn w:val="1014"/>
    <w:next w:val="1014"/>
    <w:uiPriority w:val="39"/>
    <w:unhideWhenUsed/>
    <w:pPr>
      <w:ind w:left="1134" w:right="0" w:firstLine="0"/>
      <w:spacing w:after="57"/>
    </w:pPr>
  </w:style>
  <w:style w:type="paragraph" w:styleId="1008">
    <w:name w:val="toc 6"/>
    <w:basedOn w:val="1014"/>
    <w:next w:val="1014"/>
    <w:uiPriority w:val="39"/>
    <w:unhideWhenUsed/>
    <w:pPr>
      <w:ind w:left="1417" w:right="0" w:firstLine="0"/>
      <w:spacing w:after="57"/>
    </w:pPr>
  </w:style>
  <w:style w:type="paragraph" w:styleId="1009">
    <w:name w:val="toc 7"/>
    <w:basedOn w:val="1014"/>
    <w:next w:val="1014"/>
    <w:uiPriority w:val="39"/>
    <w:unhideWhenUsed/>
    <w:pPr>
      <w:ind w:left="1701" w:right="0" w:firstLine="0"/>
      <w:spacing w:after="57"/>
    </w:pPr>
  </w:style>
  <w:style w:type="paragraph" w:styleId="1010">
    <w:name w:val="toc 8"/>
    <w:basedOn w:val="1014"/>
    <w:next w:val="1014"/>
    <w:uiPriority w:val="39"/>
    <w:unhideWhenUsed/>
    <w:pPr>
      <w:ind w:left="1984" w:right="0" w:firstLine="0"/>
      <w:spacing w:after="57"/>
    </w:pPr>
  </w:style>
  <w:style w:type="paragraph" w:styleId="1011">
    <w:name w:val="toc 9"/>
    <w:basedOn w:val="1014"/>
    <w:next w:val="1014"/>
    <w:uiPriority w:val="39"/>
    <w:unhideWhenUsed/>
    <w:pPr>
      <w:ind w:left="2268" w:right="0" w:firstLine="0"/>
      <w:spacing w:after="57"/>
    </w:pPr>
  </w:style>
  <w:style w:type="paragraph" w:styleId="1012">
    <w:name w:val="TOC Heading"/>
    <w:uiPriority w:val="39"/>
    <w:unhideWhenUsed/>
  </w:style>
  <w:style w:type="paragraph" w:styleId="1013">
    <w:name w:val="table of figures"/>
    <w:basedOn w:val="1014"/>
    <w:next w:val="1014"/>
    <w:uiPriority w:val="99"/>
    <w:unhideWhenUsed/>
    <w:pPr>
      <w:spacing w:after="0" w:afterAutospacing="0"/>
    </w:pPr>
  </w:style>
  <w:style w:type="paragraph" w:styleId="1014" w:default="1">
    <w:name w:val="Normal"/>
    <w:next w:val="1014"/>
    <w:link w:val="1014"/>
    <w:qFormat/>
    <w:rPr>
      <w:sz w:val="28"/>
      <w:szCs w:val="28"/>
      <w:lang w:val="ru-RU" w:eastAsia="ru-RU" w:bidi="ar-SA"/>
    </w:rPr>
  </w:style>
  <w:style w:type="character" w:styleId="1015">
    <w:name w:val="Основной шрифт абзаца"/>
    <w:next w:val="1015"/>
    <w:link w:val="1014"/>
    <w:semiHidden/>
  </w:style>
  <w:style w:type="table" w:styleId="1016">
    <w:name w:val="Обычная таблица"/>
    <w:next w:val="1016"/>
    <w:link w:val="1014"/>
    <w:semiHidden/>
    <w:tblPr/>
  </w:style>
  <w:style w:type="numbering" w:styleId="1017">
    <w:name w:val="Нет списка"/>
    <w:next w:val="1017"/>
    <w:link w:val="1014"/>
    <w:semiHidden/>
  </w:style>
  <w:style w:type="paragraph" w:styleId="1018">
    <w:name w:val="Верхний колонтитул"/>
    <w:basedOn w:val="1014"/>
    <w:next w:val="1018"/>
    <w:link w:val="1023"/>
    <w:pPr>
      <w:tabs>
        <w:tab w:val="center" w:pos="4153" w:leader="none"/>
        <w:tab w:val="right" w:pos="8306" w:leader="none"/>
      </w:tabs>
    </w:pPr>
  </w:style>
  <w:style w:type="table" w:styleId="1019">
    <w:name w:val="Сетка таблицы"/>
    <w:basedOn w:val="1016"/>
    <w:next w:val="1019"/>
    <w:link w:val="1014"/>
    <w:tblPr/>
  </w:style>
  <w:style w:type="paragraph" w:styleId="1020">
    <w:name w:val="ConsPlusNormal"/>
    <w:next w:val="1020"/>
    <w:link w:val="101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21">
    <w:name w:val="ConsPlusTitle"/>
    <w:next w:val="1021"/>
    <w:link w:val="1014"/>
    <w:rPr>
      <w:b/>
      <w:bCs/>
      <w:sz w:val="24"/>
      <w:szCs w:val="24"/>
      <w:lang w:val="ru-RU" w:eastAsia="ru-RU" w:bidi="ar-SA"/>
    </w:rPr>
  </w:style>
  <w:style w:type="paragraph" w:styleId="1022">
    <w:name w:val="Знак"/>
    <w:basedOn w:val="1014"/>
    <w:next w:val="1022"/>
    <w:link w:val="10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23">
    <w:name w:val="Верхний колонтитул Знак"/>
    <w:basedOn w:val="1015"/>
    <w:next w:val="1023"/>
    <w:link w:val="1018"/>
    <w:rPr>
      <w:sz w:val="28"/>
      <w:szCs w:val="28"/>
      <w:lang w:val="ru-RU" w:eastAsia="ru-RU" w:bidi="ar-SA"/>
    </w:rPr>
  </w:style>
  <w:style w:type="character" w:styleId="1024" w:default="1">
    <w:name w:val="Default Paragraph Font"/>
    <w:uiPriority w:val="1"/>
    <w:semiHidden/>
    <w:unhideWhenUsed/>
  </w:style>
  <w:style w:type="numbering" w:styleId="1025" w:default="1">
    <w:name w:val="No List"/>
    <w:uiPriority w:val="99"/>
    <w:semiHidden/>
    <w:unhideWhenUsed/>
  </w:style>
  <w:style w:type="table" w:styleId="1026" w:default="1">
    <w:name w:val="Normal Table"/>
    <w:uiPriority w:val="99"/>
    <w:semiHidden/>
    <w:unhideWhenUsed/>
    <w:tblPr/>
  </w:style>
  <w:style w:type="paragraph" w:styleId="1027" w:customStyle="1">
    <w:name w:val="Body Text Indent 2"/>
    <w:basedOn w:val="986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29" w:customStyle="1">
    <w:name w:val="ConsTitle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30" w:customStyle="1">
    <w:name w:val="Bespoke Basic"/>
    <w:basedOn w:val="999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408</cp:revision>
  <dcterms:created xsi:type="dcterms:W3CDTF">2008-11-10T06:13:00Z</dcterms:created>
  <dcterms:modified xsi:type="dcterms:W3CDTF">2026-04-29T06:05:31Z</dcterms:modified>
  <cp:version>786432</cp:version>
</cp:coreProperties>
</file>