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536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Приложение 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4536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 составу аукционной документации,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4536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утвержденной приказом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4536"/>
        <w:rPr>
          <w:rFonts w:ascii="Liberation Sans" w:hAnsi="Liberation Sans" w:cs="Liberation Sans"/>
          <w:color w:val="000000" w:themeColor="text1"/>
          <w:sz w:val="28"/>
          <w:szCs w:val="28"/>
          <w:u w:val="singl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u w:val="single"/>
        </w:rPr>
        <w:t xml:space="preserve">от        </w:t>
      </w:r>
      <w:r>
        <w:rPr>
          <w:rFonts w:ascii="Liberation Sans" w:hAnsi="Liberation Sans" w:cs="Liberation Sans"/>
          <w:color w:val="000000" w:themeColor="text1"/>
          <w:sz w:val="28"/>
          <w:szCs w:val="28"/>
          <w:u w:val="singl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u w:val="single"/>
        </w:rPr>
      </w:r>
    </w:p>
    <w:p>
      <w:pPr>
        <w:ind w:firstLine="4536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Извещение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о проведении электронного аукциона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на право заключения договора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 аренды земельного участка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№ 8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-2026/ЭЗ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ТОЛЬКО ДЛЯ ГРАЖДАН – ФИЗИЧЕСКИХ ЛИЦ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(НЕ ИНДИВИДУАЛЬНЫХ ПРЕДПРИНИМАТЕЛЕЙ)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Аукцион проводится: на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электронной площадке «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, размещенной на сайте </w:t>
      </w:r>
      <w:hyperlink r:id="rId11" w:tooltip="http://utp.sberbank-ast.ru" w:history="1"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  <w:lang w:val="en-US"/>
          </w:rPr>
          <w:t xml:space="preserve">http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</w:rPr>
          <w:t xml:space="preserve">://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  <w:lang w:val="en-US"/>
          </w:rPr>
          <w:t xml:space="preserve">utp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</w:rPr>
          <w:t xml:space="preserve">.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  <w:lang w:val="en-US"/>
          </w:rPr>
          <w:t xml:space="preserve">sberbank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</w:rPr>
          <w:t xml:space="preserve">-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  <w:lang w:val="en-US"/>
          </w:rPr>
          <w:t xml:space="preserve">ast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</w:rPr>
          <w:t xml:space="preserve">.</w:t>
        </w:r>
        <w:r>
          <w:rPr>
            <w:rFonts w:ascii="Liberation Sans" w:hAnsi="Liberation Sans" w:cs="Liberation Sans"/>
            <w:bCs/>
            <w:color w:val="000000" w:themeColor="text1"/>
            <w:sz w:val="28"/>
            <w:szCs w:val="28"/>
            <w:lang w:val="en-US"/>
          </w:rPr>
          <w:t xml:space="preserve">ru</w:t>
        </w:r>
      </w:hyperlink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 (торговая секция «Приватизация, аренда и продажа прав») в сети Интернет,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соответствии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 ст. 39.11, 39.12, 39.13, 39.18 Земельного кодекса Российской Федерации,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основании распоряжения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заместителя Главы Администра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ции города от 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29.10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.2025 № 2755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-рз «О проведении аукцио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на на право заключения договора аренды земельного участка с кадастровым номером 89:11:080201:12655 для индивидуального жилищного строительства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right="-1" w:firstLine="720"/>
        <w:jc w:val="both"/>
        <w:widowControl w:val="off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части, прямо не урегулированной действующим законодательством Российской Федерации, проведение аукциона регулируется настоящей аукционной документацией, регламентом Универсальной торговой платформы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», регламентом торговой секции «Приватизация, аренда и продажа прав» универсальной торговой платформы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right="126"/>
        <w:jc w:val="center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right="126"/>
        <w:jc w:val="center"/>
        <w:widowControl w:val="off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Общие положения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984"/>
        <w:contextualSpacing/>
        <w:ind w:firstLine="720"/>
        <w:jc w:val="both"/>
        <w:widowControl w:val="off"/>
        <w:rPr>
          <w:rFonts w:ascii="Liberation Sans" w:hAnsi="Liberation Sans" w:cs="Liberation Sans"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Организатор аукциона – Департамент имущественных и жилищных отношений Администрации города Новый Уренгой (далее –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ДИиЖО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, Организатор аукциона). 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</w:p>
    <w:p>
      <w:pPr>
        <w:pStyle w:val="984"/>
        <w:contextualSpacing/>
        <w:ind w:firstLine="720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Местонахождение: 629300,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 ЯНАО, г. Новый Уренгой,                                   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пр-т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 Ленинградский, д. 5б, телефон: (3494) 93-19-21, электронная почта: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dijo@nur.yanao.ru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84"/>
        <w:contextualSpacing/>
        <w:ind w:firstLine="720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  <w:r>
        <w:rPr>
          <w:rFonts w:ascii="Liberation Sans" w:hAnsi="Liberation Sans"/>
          <w:bCs/>
          <w:color w:val="000000" w:themeColor="text1"/>
          <w:sz w:val="28"/>
          <w:szCs w:val="28"/>
        </w:rPr>
        <w:t xml:space="preserve">Контактные лица – Иванцова Оксана Игоревна, Соловей Виталий Владимирович, телефон: 8 (3494) 93-19-43, электронная почта: </w:t>
      </w:r>
      <w:r>
        <w:rPr>
          <w:rFonts w:ascii="Liberation Sans" w:hAnsi="Liberation Sans"/>
          <w:bCs/>
          <w:color w:val="000000" w:themeColor="text1"/>
          <w:sz w:val="28"/>
          <w:szCs w:val="28"/>
        </w:rPr>
        <w:t xml:space="preserve">Ivan</w:t>
      </w:r>
      <w:r>
        <w:rPr>
          <w:rFonts w:ascii="Liberation Sans" w:hAnsi="Liberation Sans"/>
          <w:bCs/>
          <w:color w:val="000000" w:themeColor="text1"/>
          <w:sz w:val="28"/>
          <w:szCs w:val="28"/>
          <w:lang w:val="en-US"/>
        </w:rPr>
        <w:t xml:space="preserve">ts</w:t>
      </w:r>
      <w:r>
        <w:rPr>
          <w:rFonts w:ascii="Liberation Sans" w:hAnsi="Liberation Sans"/>
          <w:bCs/>
          <w:color w:val="000000" w:themeColor="text1"/>
          <w:sz w:val="28"/>
          <w:szCs w:val="28"/>
        </w:rPr>
        <w:t xml:space="preserve">ova.OI@nur.yanao.ru</w:t>
      </w:r>
      <w:r>
        <w:rPr>
          <w:rFonts w:ascii="Liberation Sans" w:hAnsi="Liberation Sans"/>
          <w:bCs/>
          <w:color w:val="000000" w:themeColor="text1"/>
          <w:sz w:val="28"/>
          <w:szCs w:val="28"/>
        </w:rPr>
        <w:t xml:space="preserve">, </w:t>
      </w:r>
      <w:hyperlink r:id="rId12" w:tooltip="mailto:solovey.vv@nur.yanao.ru" w:history="1">
        <w:r>
          <w:rPr>
            <w:rStyle w:val="973"/>
            <w:rFonts w:ascii="Liberation Sans" w:hAnsi="Liberation Sans"/>
            <w:bCs/>
            <w:color w:val="000000" w:themeColor="text1"/>
            <w:sz w:val="28"/>
            <w:szCs w:val="28"/>
          </w:rPr>
          <w:t xml:space="preserve">solovey.vv@nur.yanao.ru</w:t>
        </w:r>
      </w:hyperlink>
      <w:r>
        <w:rPr>
          <w:rFonts w:ascii="Liberation Sans" w:hAnsi="Liberation Sans"/>
          <w:bCs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84"/>
        <w:contextualSpacing/>
        <w:ind w:firstLine="720"/>
        <w:jc w:val="both"/>
        <w:widowControl w:val="off"/>
        <w:rPr>
          <w:rFonts w:ascii="Liberation Sans" w:hAnsi="Liberation Sans" w:cs="Liberation Sans"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Электронная площадка – Универсальная торговая платформа акционерное общество «Сбербанк - Автоматизированная система торгов» (далее – УТП АО «Сбербанк–АСТ», электронная пл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ощадка) (</w:t>
      </w:r>
      <w:hyperlink r:id="rId13" w:tooltip="https://utp.sberbank-ast.ru/AP/List/BidList" w:history="1">
        <w:r>
          <w:rPr>
            <w:rStyle w:val="973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).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</w:p>
    <w:p>
      <w:pPr>
        <w:pStyle w:val="984"/>
        <w:contextualSpacing/>
        <w:ind w:firstLine="720"/>
        <w:jc w:val="both"/>
        <w:widowControl w:val="off"/>
        <w:rPr>
          <w:rFonts w:ascii="Liberation Sans" w:hAnsi="Liberation Sans" w:cs="Liberation Sans"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Оператор электронной площадки: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акционерное общество                         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Сбербанк-Автоматизированная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система торгов» (далее –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», Оператор).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Юридический адрес: 127055, г. Москва,  ул.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Новослободская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д. 24,                      стр. 2.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84"/>
        <w:ind w:firstLine="709"/>
        <w:jc w:val="both"/>
        <w:spacing w:before="0" w:beforeAutospacing="0" w:after="0" w:afterAutospacing="0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Фактический адрес: 119435, г. Москва, Большой Саввинский переулок, дом 12, стр. 9.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Служба технической поддержки:</w:t>
      </w:r>
      <w:r>
        <w:rPr>
          <w:rFonts w:ascii="Liberation Sans" w:hAnsi="Liberation Sans" w:cs="Liberation Sans"/>
          <w:color w:val="000000" w:themeColor="text1"/>
          <w:sz w:val="28"/>
          <w:szCs w:val="28"/>
          <w:lang w:val="en-US"/>
        </w:rPr>
        <w:t xml:space="preserve"> </w:t>
      </w:r>
      <w:hyperlink r:id="rId14" w:tooltip="mailto:property@sberbank-ast.ru" w:history="1">
        <w:r>
          <w:rPr>
            <w:rFonts w:ascii="Liberation Sans" w:hAnsi="Liberation Sans" w:cs="Liberation Sans"/>
            <w:color w:val="000000" w:themeColor="text1"/>
            <w:sz w:val="28"/>
            <w:szCs w:val="28"/>
            <w:lang w:val="en-US"/>
          </w:rPr>
          <w:t xml:space="preserve">property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</w:rPr>
          <w:t xml:space="preserve">@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  <w:lang w:val="en-US"/>
          </w:rPr>
          <w:t xml:space="preserve">sberbank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</w:rPr>
          <w:t xml:space="preserve">-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  <w:lang w:val="en-US"/>
          </w:rPr>
          <w:t xml:space="preserve">ast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</w:rPr>
          <w:t xml:space="preserve">.</w:t>
        </w:r>
        <w:r>
          <w:rPr>
            <w:rFonts w:ascii="Liberation Sans" w:hAnsi="Liberation Sans" w:cs="Liberation Sans"/>
            <w:color w:val="000000" w:themeColor="text1"/>
            <w:sz w:val="28"/>
            <w:szCs w:val="28"/>
            <w:lang w:val="en-US"/>
          </w:rPr>
          <w:t xml:space="preserve">ru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Телефоны:  8 (800) 302-29-99, 8 (495) 787-29-97, 8 (495) 787-29-99,                                         8 (495) 539-59-23.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Претендент (заявитель)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пользователь торговой секции, подавший заявку на участие в аукционе.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Участник аукциона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лицо, участвующее в аукционе в соответствии с законодательством Российской Федерации и условиями настоящего извещения.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Предмет аукциона -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право на заключение договора аренды земельного участка на территории городского округа город Новый Уренгой.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Форма аукциона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аукцион в электронной форме, открытый по форме подачи предложений о цене с ограничением по составу участников –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только для граждан - физических лиц  (п. 10 ст. 39.11,    п. 7 ст. 39.18 ЗК РФ).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 результатам аукциона на право заключения договора аренды земельного участка определяется ежегодный размер арендной платы.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Проведение электронного аукциона на право заключения договора аренды земельного участка осуществляется на электронной площадке оператором электронной площадки.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84"/>
        <w:contextualSpacing/>
        <w:ind w:right="126" w:firstLine="720"/>
        <w:jc w:val="both"/>
        <w:spacing w:before="0" w:beforeAutospacing="0" w:after="0" w:afterAutospacing="0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84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Дата и время начала приема заявок на участие в аукционе: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                   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с 14 ч. 00 мин. (время московское) 24.03.2026.</w:t>
      </w:r>
      <w:r/>
    </w:p>
    <w:p>
      <w:pPr>
        <w:pStyle w:val="984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Дата и время окончания приема заявок на участие в аукционе: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         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  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до 09 ч. 59 мин. (время московское) 10.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04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.2026.</w:t>
      </w:r>
      <w:r/>
    </w:p>
    <w:p>
      <w:pPr>
        <w:pStyle w:val="984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Дата  определения участников аукциона: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13.04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.2026. </w:t>
      </w:r>
      <w:r/>
    </w:p>
    <w:p>
      <w:pPr>
        <w:pStyle w:val="984"/>
        <w:contextualSpacing/>
        <w:ind w:right="126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Дата и время проведения аукциона: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в 07 ч. 00 мин.                        (время московское) 14.04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.2026.</w:t>
      </w:r>
      <w:r>
        <w:rPr>
          <w:rFonts w:ascii="Liberation Sans" w:hAnsi="Liberation Sans" w:cs="Liberation Sans"/>
          <w:color w:val="000000"/>
        </w:rPr>
      </w:r>
      <w:r/>
    </w:p>
    <w:p>
      <w:pPr>
        <w:contextualSpacing/>
        <w:ind w:firstLine="709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аукцион выставлен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1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лот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Лот 1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Кадастровый номер: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89:11:080201:12655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Площадь: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811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кв. м.   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Местонахождение: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Ямало-Ненецкий автономный округ, город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Новый Уренгой, район Коротчаево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Назначение: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для индивидуального жилищного строительства.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Основной вид разрешенного использования: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для индивидуального жилищного строительства (код 2.1).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3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Принадлежность  земельного участка: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земли населенных пунктов.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3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Права на земельный участок: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земельный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участок образован из земель или земельного участка, государственная собственность на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которые не разграничена.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3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Срок аренды земельного участка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– 20 лет.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Кадастровая стоимость земельного участка составляет –                              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</w:rPr>
        <w:t xml:space="preserve">1 050 245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</w:rPr>
        <w:t xml:space="preserve">,00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руб.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Начальная цена предмета аукциона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(20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% от кадастровой стоимости земельно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го участка) составляет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Verdana" w:cs="Liberation Sans"/>
          <w:b w:val="0"/>
          <w:bCs w:val="0"/>
          <w:color w:val="000000"/>
          <w:sz w:val="28"/>
          <w:szCs w:val="28"/>
          <w:highlight w:val="white"/>
        </w:rPr>
        <w:t xml:space="preserve">210 049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,0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0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руб.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Расчет произведен в соответствии с постановлением Администрации города Новый Уренгой от 20.01.2016 № 4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(в ред. от 03.03.2020 № 75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 «Об установлении процентов кадастровой стоимости земельных участков, применяемых при определении размера начальной цены предмета аукциона на право заключения договоров аренды земельных участков».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right" w:pos="9637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Шаг аукциона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составляет 3% от начальной цены предмета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            аукциона –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Verdana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6 301,47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уб.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right" w:pos="9637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Размер задатка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составляет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20 % от начальной цены предмета аукциона –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Verdana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42 009,80</w:t>
      </w:r>
      <w:r>
        <w:rPr>
          <w:rFonts w:ascii="Liberation Sans" w:hAnsi="Liberation Sans" w:eastAsia="Verdana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руб.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003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ab/>
        <w:t xml:space="preserve">Согласно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Правил землепользования и застройки городского округа город Новый Уренгой Ямало-Ненецкого автономного округа</w:t>
      </w:r>
      <w:r>
        <w:rPr>
          <w:rFonts w:ascii="Liberation Sans" w:hAnsi="Liberation Sans" w:cs="Liberation Sans"/>
          <w:sz w:val="28"/>
          <w:szCs w:val="28"/>
        </w:rPr>
        <w:t xml:space="preserve">, утвержденных постановлением Администрации города Новый Уренгой от 29.12.2025 № 552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постановление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Администрации города Новый Уренгой от 21.06.2022 № 240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данный земельный участок расположен в зоне застройки индивидуальными жилыми домами (Ж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), предельное количество этажей – 3, максимальный процент застройки в границах земельного участка составляет 60%.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92"/>
        <w:jc w:val="center"/>
        <w:spacing w:after="0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b w:val="0"/>
          <w:i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pStyle w:val="992"/>
        <w:jc w:val="center"/>
        <w:spacing w:after="0"/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 w:val="0"/>
          <w:i w:val="0"/>
          <w:color w:val="000000" w:themeColor="text1"/>
          <w:sz w:val="28"/>
          <w:szCs w:val="28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ans" w:hAnsi="Liberation Sans" w:cs="Liberation Sans"/>
          <w:b w:val="0"/>
          <w:i w:val="0"/>
          <w:color w:val="000000" w:themeColor="text1"/>
          <w:sz w:val="28"/>
          <w:szCs w:val="28"/>
        </w:rPr>
        <w:t xml:space="preserve">в  зоне застройки индивидуальными жилыми домами (Ж</w:t>
      </w:r>
      <w:r>
        <w:rPr>
          <w:rFonts w:ascii="Liberation Sans" w:hAnsi="Liberation Sans" w:cs="Liberation Sans"/>
          <w:b w:val="0"/>
          <w:i w:val="0"/>
          <w:color w:val="000000" w:themeColor="text1"/>
          <w:sz w:val="28"/>
          <w:szCs w:val="28"/>
        </w:rPr>
        <w:t xml:space="preserve">-1</w:t>
      </w:r>
      <w:r>
        <w:rPr>
          <w:rFonts w:ascii="Liberation Sans" w:hAnsi="Liberation Sans" w:cs="Liberation Sans"/>
          <w:b w:val="0"/>
          <w:i w:val="0"/>
          <w:color w:val="000000" w:themeColor="text1"/>
          <w:sz w:val="28"/>
          <w:szCs w:val="28"/>
        </w:rPr>
        <w:t xml:space="preserve">)</w:t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pStyle w:val="1003"/>
        <w:ind w:firstLine="709"/>
        <w:jc w:val="center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787"/>
        <w:ind w:firstLine="709"/>
        <w:jc w:val="left"/>
        <w:spacing w:before="0" w:after="0" w:line="240" w:lineRule="auto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Ж-1. Зона застройки индивидуальными жилыми домами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/>
    </w:p>
    <w:p>
      <w:pPr>
        <w:ind w:firstLine="709"/>
        <w:jc w:val="both"/>
        <w:keepLines/>
        <w:keepNext/>
        <w:spacing w:after="0" w:line="240" w:lineRule="auto"/>
        <w:tabs>
          <w:tab w:val="left" w:pos="1440" w:leader="none"/>
          <w:tab w:val="left" w:pos="4111" w:leader="none"/>
        </w:tabs>
      </w:pP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  <w:r/>
    </w:p>
    <w:tbl>
      <w:tblPr>
        <w:tblW w:w="150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276"/>
        <w:gridCol w:w="1952"/>
        <w:gridCol w:w="1592"/>
        <w:gridCol w:w="1559"/>
        <w:gridCol w:w="1275"/>
        <w:gridCol w:w="1701"/>
        <w:gridCol w:w="1418"/>
        <w:gridCol w:w="1840"/>
      </w:tblGrid>
      <w:tr>
        <w:tblPrEx/>
        <w:trPr>
          <w:trHeight w:val="534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Терри-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ториальная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зона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Виды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разрешен-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использова-ния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капиталь-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Наимено-вание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вида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разрешен-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использо-вания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52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Ограничения использования земельных участков и объектов капитального строительства, устанавливаемые 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в соответствии с законодатель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ством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6"/>
            <w:tcW w:w="938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30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952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92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Предельные (минимальные и (или)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максималь-ные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) размеры земельных участков, в том числе их площадь, га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строитель-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зданий, строений,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сооружений, м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Предель-ное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количество этажей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325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Иные предельные параметры разрешенного строительства, реконструкции объектов капитального строительства (обеспеченность местами хранения личного автотранспорта)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299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952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92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keepLines/>
              <w:keepNext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Обеспеченность местами хранения личного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автотран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-спорта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Требования к архитектурным решениям объектов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строитель-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</w:tbl>
    <w:p>
      <w:pPr>
        <w:keepLines/>
        <w:keepNext/>
        <w:spacing w:after="0" w:line="240" w:lineRule="auto"/>
        <w:tabs>
          <w:tab w:val="left" w:pos="1440" w:leader="none"/>
        </w:tabs>
      </w:pPr>
      <w:r>
        <w:rPr>
          <w:rFonts w:ascii="Liberation Sans" w:hAnsi="Liberation Sans" w:cs="Liberation Sans"/>
          <w:color w:val="000000" w:themeColor="text1"/>
          <w:sz w:val="2"/>
          <w:szCs w:val="2"/>
        </w:rPr>
      </w:r>
      <w:r>
        <w:rPr>
          <w:rFonts w:ascii="Liberation Sans" w:hAnsi="Liberation Sans" w:cs="Liberation Sans"/>
          <w:color w:val="000000" w:themeColor="text1"/>
          <w:sz w:val="2"/>
          <w:szCs w:val="2"/>
        </w:rPr>
      </w:r>
      <w:r/>
    </w:p>
    <w:tbl>
      <w:tblPr>
        <w:tblW w:w="150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276"/>
        <w:gridCol w:w="1942"/>
        <w:gridCol w:w="10"/>
        <w:gridCol w:w="1592"/>
        <w:gridCol w:w="1559"/>
        <w:gridCol w:w="1275"/>
        <w:gridCol w:w="1701"/>
        <w:gridCol w:w="1418"/>
        <w:gridCol w:w="1840"/>
      </w:tblGrid>
      <w:tr>
        <w:tblPrEx/>
        <w:trPr>
          <w:trHeight w:val="271"/>
          <w:tblHeader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gridSpan w:val="2"/>
            <w:tcW w:w="1952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92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trHeight w:val="1310"/>
        </w:trPr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Ж-1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Основные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Для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индивиду-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ального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жилищного строитель-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(код 2.1)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952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жилой застройки 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санитарно-защитных зонах в предусмотренном действующим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законодатель-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порядке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92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0,05 до 0,20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0,7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-места на 1 квартиру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допускается размещение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хозяйствен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построек со стороны красных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линий улиц, за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исключени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гаражей.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Допускается блокировка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хозяйствен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построек на смежных земельных участках при условии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взаимного согласия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собствен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ников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жилых домов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both"/>
              <w:keepLines/>
              <w:keepNext/>
              <w:spacing w:after="0" w:line="240" w:lineRule="auto"/>
              <w:rPr>
                <w:rFonts w:ascii="Liberation Sans" w:hAnsi="Liberation Sans" w:eastAsia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570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Borders>
              <w:bottom w:val="none" w:color="000000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94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-875030</wp:posOffset>
                      </wp:positionH>
                      <wp:positionV relativeFrom="paragraph">
                        <wp:posOffset>3810</wp:posOffset>
                      </wp:positionV>
                      <wp:extent cx="814070" cy="0"/>
                      <wp:effectExtent l="6350" t="9525" r="8255" b="9525"/>
                      <wp:wrapNone/>
                      <wp:docPr id="1" name="shap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14068" cy="0"/>
                              </a:xfrm>
                              <a:custGeom>
                                <a:avLst/>
                                <a:gdLst>
                                  <a:gd name="T0" fmla="*/ 0 w 100000"/>
                                  <a:gd name="T1" fmla="*/ 0 h 100000"/>
                                  <a:gd name="T2" fmla="*/ 0 w 100000"/>
                                  <a:gd name="T3" fmla="*/ 0 h 100000"/>
                                  <a:gd name="T4" fmla="*/ 100000 w 100000"/>
                                  <a:gd name="T5" fmla="*/ 0 h 100000"/>
                                  <a:gd name="T6" fmla="*/ 100000 w 100000"/>
                                  <a:gd name="T7" fmla="*/ 0 h 100000"/>
                                  <a:gd name="T8" fmla="*/ 0 w 100000"/>
                                  <a:gd name="T9" fmla="*/ 0 h 100000"/>
                                  <a:gd name="T10" fmla="*/ 0 w 100000"/>
                                  <a:gd name="T11" fmla="*/ 0 h 100000"/>
                                  <a:gd name="T12" fmla="*/ 100000 w 100000"/>
                                  <a:gd name="T13" fmla="*/ 100000 h 10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100000" h="100000" fill="norm" stroke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00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style="position:absolute;z-index:251659264;o:allowoverlap:true;o:allowincell:true;mso-position-horizontal-relative:text;margin-left:-68.90pt;mso-position-horizontal:absolute;mso-position-vertical-relative:text;margin-top:0.30pt;mso-position-vertical:absolute;width:64.10pt;height:0.00pt;mso-wrap-distance-left:9.00pt;mso-wrap-distance-top:0.00pt;mso-wrap-distance-right:9.00pt;mso-wrap-distance-bottom:0.00pt;flip:x;visibility:visible;" path="m0,0l0,0l100000,0l0,0xe" coordsize="100000,100000" fillcolor="#FFFFFF" strokecolor="#000000" strokeweight="0.75pt">
                      <v:path textboxrect="0,0,100000,100000"/>
                    </v:shape>
                  </w:pict>
                </mc:Fallback>
              </mc:AlternateConten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жилой застройки в санитарно-защитных зонах, 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предусмотренном действующим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законодательст-вом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порядке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0,07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0,7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-места на 1 квартиру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84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cantSplit/>
          <w:trHeight w:val="690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Style w:val="1008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Блокиро</w:t>
            </w:r>
            <w:r>
              <w:rPr>
                <w:rStyle w:val="1008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-ванная</w:t>
            </w:r>
            <w:r>
              <w:rPr>
                <w:rStyle w:val="1008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жилая застройка (код 2.3)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1942" w:type="dxa"/>
            <w:vMerge w:val="continue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gridSpan w:val="2"/>
            <w:tcW w:w="1602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84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</w:tr>
      <w:tr>
        <w:tblPrEx/>
        <w:trPr>
          <w:cantSplit/>
          <w:trHeight w:val="690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</w:rPr>
            </w:pPr>
            <w:r>
              <w:rPr>
                <w:rStyle w:val="1008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Улично-дорожная сеть (код 12.0.1)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0,025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10"/>
              <w:ind w:left="0"/>
              <w:jc w:val="center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center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параметр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подлежит 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параметр не подлежит установлению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параметр не подлежит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установле-нию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3414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Дошколь-ное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, начальное и среднее общее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образова-ние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(код 3.5.1)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center"/>
              <w:spacing w:after="0" w:line="240" w:lineRule="auto"/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</w:tcBorders>
            <w:tcW w:w="1942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размещение объектов учебно-образовательного назначения 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санитарно-защитных зонах,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установленных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 предусмотренном действующим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законодатель-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порядке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0,30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09"/>
              <w:ind w:left="0"/>
              <w:jc w:val="center"/>
              <w:spacing w:after="0" w:line="240" w:lineRule="auto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машиномест на 100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работников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cantSplit/>
          <w:trHeight w:val="239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Условно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разрешен-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</w:rPr>
            </w:pPr>
            <w:r>
              <w:rPr>
                <w:rStyle w:val="1008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Спорт (код 5.1)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942" w:type="dxa"/>
            <w:textDirection w:val="lrTb"/>
            <w:noWrap w:val="false"/>
          </w:tcPr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спортивного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назначения 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санитарно-защитных зонах, установленных в предусмотренном действующим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10"/>
              <w:ind w:left="0"/>
              <w:jc w:val="left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законодатель-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ством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порядке, за исключением спортивно-оздоровительных сооружений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закрытого типа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5 машиномест на 100 мест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cantSplit/>
          <w:trHeight w:val="239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Магазины (код 4.4)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942" w:type="dxa"/>
            <w:vMerge w:val="restart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Объекты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обслуживания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жилой застройки не должны причинять вред окружающей среде 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санитарному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благополучию,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нарушать права жителей, требовать установления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/>
          </w:p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санитарной зоны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2"/>
            <w:tcW w:w="1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 в залах или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едино-временных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персонала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eastAsia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  <w:tr>
        <w:tblPrEx/>
        <w:trPr>
          <w:cantSplit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Бытовое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обслужи-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вание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(код 3.3)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942" w:type="dxa"/>
            <w:vMerge w:val="continue"/>
            <w:textDirection w:val="lrTb"/>
            <w:noWrap w:val="false"/>
          </w:tcPr>
          <w:p>
            <w:pPr>
              <w:pStyle w:val="1009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gridSpan w:val="2"/>
            <w:tcW w:w="1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 в залах или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едино-временных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персонала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/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eastAsia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</w:rPr>
            </w:r>
          </w:p>
        </w:tc>
        <w:tc>
          <w:tcPr>
            <w:tcW w:w="184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  <w:r>
              <w:rPr>
                <w:rFonts w:ascii="Liberation Sans" w:hAnsi="Liberation Sans" w:cs="Liberation Sans"/>
                <w:color w:val="000000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440" w:leader="none"/>
        </w:tabs>
      </w:pP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  <w:r/>
    </w:p>
    <w:p>
      <w:pPr>
        <w:ind w:left="0" w:right="-454" w:firstLine="709"/>
        <w:jc w:val="both"/>
        <w:spacing w:after="0" w:line="240" w:lineRule="auto"/>
        <w:tabs>
          <w:tab w:val="left" w:pos="1440" w:leader="none"/>
        </w:tabs>
        <w:rPr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 если земельный учас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ток или объект капитального строительства находится в границах зоны с особыми условиями использования территорий, территорий достопримечательных мест, на них устанавливаются ограничения использования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454" w:firstLine="709"/>
        <w:jc w:val="both"/>
        <w:spacing w:after="0" w:line="240" w:lineRule="auto"/>
        <w:tabs>
          <w:tab w:val="left" w:pos="1440" w:leader="none"/>
        </w:tabs>
        <w:rPr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Вспомогательные виды разрешенного использования: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454" w:firstLine="709"/>
        <w:jc w:val="both"/>
        <w:spacing w:after="0" w:line="240" w:lineRule="auto"/>
        <w:tabs>
          <w:tab w:val="left" w:pos="1440" w:leader="none"/>
        </w:tabs>
        <w:rPr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предоставление коммунальных услуг (код 3.1.1)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454" w:firstLine="709"/>
        <w:jc w:val="both"/>
        <w:spacing w:after="0" w:line="240" w:lineRule="auto"/>
        <w:tabs>
          <w:tab w:val="left" w:pos="1440" w:leader="none"/>
        </w:tabs>
        <w:rPr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земельные участки (территории) общего пользования (код 12.0).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454" w:firstLine="709"/>
        <w:jc w:val="both"/>
        <w:spacing w:after="0" w:line="240" w:lineRule="auto"/>
        <w:tabs>
          <w:tab w:val="left" w:pos="1440" w:leader="none"/>
        </w:tabs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</w:t>
      </w:r>
      <w:r>
        <w:rPr>
          <w:rFonts w:ascii="Liberation Sans" w:hAnsi="Liberation Sans" w:eastAsia="Liberation Sans" w:cs="Liberation Sans"/>
          <w:bCs/>
          <w:color w:val="000000" w:themeColor="text1"/>
          <w:sz w:val="28"/>
          <w:szCs w:val="28"/>
        </w:rPr>
        <w:t xml:space="preserve">ограничения использования земельных участков и объектов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предельными (минимальными и (или) максимальными) размерами земельных участков и предельных параметров разрешенного строительства, реконструкции объектов капитального строительства, </w:t>
      </w:r>
      <w:r>
        <w:rPr>
          <w:rFonts w:ascii="Liberation Sans" w:hAnsi="Liberation Sans" w:eastAsia="Liberation Sans" w:cs="Liberation Sans"/>
          <w:bCs/>
          <w:color w:val="000000" w:themeColor="text1"/>
          <w:sz w:val="28"/>
          <w:szCs w:val="28"/>
        </w:rPr>
        <w:t xml:space="preserve">ограничениями использования земельных участков и объектов капитального строительства, устанавливаемые в соответствии с законодательством Российской Федерации,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применительно к вспомогательным видам разрешенного использования устанавливаются идентичными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соответствующими в </w:t>
      </w:r>
      <w:r>
        <w:rPr>
          <w:rFonts w:ascii="Liberation Sans" w:hAnsi="Liberation Sans" w:eastAsia="Liberation Sans" w:cs="Liberation Sans"/>
          <w:bCs/>
          <w:color w:val="000000" w:themeColor="text1"/>
          <w:sz w:val="28"/>
          <w:szCs w:val="28"/>
        </w:rPr>
        <w:t xml:space="preserve">соответствии с законодательством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установленных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8"/>
          <w:szCs w:val="28"/>
        </w:rPr>
      </w:r>
    </w:p>
    <w:p>
      <w:pPr>
        <w:ind w:left="0" w:right="-454" w:firstLine="709"/>
        <w:jc w:val="both"/>
        <w:rPr>
          <w:rFonts w:ascii="Liberation Sans" w:hAnsi="Liberation Sans"/>
          <w:color w:val="000000" w:themeColor="text1"/>
          <w:sz w:val="28"/>
          <w:szCs w:val="28"/>
          <w:highlight w:val="none"/>
        </w:rPr>
        <w:sectPr>
          <w:footnotePr/>
          <w:endnotePr/>
          <w:type w:val="nextPage"/>
          <w:pgSz w:w="16838" w:h="11906" w:orient="landscape"/>
          <w:pgMar w:top="1418" w:right="1134" w:bottom="850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  <w:t xml:space="preserve">Градостроительный план земельного участка № РФ-89-3-04-0-00-2026-0012-0 (прилагается). 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  <w:tab/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u w:val="single"/>
        </w:rPr>
      </w:pP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Содержание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ограничения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в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использовании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или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ограничения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права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на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объект</w:t>
      </w:r>
      <w:r>
        <w:rPr>
          <w:rFonts w:ascii="Liberation Sans" w:hAnsi="Liberation Sans" w:cs="Liberation Sans"/>
          <w:b/>
          <w:color w:val="000000" w:themeColor="text1"/>
          <w:spacing w:val="-6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недвижимости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или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обременения</w:t>
      </w:r>
      <w:r>
        <w:rPr>
          <w:rFonts w:ascii="Liberation Sans" w:hAnsi="Liberation Sans" w:cs="Liberation Sans"/>
          <w:b/>
          <w:color w:val="000000" w:themeColor="text1"/>
          <w:spacing w:val="-7"/>
          <w:sz w:val="28"/>
          <w:szCs w:val="28"/>
          <w:u w:val="singl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u w:val="single"/>
        </w:rPr>
        <w:t xml:space="preserve">объекта </w:t>
      </w:r>
      <w:r>
        <w:rPr>
          <w:rFonts w:ascii="Liberation Sans" w:hAnsi="Liberation Sans" w:cs="Liberation Sans"/>
          <w:b/>
          <w:color w:val="000000" w:themeColor="text1"/>
          <w:spacing w:val="-2"/>
          <w:sz w:val="28"/>
          <w:szCs w:val="28"/>
          <w:u w:val="single"/>
        </w:rPr>
        <w:t xml:space="preserve">недвижимости: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  <w:t xml:space="preserve">         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   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u w:val="singl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u w:val="singl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соответствии с выпиской из Единого государственного реестра  недвижимос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ти об объекте недвижимости от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20.01.2026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white"/>
        </w:rPr>
        <w:t xml:space="preserve">№</w:t>
      </w:r>
      <w:r>
        <w:rPr>
          <w:rFonts w:ascii="Liberation Sans" w:hAnsi="Liberation Sans" w:cs="Liberation Sans"/>
          <w:color w:val="000000" w:themeColor="text1"/>
          <w:spacing w:val="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white"/>
        </w:rPr>
        <w:t xml:space="preserve">КУВИ-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white"/>
        </w:rPr>
        <w:t xml:space="preserve">001/2026-5490581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  <w:u w:val="single"/>
        </w:rPr>
      </w:pP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  <w:u w:val="single"/>
        </w:rPr>
        <w:t xml:space="preserve">Особые отметки: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none"/>
          <w:u w:val="singl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Для данного земельного участка обеспечен доступ посредством земельного участка (земельных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участков) с кадастровым номером (кадастровыми номерами): земли общего пользования. Земельный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участок подлежит снятию с государственного кадастрового учета по истечении пяти лет со дня его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государственного кадастрового учета, если на него не будут зарегистрированы права.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Технические условия подключения (технологического присоединения) объекта.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Письмом АО “Уренгойтеплогенерация-1” № 2208 от 04.09.2025 сообщено, что на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земельном участке с кадастровым номером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89:11:080201:12655 п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одключение объектов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к сетям теплоснабжения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без строительства внутриквартальных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тепловых сетей невозможно, в связи с чем, необходимо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разработать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проект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выполнить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строительство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внутриквартальных сетей теплоснабжения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Информация о технической возможности подключения (технического присоединения) объекта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капитального строительства к сетям водоснабжения, водоотведения (письмо № 788_УГВК от 08.09.2025 г.</w:t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АО «Управляющая коммунальная компания». Выдача технических условий на</w:t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подключение к сетям водоснабжения и водоотведения объекта, расположенного на земельном участке с</w:t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кадастровым номером 89:11:080201:12655 невозможна, в связи с отсутствием сети холодного водоснабжения и</w:t>
      </w:r>
      <w: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водоотведения на данном земельном участке.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Письмом АО 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Уренгойгорводоканал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» от 11.09.2025 № 1122/2044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сообщено, что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районе расположения земельного участка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 кадастровым номером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89:11:080201:12655 централизованные сети холодного водоснабжения и водоотведения, находящиеся на балансе 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АО 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Уренгойгорводоканал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» </w:t>
      </w:r>
      <w:r>
        <w:rPr>
          <w:rFonts w:ascii="Liberation Sans" w:hAnsi="Liberation Sans" w:cs="Liberation Serif"/>
          <w:color w:val="000000" w:themeColor="text1"/>
          <w:sz w:val="28"/>
          <w:szCs w:val="28"/>
        </w:rPr>
        <w:t xml:space="preserve">и эксплуатируемые им, отсутствуют. </w:t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информацией АО 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Ново-Уренго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ймежрайгаз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»                от 02.09.2025 № 261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техническая возможность подключения (технологического присоединения) указанного объекта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 земельном участке с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кадастровым номером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89:11:080201:12655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 сетям газо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распре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деления на территории МО г. Новый Уренгой, р. Коротчаево, 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возможно при условии включения строительства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подводящего газопровода в соответствующую региональную программу газификации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/>
    </w:p>
    <w:p>
      <w:pPr>
        <w:ind w:firstLine="708"/>
        <w:jc w:val="both"/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случае необходимости подключения указанного объекта к сетям основного абонента, при наличии согласия основного абонента на подключение (технологическое присоединение).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Размер платы за подключение (технологическое присоединение) объектов капитального строительства к сетям газораспределения                                                               АО 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Ново-Уренгоймежрайгаз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» ежегодно устанавливается Приказом Департамента тарифной политики, энергетики и жилищно-коммунального комплекса ЯНАО «Об установлении АО 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Ново-Уренгоймежрайгаз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»  платы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 технологическое присоединение газоиспользующего оборудования к газораспределительным сетям и стандартизированных тарифных ставок, определяющих ее величину» (данный приказ ежегодно размещается на сайте: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  <w:lang w:val="en-US"/>
        </w:rPr>
        <w:t xml:space="preserve">gorgaz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89.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) и рассчитывается при заключении договора на подключение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(технологическое присоединение) объектов капитального строительства           к сетям газораспределения.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Подключение объекта капитального строительства к сетям газораспределения составляет от 1 года до 3-х лет, с момента даты заключения договора на подключение (технологическое п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рисоединение) объектов капитального строительства к сетям газораспределения, в зависимости от максимального часового расхода газа, расстояния от точки подключения до сети газораспределения, а также проектного р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абочего давления в присоединяемом газопроводе.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Данная информация о технической возможности подключения (технического присоединения) объекта капитального строительства к сетям газораспределения не является основанием для разработки п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роекта газоснабжения.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Письмом Филиала Восточные электрические сети АО “Северная энергетическая компания” в г. Новый Уренгой от 15.09.2025                                  № 0782, сообщено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что подключение земельного участка с кадастровым номером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89:11:080201:12655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возможно от сетей находящихся на обслуживании филиала ВЭС АО “СЕВЭНКО” в г. Новый Уренгой.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Дополнительно сообщено, что по земельному участку с кадастровым номером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89:11:080201:12655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проходит не действующая сеть ВЛ-0,4 кВ,  находящаяся на обслуживании филиала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ВЭС АО “СЕВЭНКО” в г. Новый Уренгой. 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Для выдачи технических условий на вынос или демонтаж электрических сетей из пятна застройки и подключение объекта к сетям электроснабжения, заявителю необходимо обратиться в адрес филиала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ВЭС АО “СЕВЭНКО” в г. Новый Уренгой. 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Форма заявки на ТП размещена на официальном сайте сетевой организации </w:t>
      </w:r>
      <w:hyperlink r:id="rId15" w:tooltip="http://www.nuges.ru" w:history="1">
        <w:r>
          <w:rPr>
            <w:rStyle w:val="973"/>
            <w:rFonts w:ascii="Liberation Sans" w:hAnsi="Liberation Sans" w:cs="Liberation Sans"/>
            <w:color w:val="000000" w:themeColor="text1"/>
            <w:sz w:val="28"/>
            <w:szCs w:val="28"/>
            <w:highlight w:val="white"/>
          </w:rPr>
          <w:t xml:space="preserve">www.nuges.ru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в разделе “Технологическое присоединение”.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Согласно протокола осмотра от 27.08.2025 №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340, составленного Департаментом общественной безопасности и гражданской защиты Администрации города Новый Уренгой установлено, что земельный участок с кадастровым номер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89:11:080201:12655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не имеет ограждения, доступ на его территорию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свободный.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границах земельного участка расположена опора ЛЭП, вагон-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бочка, металлические ёмкости, местами перерыт грунт, где виднеются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трубы (сети холодного водоснабжения), фрагмент деревянного забора,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металлолом. По внешним признакам земельный участок не освоен.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  <w:t xml:space="preserve">Санитарное состояние земельного участка находится 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неудовлетворительном состоянии. Непосредственно на почвенном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покрове, без изолирующего покрытия размещены твердые бытовые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отходы.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14:ligatures w14:val="none"/>
        </w:rPr>
      </w:r>
    </w:p>
    <w:p>
      <w:pPr>
        <w:contextualSpacing/>
        <w:ind w:firstLine="709"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подачи заявки для участия в аукционе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r>
    </w:p>
    <w:p>
      <w:pPr>
        <w:pStyle w:val="988"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Претендентом на участие в аукционе в электронной форме может быть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ТОЛЬКО</w:t>
      </w:r>
      <w:r>
        <w:rPr>
          <w:rFonts w:ascii="Liberation Sans" w:hAnsi="Liberation Sans" w:cs="Liberation Sans"/>
          <w:b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ГРАЖДАНИН – физическое лицо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Для обеспечения доступа к участию в аукционе заявителю необходимо пройти процедуру регистрации на электронной площадке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в качестве физического лица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в соответствии с регламентом электронной площадки. Регистрации на электронной площадке подлежат лица, ранее не зарегистрированные на электронной площадке.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Для участия в аукционе заявители представляют в установленный          в извещении о проведении электронного аукциона срок следующие документы: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bookmarkStart w:id="0" w:name="sub_391211"/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заявку на участие в электронном аукционе (Приложение № 2 к  составу аукционной документации);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bookmarkStart w:id="1" w:name="sub_39121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bookmarkEnd w:id="0"/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копии документов, удостоверяющих личность заявителя;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bookmarkStart w:id="2" w:name="sub_3912140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bookmarkEnd w:id="1"/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документы, подтверждающие внесение задатка.</w:t>
      </w:r>
      <w:bookmarkEnd w:id="2"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Заявка на участие в электронном аукционе с указанием банковских рек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визитов счета для возврата задатка направляется оператору электронной площадки в форме электронного документа с приложением документов, Заявка на участие в электронном аукционе, а также прилагаемые к ней документы подписываются усиленной квалифицированной </w:t>
      </w:r>
      <w:hyperlink r:id="rId16" w:tooltip="https://internet.garant.ru/document/redirect/12184522/21" w:history="1">
        <w:r>
          <w:rPr>
            <w:rStyle w:val="1000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заявителя.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Заявки с прилагаемыми документами на участие в аукционе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принимаются с даты начала подачи заявок по дату окончания срока приема заявок на электронной площадке: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в сети Интернет </w:t>
      </w:r>
      <w:hyperlink r:id="rId17" w:tooltip="https://utp.sberbank-ast.ru/AP/List/BidList" w:history="1">
        <w:r>
          <w:rPr>
            <w:rStyle w:val="973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Подача заявки на участие в аукционе може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 осуществляться лично Претендентом в торговой секции,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в сроки, установленные в извещении.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Заявка не может быть принята Оператором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в случаях: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подачи Претендентом второй заявки на участие в отношении одного и того же лота при условии, что поданная ранее заявка таким Претендентом не отозвана, если иное не предусмотрено соответствующими положениями регламента торговой секции;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подачи заявки по истечении установленного срока подачи заявок;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некорректного заполнения формы заявки, в том числе не заполнения полей, являющихся обязательными для заполнения.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случае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если система не принимает заявку, Оператор уведомляет Претендента соответствующим системным сообщением о причине не принятия заявки.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Заявитель не допускается Организатором аукциона к участию           в аукционе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в  случаях: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непредставление необходимых для участия в аукционе документов или представление недостоверных сведений;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непоступление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задатка на дату рассмотрения заявок на участие в аукционе;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подача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наличие сведений о заявителе в реестре недобросовестных участников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right="72" w:firstLine="709"/>
        <w:jc w:val="both"/>
        <w:spacing w:before="20"/>
        <w:widowControl w:val="off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Отзыв и изменение заявки: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right="72" w:firstLine="709"/>
        <w:jc w:val="both"/>
        <w:spacing w:before="20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До окончания срока подачи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 заявок Претендент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, подавший заявку, вправе изменить или отозвать ее. Отзыв и изменение заявки осуществляется Претендентом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                  в отношении его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денежных средств, заблокированных на лицевом счете           в размере задатка.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(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рассмотрения заявок       на участие в аукционе)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этапе приема заявок любое лицо, име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ющее электронную подпись, вправе направить Организатору процедуры запрос о разъяснениях размещенной информации о процедуре аукциона посредством функционала электронной площадки. Оператор незамедлительно направляет поступивший запрос в личный кабинет Органи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затора процедуры. Организатор процедуры в установленные сроки посредством функционала электронной площадки направляет Оператору разъяснение с указанием предмета запроса, но без указания лица, от которого поступил запрос, для размещения в открытой части ТС.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внесения задатка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right="126" w:firstLine="720"/>
        <w:jc w:val="both"/>
        <w:widowControl w:val="off"/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  <w:t xml:space="preserve">Порядок внесения задатка и его возврата определяется в соответствии с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Регламентом торговой секции «Приватизация, аренда и продажа прав» УТП АО «Сбербанк–АСТ» (</w:t>
      </w:r>
      <w:hyperlink r:id="rId18" w:tooltip="https://utp.sberbank-ast.ru/AP/List/BidList" w:history="1">
        <w:r>
          <w:rPr>
            <w:rStyle w:val="973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).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</w:rPr>
      </w:r>
    </w:p>
    <w:p>
      <w:pPr>
        <w:contextualSpacing/>
        <w:ind w:right="126" w:firstLine="720"/>
        <w:jc w:val="both"/>
        <w:widowControl w:val="off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lang w:eastAsia="en-US"/>
        </w:rPr>
        <w:t xml:space="preserve">Задаток вносится участником аукциона на реквизиты оператора электронной площадки: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ПОЛУЧАТЕЛЬ: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Наименование: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ИНН: 7707308480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КПП: 770401001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Расчетный счет: 40702810300020038047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БАНК ПОЛУЧАТЕЛЯ: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Наименование банка: ПАО «СБЕРБАНК РОССИИ»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г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. МОСКВА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БИК: 044525225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br/>
        <w:t xml:space="preserve">Корреспондентский счет: 30101810400000000225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В назначении платежа необходимо обязательно указать: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i/>
          <w:color w:val="000000" w:themeColor="text1"/>
          <w:sz w:val="28"/>
          <w:szCs w:val="28"/>
        </w:rPr>
        <w:t xml:space="preserve">«Перечисление денежных сре</w:t>
      </w:r>
      <w:r>
        <w:rPr>
          <w:rFonts w:ascii="Liberation Sans" w:hAnsi="Liberation Sans" w:cs="Liberation Sans"/>
          <w:i/>
          <w:color w:val="000000" w:themeColor="text1"/>
          <w:sz w:val="28"/>
          <w:szCs w:val="28"/>
        </w:rPr>
        <w:t xml:space="preserve">дств в к</w:t>
      </w:r>
      <w:r>
        <w:rPr>
          <w:rFonts w:ascii="Liberation Sans" w:hAnsi="Liberation Sans" w:cs="Liberation Sans"/>
          <w:i/>
          <w:color w:val="000000" w:themeColor="text1"/>
          <w:sz w:val="28"/>
          <w:szCs w:val="28"/>
        </w:rPr>
        <w:t xml:space="preserve">ачестве задатка (ИНН плательщика), НДС не облагается».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6"/>
        <w:jc w:val="both"/>
        <w:rPr>
          <w:rFonts w:ascii="Liberation Sans" w:hAnsi="Liberation Sans" w:cs="Liberation Sans"/>
          <w:bCs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Денежные средства, перечисленные за участника третьим лицом,                          не зачисляются на счет такого участника универсальной торговой площадки.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54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Денежные средства в размере суммы задатка, должны быть зачислены на лицевой счет претендента на УТП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не позднее 00 часов 00 минут (время московское) дня определения участников аукциона, указанного в извещении.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540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  <w:outlineLvl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проведения аукциона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Порядок проведения аукциона, в соответствии с Регламентом торговой секции «Приватизация, аренда и продажа прав»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УТП АО «Сбербанк–АСТ»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состоит из следующих этапов: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numPr>
          <w:ilvl w:val="0"/>
          <w:numId w:val="45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Размещение Организатором аукциона извещения и аукционной документации в торговой секции.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numPr>
          <w:ilvl w:val="0"/>
          <w:numId w:val="45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Подача,  изменение, отзыв Претендентами заявки на участие в аукционе.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numPr>
          <w:ilvl w:val="0"/>
          <w:numId w:val="45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Рассмотрение заявок Организатором аукциона, определение состава участников, допущенных к аукциону, формирование протокола                 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в электронном аукционе.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основании результатов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 в аукционе Организатором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в электронном аукционе.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</w:t>
      </w:r>
      <w:hyperlink r:id="rId19" w:tooltip="https://internet.garant.ru/document/redirect/12184522/21" w:history="1">
        <w:r>
          <w:rPr>
            <w:rStyle w:val="1000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лица, уполномоченного действовать от имени организатора аукциона, и размещается на электронной площадке не позднее, чем на следующий рабочий день после дня подписания протокола.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Заявителям, признанным участниками электронного ау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случае отказа в допуске к участию в аукционе по лоту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в течение одного дня, следующего за днем размещения протокола об определении участников по лоту, Оператор прекращает блокирование в отношении денежных средств Претендентов, заблокированных в размере задатка, на лицевом счете Претендентов.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4.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Проведение торговой сессии: подача предложений о цене допущенными участниками электронного аукциона посредством штатного функционала в торговой секции.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«Шаг аукциона» устанавливается Организатором аукциона                        в фиксированной сумме и не изменяется в течение всего времени подачи предложений о цене.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Время для подачи предложений о цене определяется в следующем порядке: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время для подачи первого предложения о цене составляет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10 минут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 момента начала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на 10 минут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 момента приема Оператором каждого из таких предложений.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Если в течение времени для подачи первого предложения о цене или лучшего ценового предложения не поступает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ни одного предложения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о цене, подача предложений о цене автоматически при помощи программных и технических средств торговой секции  завершается.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left="568" w:firstLine="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  <w:t xml:space="preserve">5. 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Формирование Оператором журнала хода аукциона: лучших предложений о цене участников.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56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6.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 Подведение итогов Организатором аукциона, подписание протокола о результатах электронного аукциона в торговой секции Организатором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Победителем электронного аукциона признается участник, который предложил наибольший размер ежегодной арендной платы за земельный участок.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Ход проведения электро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нного аукциона фиксируется Оператором электронной площадки, сведения о проведении электронного аукциона направляются Организатору аукциона в течение 1 (одного) часа с момента завершения аукциона для оформления протокола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допуске к участию в аукционе всех заявителей или о допуске к участию в аукционе и признании участником аукциона только одного заявителя,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аукцион признается несостоявшимся (п. 12 ст. 39.12 ЗК РФ).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редложения о цене предмета аукциона, которое предусматривало бы более высокую цену предмета аукциона,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аукцион признается несостоявшимся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(п. 19 ст. 39.12 ЗК РФ).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Решение о признан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ии ау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кциона несостоявшимся оформляется протоколом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Оператор в течение одного часа со времени подписания Организатором аукциона протокола о результатах электронного аукциона: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направляет участникам, с которыми возможно заключение договора по итогам электронного аукциона (победитель, единственный участник), уведомление с протоколом о результатах электронного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прекращает блокирование в отношении денежных средств участников, заблокированных в размере задатка на лицевом счете на площадке, за исключением участников, с которыми возможно заключение договора по итогам электронного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размещает в открытой части торговой секции протокол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Задаток, внесенный лицом, признанным побе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дителем аукциона или участником, который сделал предпоследнее предложение о цене предмета аукциона, задаток, внесенный лицом, признанным единственным участником  с которым заключается договор аренды земельного участка, засчитывается в счет арендной платы.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посредством штатного интерфейса торговой секции формирует поручение Оператору о перечислении задатка победителя или единственного участника.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посредством штатного интерфейса торговой секции формирует сведения о заключении договора и/или протокол об уклонении от заключения договора.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Согласно п. 3.2 ст. 39.13 Земельного Кодекса РФ оператором электронной площадки может взиматься плата с победител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Электронной площадкой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не предусмотрено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взимание такой платы, в соответствии с Тарифами торговой секции «Приватизация, аренда и продажа прав».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заключения договора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976"/>
        <w:contextualSpacing/>
        <w:ind w:firstLine="709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По результатам проведения электронного аукциона не допускается заключение договора аренды земел</w:t>
      </w:r>
      <w:r>
        <w:rPr>
          <w:rFonts w:ascii="Liberation Sans" w:hAnsi="Liberation Sans" w:cs="Liberation Sans"/>
          <w:sz w:val="28"/>
          <w:szCs w:val="28"/>
        </w:rPr>
        <w:t xml:space="preserve">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/>
    </w:p>
    <w:p>
      <w:pPr>
        <w:pStyle w:val="976"/>
        <w:contextualSpacing/>
        <w:ind w:firstLine="709"/>
        <w:jc w:val="both"/>
        <w:rPr>
          <w:color w:val="ff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обязан в течение пяти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признан несостоявшимся, либо протокола о результатах электронного аукциона на официальном сайте, направить победителю электронного аукциона или единственному принявшему участие в аукционе его участнику подписанный проект договора аренды земельного участка.</w:t>
      </w:r>
      <w:r>
        <w:rPr>
          <w:color w:val="ff0000" w:themeColor="text1"/>
        </w:rPr>
      </w:r>
      <w:r>
        <w:rPr>
          <w:color w:val="ff0000" w:themeColor="text1"/>
        </w:rPr>
      </w:r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Размер ежегодной арендной платы по договору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аренды земельного участка определяется в размере, предложенном победителем аукциона.     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r/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В соответствии с п. 13 ст. 39.13 Земельного Кодекса РФ по результатам проведенного электронного аукциона договор аренды земельного участка заключается в электронной форме и подписывается усиленной квалифицированной </w:t>
      </w:r>
      <w:hyperlink r:id="rId20" w:tooltip="https://internet.garant.ru/document/redirect/12184522/21" w:history="1">
        <w:r>
          <w:rPr>
            <w:rStyle w:val="1000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sz w:val="28"/>
          <w:szCs w:val="28"/>
        </w:rPr>
        <w:t xml:space="preserve"> сторон такого договора.</w:t>
      </w:r>
      <w:r/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Условия аукциона, а также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При заключении и исполнении договора изменение условий договора, указанных в аукционной документации, по соглашению сторон и в одностороннем порядке не допускается.</w:t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Если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направлен Организатору аукциона, Организатор аукциона направляет указанный договор участнику аукциона,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который сделал предпоследнее предложение о цене предмета аукциона, </w:t>
      </w:r>
      <w:r>
        <w:rPr>
          <w:rFonts w:ascii="Liberation Sans" w:hAnsi="Liberation Sans" w:cs="Liberation Sans"/>
          <w:color w:val="22272f"/>
          <w:sz w:val="28"/>
          <w:szCs w:val="28"/>
          <w:shd w:val="clear" w:color="auto" w:fill="ffffff"/>
        </w:rPr>
        <w:t xml:space="preserve">для его заключения по цене, предложенной таким участником аукциона.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/>
    </w:p>
    <w:p>
      <w:pPr>
        <w:contextualSpacing/>
        <w:ind w:firstLine="709"/>
        <w:jc w:val="both"/>
        <w:rPr>
          <w:rFonts w:ascii="Liberation Sans" w:hAnsi="Liberation Sans" w:eastAsia="PT Serif" w:cs="Liberation Sans"/>
          <w:color w:val="000000"/>
          <w:highlight w:val="white"/>
          <w:u w:val="none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В случае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ого участка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РФ.</w:t>
      </w:r>
      <w:r>
        <w:rPr>
          <w:rFonts w:ascii="Liberation Sans" w:hAnsi="Liberation Sans" w:eastAsia="PT Serif" w:cs="Liberation Sans"/>
          <w:color w:val="000000"/>
          <w:highlight w:val="white"/>
          <w:u w:val="none"/>
        </w:rPr>
      </w:r>
      <w:r>
        <w:rPr>
          <w:rFonts w:ascii="Liberation Sans" w:hAnsi="Liberation Sans" w:eastAsia="PT Serif" w:cs="Liberation Sans"/>
          <w:color w:val="000000"/>
          <w:highlight w:val="white"/>
          <w:u w:val="none"/>
        </w:rPr>
      </w:r>
    </w:p>
    <w:p>
      <w:pPr>
        <w:contextualSpacing/>
        <w:ind w:firstLine="720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20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Дополнительная информация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Ознакомиться с аукционной документацией, правилами проведения электронного аукциона можно со дня ее размещения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  информационно-телекоммуникационной сети Интернет на: официальном сайте торгов (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https://torgi.gov.ru/new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), электронной площадке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</w:t>
      </w:r>
      <w:hyperlink r:id="rId21" w:tooltip="http://utp.sberbank-ast.ru" w:history="1">
        <w:r>
          <w:rPr>
            <w:rFonts w:ascii="Liberation Sans" w:hAnsi="Liberation Sans" w:cs="Liberation Sans"/>
            <w:color w:val="000000" w:themeColor="text1"/>
            <w:sz w:val="28"/>
            <w:szCs w:val="28"/>
          </w:rPr>
          <w:t xml:space="preserve"> (utp.sberbank-ast.ru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торговая секция «Приватизация, аренда и продажа прав»), на официальном сайте городского округа город Новый Уренгой  (https://nur.yanao.ru).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Подробно ознакомиться с условиями аукциона, а также получить дополнительную информацию о земельном участке (схеме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/у, 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точках                                  на подключение к сетям инженерно-технического обеспечения) можно           в течение срока приема заявок: в рабочие дни с 8-30 до 17-00,  с перерывом на обед с 12-30 до 14-00. Справки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тел: 93-19-33, 93-19-43.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вправе отказаться от проведения электронного аук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циона в случае выявления обстоятельств, предусмотренных пунктом 8 статьи 39.11 Земельного кодекса Российской Федерации. Извещение об отказе от проведения аукциона размещается на официальном сайте торгов в течение трех дней со дня принятия данного решения.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вправе объявить о проведении повторного  электронного аукциона в случае, если аукцион был признан несостоявшимся 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лицо, подавшее единственную заявку на участие в электронном аукционе, заявитель, признанный еди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нственным участником электронного аукциона, или единственный принявший участие в электронном аукционе его участник в течение десяти рабочих дней со дня направления им проекта договора аренды земельного участка не направили Организатору аукциона подписанный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договор. При этом условия повторного электронного аукциона могут быть изменены.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Все иные вопросы, касающиеся проведения электронного аукциона, не отраженные в настоящем извещении, регулируются действующим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right="271"/>
        <w:spacing w:before="38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Liberation Sans">
    <w:panose1 w:val="020B0604020202020204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Liberation Serif;Times New Roma">
    <w:panose1 w:val="02020603050405020304"/>
  </w:font>
  <w:font w:name="Liberation Serif">
    <w:panose1 w:val="02020603050405020304"/>
  </w:font>
  <w:font w:name="Calibri Light">
    <w:panose1 w:val="020F03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jc w:val="center"/>
    </w:pPr>
    <w:fldSimple w:instr="PAGE \* MERGEFORMAT">
      <w:r>
        <w:t xml:space="preserve">1</w:t>
      </w:r>
    </w:fldSimple>
    <w:r/>
    <w:r/>
  </w:p>
  <w:p>
    <w:pPr>
      <w:pStyle w:val="10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Liberation Serif" w:hAnsi="Liberation Serif" w:eastAsia="Times New Roman" w:cs="Liberation Serif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7"/>
  </w:num>
  <w:num w:numId="3">
    <w:abstractNumId w:val="3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9"/>
  </w:num>
  <w:num w:numId="7">
    <w:abstractNumId w:val="35"/>
  </w:num>
  <w:num w:numId="8">
    <w:abstractNumId w:val="10"/>
  </w:num>
  <w:num w:numId="9">
    <w:abstractNumId w:val="5"/>
  </w:num>
  <w:num w:numId="10">
    <w:abstractNumId w:val="45"/>
  </w:num>
  <w:num w:numId="11">
    <w:abstractNumId w:val="6"/>
  </w:num>
  <w:num w:numId="12">
    <w:abstractNumId w:val="21"/>
  </w:num>
  <w:num w:numId="13">
    <w:abstractNumId w:val="4"/>
  </w:num>
  <w:num w:numId="14">
    <w:abstractNumId w:val="15"/>
  </w:num>
  <w:num w:numId="15">
    <w:abstractNumId w:val="34"/>
  </w:num>
  <w:num w:numId="16">
    <w:abstractNumId w:val="19"/>
  </w:num>
  <w:num w:numId="17">
    <w:abstractNumId w:val="32"/>
  </w:num>
  <w:num w:numId="18">
    <w:abstractNumId w:val="44"/>
  </w:num>
  <w:num w:numId="19">
    <w:abstractNumId w:val="8"/>
  </w:num>
  <w:num w:numId="20">
    <w:abstractNumId w:val="43"/>
  </w:num>
  <w:num w:numId="21">
    <w:abstractNumId w:val="31"/>
  </w:num>
  <w:num w:numId="22">
    <w:abstractNumId w:val="36"/>
  </w:num>
  <w:num w:numId="23">
    <w:abstractNumId w:val="0"/>
  </w:num>
  <w:num w:numId="24">
    <w:abstractNumId w:val="22"/>
  </w:num>
  <w:num w:numId="25">
    <w:abstractNumId w:val="38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6"/>
  </w:num>
  <w:num w:numId="29">
    <w:abstractNumId w:val="26"/>
  </w:num>
  <w:num w:numId="30">
    <w:abstractNumId w:val="20"/>
  </w:num>
  <w:num w:numId="31">
    <w:abstractNumId w:val="29"/>
  </w:num>
  <w:num w:numId="32">
    <w:abstractNumId w:val="41"/>
  </w:num>
  <w:num w:numId="33">
    <w:abstractNumId w:val="14"/>
  </w:num>
  <w:num w:numId="34">
    <w:abstractNumId w:val="24"/>
  </w:num>
  <w:num w:numId="35">
    <w:abstractNumId w:val="28"/>
  </w:num>
  <w:num w:numId="36">
    <w:abstractNumId w:val="18"/>
  </w:num>
  <w:num w:numId="37">
    <w:abstractNumId w:val="9"/>
  </w:num>
  <w:num w:numId="38">
    <w:abstractNumId w:val="2"/>
  </w:num>
  <w:num w:numId="39">
    <w:abstractNumId w:val="27"/>
  </w:num>
  <w:num w:numId="40">
    <w:abstractNumId w:val="40"/>
  </w:num>
  <w:num w:numId="41">
    <w:abstractNumId w:val="17"/>
  </w:num>
  <w:num w:numId="42">
    <w:abstractNumId w:val="11"/>
  </w:num>
  <w:num w:numId="43">
    <w:abstractNumId w:val="33"/>
  </w:num>
  <w:num w:numId="44">
    <w:abstractNumId w:val="13"/>
  </w:num>
  <w:num w:numId="45">
    <w:abstractNumId w:val="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table" w:styleId="766" w:customStyle="1">
    <w:name w:val="Plain Table 1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Plain Table 2"/>
    <w:basedOn w:val="7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Plain Table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Plain Table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Plain Table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1 Light"/>
    <w:basedOn w:val="7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5 Dark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7 Colorful"/>
    <w:basedOn w:val="7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7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7 Colorful"/>
    <w:basedOn w:val="7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85" w:customStyle="1">
    <w:name w:val="Heading 1"/>
    <w:basedOn w:val="762"/>
    <w:link w:val="978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86" w:customStyle="1">
    <w:name w:val="Heading 2"/>
    <w:basedOn w:val="762"/>
    <w:next w:val="762"/>
    <w:link w:val="8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 w:customStyle="1">
    <w:name w:val="Heading 3"/>
    <w:basedOn w:val="762"/>
    <w:next w:val="762"/>
    <w:link w:val="8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8" w:customStyle="1">
    <w:name w:val="Heading 4"/>
    <w:basedOn w:val="762"/>
    <w:next w:val="762"/>
    <w:link w:val="8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 w:customStyle="1">
    <w:name w:val="Heading 5"/>
    <w:basedOn w:val="762"/>
    <w:next w:val="762"/>
    <w:link w:val="8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90" w:customStyle="1">
    <w:name w:val="Heading 6"/>
    <w:basedOn w:val="762"/>
    <w:next w:val="762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 w:customStyle="1">
    <w:name w:val="Heading 7"/>
    <w:basedOn w:val="762"/>
    <w:next w:val="762"/>
    <w:link w:val="8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 w:customStyle="1">
    <w:name w:val="Heading 8"/>
    <w:basedOn w:val="762"/>
    <w:next w:val="762"/>
    <w:link w:val="8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 w:customStyle="1">
    <w:name w:val="Heading 9"/>
    <w:basedOn w:val="762"/>
    <w:next w:val="762"/>
    <w:link w:val="8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Heading 2 Char"/>
    <w:basedOn w:val="763"/>
    <w:uiPriority w:val="9"/>
    <w:rPr>
      <w:rFonts w:ascii="Arial" w:hAnsi="Arial" w:eastAsia="Arial" w:cs="Arial"/>
      <w:sz w:val="34"/>
    </w:rPr>
  </w:style>
  <w:style w:type="character" w:styleId="795" w:customStyle="1">
    <w:name w:val="Heading 3 Char"/>
    <w:basedOn w:val="763"/>
    <w:uiPriority w:val="9"/>
    <w:rPr>
      <w:rFonts w:ascii="Arial" w:hAnsi="Arial" w:eastAsia="Arial" w:cs="Arial"/>
      <w:sz w:val="30"/>
      <w:szCs w:val="30"/>
    </w:rPr>
  </w:style>
  <w:style w:type="character" w:styleId="796" w:customStyle="1">
    <w:name w:val="Heading 4 Char"/>
    <w:basedOn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97" w:customStyle="1">
    <w:name w:val="Heading 5 Char"/>
    <w:basedOn w:val="763"/>
    <w:uiPriority w:val="9"/>
    <w:rPr>
      <w:rFonts w:ascii="Arial" w:hAnsi="Arial" w:eastAsia="Arial" w:cs="Arial"/>
      <w:b/>
      <w:bCs/>
      <w:sz w:val="24"/>
      <w:szCs w:val="24"/>
    </w:rPr>
  </w:style>
  <w:style w:type="character" w:styleId="798" w:customStyle="1">
    <w:name w:val="Heading 6 Char"/>
    <w:basedOn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99" w:customStyle="1">
    <w:name w:val="Heading 7 Char"/>
    <w:basedOn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8 Char"/>
    <w:basedOn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801" w:customStyle="1">
    <w:name w:val="Heading 9 Char"/>
    <w:basedOn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802" w:customStyle="1">
    <w:name w:val="Title Char"/>
    <w:basedOn w:val="763"/>
    <w:uiPriority w:val="10"/>
    <w:rPr>
      <w:sz w:val="48"/>
      <w:szCs w:val="48"/>
    </w:rPr>
  </w:style>
  <w:style w:type="character" w:styleId="803" w:customStyle="1">
    <w:name w:val="Subtitle Char"/>
    <w:basedOn w:val="763"/>
    <w:uiPriority w:val="11"/>
    <w:rPr>
      <w:sz w:val="24"/>
      <w:szCs w:val="24"/>
    </w:rPr>
  </w:style>
  <w:style w:type="character" w:styleId="804" w:customStyle="1">
    <w:name w:val="Quote Char"/>
    <w:uiPriority w:val="29"/>
    <w:rPr>
      <w:i/>
    </w:rPr>
  </w:style>
  <w:style w:type="character" w:styleId="805" w:customStyle="1">
    <w:name w:val="Intense Quote Char"/>
    <w:uiPriority w:val="30"/>
    <w:rPr>
      <w:i/>
    </w:rPr>
  </w:style>
  <w:style w:type="character" w:styleId="806" w:customStyle="1">
    <w:name w:val="Footnote Text Char"/>
    <w:uiPriority w:val="99"/>
    <w:rPr>
      <w:sz w:val="18"/>
    </w:rPr>
  </w:style>
  <w:style w:type="character" w:styleId="807" w:customStyle="1">
    <w:name w:val="Endnote Text Char"/>
    <w:uiPriority w:val="99"/>
    <w:rPr>
      <w:sz w:val="20"/>
    </w:rPr>
  </w:style>
  <w:style w:type="character" w:styleId="808" w:customStyle="1">
    <w:name w:val="Heading 1 Char"/>
    <w:basedOn w:val="763"/>
    <w:uiPriority w:val="9"/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763"/>
    <w:link w:val="786"/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763"/>
    <w:link w:val="787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763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763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763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763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763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763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No Spacing"/>
    <w:uiPriority w:val="1"/>
    <w:qFormat/>
  </w:style>
  <w:style w:type="paragraph" w:styleId="818">
    <w:name w:val="Title"/>
    <w:basedOn w:val="762"/>
    <w:next w:val="762"/>
    <w:link w:val="8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9" w:customStyle="1">
    <w:name w:val="Название Знак"/>
    <w:basedOn w:val="763"/>
    <w:link w:val="818"/>
    <w:uiPriority w:val="10"/>
    <w:rPr>
      <w:sz w:val="48"/>
      <w:szCs w:val="48"/>
    </w:rPr>
  </w:style>
  <w:style w:type="paragraph" w:styleId="820">
    <w:name w:val="Subtitle"/>
    <w:basedOn w:val="762"/>
    <w:next w:val="762"/>
    <w:link w:val="821"/>
    <w:uiPriority w:val="11"/>
    <w:qFormat/>
    <w:pPr>
      <w:spacing w:before="200" w:after="200"/>
    </w:pPr>
  </w:style>
  <w:style w:type="character" w:styleId="821" w:customStyle="1">
    <w:name w:val="Подзаголовок Знак"/>
    <w:basedOn w:val="763"/>
    <w:link w:val="820"/>
    <w:uiPriority w:val="11"/>
    <w:rPr>
      <w:sz w:val="24"/>
      <w:szCs w:val="24"/>
    </w:rPr>
  </w:style>
  <w:style w:type="paragraph" w:styleId="822">
    <w:name w:val="Quote"/>
    <w:basedOn w:val="762"/>
    <w:next w:val="762"/>
    <w:link w:val="823"/>
    <w:uiPriority w:val="29"/>
    <w:qFormat/>
    <w:pPr>
      <w:ind w:left="720" w:right="720"/>
    </w:pPr>
    <w:rPr>
      <w:i/>
    </w:rPr>
  </w:style>
  <w:style w:type="character" w:styleId="823" w:customStyle="1">
    <w:name w:val="Цитата 2 Знак"/>
    <w:link w:val="822"/>
    <w:uiPriority w:val="29"/>
    <w:rPr>
      <w:i/>
    </w:rPr>
  </w:style>
  <w:style w:type="paragraph" w:styleId="824">
    <w:name w:val="Intense Quote"/>
    <w:basedOn w:val="762"/>
    <w:next w:val="762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 w:customStyle="1">
    <w:name w:val="Выделенная цитата Знак"/>
    <w:link w:val="824"/>
    <w:uiPriority w:val="30"/>
    <w:rPr>
      <w:i/>
    </w:rPr>
  </w:style>
  <w:style w:type="character" w:styleId="826" w:customStyle="1">
    <w:name w:val="Header Char"/>
    <w:basedOn w:val="763"/>
    <w:uiPriority w:val="99"/>
  </w:style>
  <w:style w:type="character" w:styleId="827" w:customStyle="1">
    <w:name w:val="Footer Char"/>
    <w:basedOn w:val="763"/>
    <w:uiPriority w:val="99"/>
  </w:style>
  <w:style w:type="paragraph" w:styleId="828" w:customStyle="1">
    <w:name w:val="Caption"/>
    <w:basedOn w:val="762"/>
    <w:next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9" w:customStyle="1">
    <w:name w:val="Caption Char"/>
    <w:uiPriority w:val="99"/>
  </w:style>
  <w:style w:type="table" w:styleId="830">
    <w:name w:val="Table Grid"/>
    <w:basedOn w:val="76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Table Grid Light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Таблица простая 11"/>
    <w:basedOn w:val="76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 w:customStyle="1">
    <w:name w:val="Таблица простая 21"/>
    <w:basedOn w:val="76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 w:customStyle="1">
    <w:name w:val="Таблица простая 3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 w:customStyle="1">
    <w:name w:val="Таблица простая 4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Таблица простая 5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1 светлая1"/>
    <w:basedOn w:val="76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6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6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6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6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6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6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Таблица-сетка 21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6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6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6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31"/>
    <w:basedOn w:val="76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6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6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6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Таблица-сетка 41"/>
    <w:basedOn w:val="76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6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0" w:customStyle="1">
    <w:name w:val="Grid Table 4 - Accent 2"/>
    <w:basedOn w:val="76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Grid Table 4 - Accent 3"/>
    <w:basedOn w:val="76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2" w:customStyle="1">
    <w:name w:val="Grid Table 4 - Accent 4"/>
    <w:basedOn w:val="76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Grid Table 4 - Accent 5"/>
    <w:basedOn w:val="76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4" w:customStyle="1">
    <w:name w:val="Grid Table 4 - Accent 6"/>
    <w:basedOn w:val="76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5" w:customStyle="1">
    <w:name w:val="Таблица-сетка 5 темная1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2" w:customStyle="1">
    <w:name w:val="Таблица-сетка 6 цвет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4" w:customStyle="1">
    <w:name w:val="Grid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5" w:customStyle="1">
    <w:name w:val="Grid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6" w:customStyle="1">
    <w:name w:val="Grid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7" w:customStyle="1">
    <w:name w:val="Grid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8" w:customStyle="1">
    <w:name w:val="Grid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9" w:customStyle="1">
    <w:name w:val="Таблица-сетка 7 цветная1"/>
    <w:basedOn w:val="76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6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6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6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6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6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6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Список-таблица 1 светлая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6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Список-таблица 21"/>
    <w:basedOn w:val="76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6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6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6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6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6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6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0" w:customStyle="1">
    <w:name w:val="Список-таблица 31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Список-таблица 41"/>
    <w:basedOn w:val="76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6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6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6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6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6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6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Список-таблица 5 тем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Список-таблица 6 цветная1"/>
    <w:basedOn w:val="76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76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3" w:customStyle="1">
    <w:name w:val="List Table 6 Colorful - Accent 2"/>
    <w:basedOn w:val="76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4" w:customStyle="1">
    <w:name w:val="List Table 6 Colorful - Accent 3"/>
    <w:basedOn w:val="76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5" w:customStyle="1">
    <w:name w:val="List Table 6 Colorful - Accent 4"/>
    <w:basedOn w:val="76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6" w:customStyle="1">
    <w:name w:val="List Table 6 Colorful - Accent 5"/>
    <w:basedOn w:val="76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7" w:customStyle="1">
    <w:name w:val="List Table 6 Colorful - Accent 6"/>
    <w:basedOn w:val="76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8" w:customStyle="1">
    <w:name w:val="Список-таблица 7 цветная1"/>
    <w:basedOn w:val="76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6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6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6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6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6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6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Lined - Accent 1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Lined - Accent 2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Lined - Accent 3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Lined - Accent 4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Lined - Accent 5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Lined - Accent 6"/>
    <w:basedOn w:val="76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 &amp; Lined - Accent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Bordered &amp; Lined - Accent 1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4" w:customStyle="1">
    <w:name w:val="Bordered &amp; Lined - Accent 2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5" w:customStyle="1">
    <w:name w:val="Bordered &amp; Lined - Accent 3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6" w:customStyle="1">
    <w:name w:val="Bordered &amp; Lined - Accent 4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7" w:customStyle="1">
    <w:name w:val="Bordered &amp; Lined - Accent 5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8" w:customStyle="1">
    <w:name w:val="Bordered &amp; Lined - Accent 6"/>
    <w:basedOn w:val="76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9" w:customStyle="1">
    <w:name w:val="Bordered"/>
    <w:basedOn w:val="76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76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1" w:customStyle="1">
    <w:name w:val="Bordered - Accent 2"/>
    <w:basedOn w:val="76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2" w:customStyle="1">
    <w:name w:val="Bordered - Accent 3"/>
    <w:basedOn w:val="76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3" w:customStyle="1">
    <w:name w:val="Bordered - Accent 4"/>
    <w:basedOn w:val="76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4" w:customStyle="1">
    <w:name w:val="Bordered - Accent 5"/>
    <w:basedOn w:val="76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5" w:customStyle="1">
    <w:name w:val="Bordered - Accent 6"/>
    <w:basedOn w:val="76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6">
    <w:name w:val="footnote text"/>
    <w:basedOn w:val="762"/>
    <w:link w:val="957"/>
    <w:uiPriority w:val="99"/>
    <w:semiHidden/>
    <w:unhideWhenUsed/>
    <w:pPr>
      <w:spacing w:after="40"/>
    </w:pPr>
    <w:rPr>
      <w:sz w:val="18"/>
    </w:rPr>
  </w:style>
  <w:style w:type="character" w:styleId="957" w:customStyle="1">
    <w:name w:val="Текст сноски Знак"/>
    <w:link w:val="956"/>
    <w:uiPriority w:val="99"/>
    <w:rPr>
      <w:sz w:val="18"/>
    </w:rPr>
  </w:style>
  <w:style w:type="character" w:styleId="958">
    <w:name w:val="footnote reference"/>
    <w:basedOn w:val="763"/>
    <w:uiPriority w:val="99"/>
    <w:unhideWhenUsed/>
    <w:rPr>
      <w:vertAlign w:val="superscript"/>
    </w:rPr>
  </w:style>
  <w:style w:type="paragraph" w:styleId="959">
    <w:name w:val="endnote text"/>
    <w:basedOn w:val="762"/>
    <w:link w:val="960"/>
    <w:uiPriority w:val="99"/>
    <w:semiHidden/>
    <w:unhideWhenUsed/>
    <w:rPr>
      <w:sz w:val="20"/>
    </w:rPr>
  </w:style>
  <w:style w:type="character" w:styleId="960" w:customStyle="1">
    <w:name w:val="Текст концевой сноски Знак"/>
    <w:link w:val="959"/>
    <w:uiPriority w:val="99"/>
    <w:rPr>
      <w:sz w:val="20"/>
    </w:rPr>
  </w:style>
  <w:style w:type="character" w:styleId="961">
    <w:name w:val="endnote reference"/>
    <w:basedOn w:val="763"/>
    <w:uiPriority w:val="99"/>
    <w:semiHidden/>
    <w:unhideWhenUsed/>
    <w:rPr>
      <w:vertAlign w:val="superscript"/>
    </w:rPr>
  </w:style>
  <w:style w:type="paragraph" w:styleId="962">
    <w:name w:val="toc 1"/>
    <w:basedOn w:val="762"/>
    <w:next w:val="762"/>
    <w:uiPriority w:val="39"/>
    <w:unhideWhenUsed/>
    <w:pPr>
      <w:spacing w:after="57"/>
    </w:pPr>
  </w:style>
  <w:style w:type="paragraph" w:styleId="963">
    <w:name w:val="toc 2"/>
    <w:basedOn w:val="762"/>
    <w:next w:val="762"/>
    <w:uiPriority w:val="39"/>
    <w:unhideWhenUsed/>
    <w:pPr>
      <w:ind w:left="283"/>
      <w:spacing w:after="57"/>
    </w:pPr>
  </w:style>
  <w:style w:type="paragraph" w:styleId="964">
    <w:name w:val="toc 3"/>
    <w:basedOn w:val="762"/>
    <w:next w:val="762"/>
    <w:uiPriority w:val="39"/>
    <w:unhideWhenUsed/>
    <w:pPr>
      <w:ind w:left="567"/>
      <w:spacing w:after="57"/>
    </w:pPr>
  </w:style>
  <w:style w:type="paragraph" w:styleId="965">
    <w:name w:val="toc 4"/>
    <w:basedOn w:val="762"/>
    <w:next w:val="762"/>
    <w:uiPriority w:val="39"/>
    <w:unhideWhenUsed/>
    <w:pPr>
      <w:ind w:left="850"/>
      <w:spacing w:after="57"/>
    </w:pPr>
  </w:style>
  <w:style w:type="paragraph" w:styleId="966">
    <w:name w:val="toc 5"/>
    <w:basedOn w:val="762"/>
    <w:next w:val="762"/>
    <w:uiPriority w:val="39"/>
    <w:unhideWhenUsed/>
    <w:pPr>
      <w:ind w:left="1134"/>
      <w:spacing w:after="57"/>
    </w:pPr>
  </w:style>
  <w:style w:type="paragraph" w:styleId="967">
    <w:name w:val="toc 6"/>
    <w:basedOn w:val="762"/>
    <w:next w:val="762"/>
    <w:uiPriority w:val="39"/>
    <w:unhideWhenUsed/>
    <w:pPr>
      <w:ind w:left="1417"/>
      <w:spacing w:after="57"/>
    </w:pPr>
  </w:style>
  <w:style w:type="paragraph" w:styleId="968">
    <w:name w:val="toc 7"/>
    <w:basedOn w:val="762"/>
    <w:next w:val="762"/>
    <w:uiPriority w:val="39"/>
    <w:unhideWhenUsed/>
    <w:pPr>
      <w:ind w:left="1701"/>
      <w:spacing w:after="57"/>
    </w:pPr>
  </w:style>
  <w:style w:type="paragraph" w:styleId="969">
    <w:name w:val="toc 8"/>
    <w:basedOn w:val="762"/>
    <w:next w:val="762"/>
    <w:uiPriority w:val="39"/>
    <w:unhideWhenUsed/>
    <w:pPr>
      <w:ind w:left="1984"/>
      <w:spacing w:after="57"/>
    </w:pPr>
  </w:style>
  <w:style w:type="paragraph" w:styleId="970">
    <w:name w:val="toc 9"/>
    <w:basedOn w:val="762"/>
    <w:next w:val="762"/>
    <w:uiPriority w:val="39"/>
    <w:unhideWhenUsed/>
    <w:pPr>
      <w:ind w:left="2268"/>
      <w:spacing w:after="57"/>
    </w:pPr>
  </w:style>
  <w:style w:type="paragraph" w:styleId="971">
    <w:name w:val="TOC Heading"/>
    <w:uiPriority w:val="39"/>
    <w:unhideWhenUsed/>
  </w:style>
  <w:style w:type="paragraph" w:styleId="972">
    <w:name w:val="table of figures"/>
    <w:basedOn w:val="762"/>
    <w:next w:val="762"/>
    <w:uiPriority w:val="99"/>
    <w:unhideWhenUsed/>
  </w:style>
  <w:style w:type="character" w:styleId="973">
    <w:name w:val="Hyperlink"/>
    <w:unhideWhenUsed/>
    <w:rPr>
      <w:color w:val="0000ff"/>
      <w:u w:val="single"/>
    </w:rPr>
  </w:style>
  <w:style w:type="paragraph" w:styleId="974" w:customStyle="1">
    <w:name w:val="Header"/>
    <w:basedOn w:val="762"/>
    <w:link w:val="977"/>
    <w:uiPriority w:val="99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75" w:customStyle="1">
    <w:name w:val="Верхний колонтитул Знак"/>
    <w:link w:val="9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6" w:customStyle="1">
    <w:name w:val="ConsPlusNormal"/>
    <w:link w:val="993"/>
    <w:qFormat/>
    <w:rPr>
      <w:rFonts w:ascii="Times New Roman" w:hAnsi="Times New Roman" w:eastAsia="Times New Roman"/>
      <w:sz w:val="24"/>
      <w:szCs w:val="24"/>
    </w:rPr>
  </w:style>
  <w:style w:type="character" w:styleId="977" w:customStyle="1">
    <w:name w:val="Верхний колонтитул Знак1"/>
    <w:link w:val="9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8" w:customStyle="1">
    <w:name w:val="Заголовок 1 Знак"/>
    <w:link w:val="78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79">
    <w:name w:val="List Paragraph"/>
    <w:basedOn w:val="762"/>
    <w:uiPriority w:val="34"/>
    <w:qFormat/>
    <w:pPr>
      <w:contextualSpacing/>
      <w:ind w:left="720"/>
    </w:pPr>
  </w:style>
  <w:style w:type="paragraph" w:styleId="980" w:customStyle="1">
    <w:name w:val="Footer"/>
    <w:basedOn w:val="762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 w:customStyle="1">
    <w:name w:val="Нижний колонтитул Знак"/>
    <w:link w:val="98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2">
    <w:name w:val="Balloon Text"/>
    <w:basedOn w:val="762"/>
    <w:link w:val="983"/>
    <w:uiPriority w:val="99"/>
    <w:semiHidden/>
    <w:unhideWhenUsed/>
    <w:rPr>
      <w:rFonts w:ascii="Tahoma" w:hAnsi="Tahoma"/>
      <w:sz w:val="16"/>
      <w:szCs w:val="16"/>
    </w:rPr>
  </w:style>
  <w:style w:type="character" w:styleId="983" w:customStyle="1">
    <w:name w:val="Текст выноски Знак"/>
    <w:link w:val="98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84">
    <w:name w:val="Normal (Web)"/>
    <w:basedOn w:val="762"/>
    <w:uiPriority w:val="99"/>
    <w:unhideWhenUsed/>
    <w:pPr>
      <w:spacing w:before="100" w:beforeAutospacing="1" w:after="100" w:afterAutospacing="1"/>
    </w:pPr>
  </w:style>
  <w:style w:type="character" w:styleId="985">
    <w:name w:val="Strong"/>
    <w:basedOn w:val="763"/>
    <w:uiPriority w:val="22"/>
    <w:qFormat/>
    <w:rPr>
      <w:b/>
      <w:bCs/>
    </w:rPr>
  </w:style>
  <w:style w:type="paragraph" w:styleId="986" w:customStyle="1">
    <w:name w:val="Верхний колонтитул1"/>
    <w:basedOn w:val="762"/>
    <w:uiPriority w:val="99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paragraph" w:styleId="987" w:customStyle="1">
    <w:name w:val="Table Paragraph"/>
    <w:basedOn w:val="762"/>
    <w:uiPriority w:val="1"/>
    <w:qFormat/>
    <w:pPr>
      <w:ind w:left="40"/>
      <w:spacing w:line="211" w:lineRule="exact"/>
      <w:widowControl w:val="off"/>
    </w:pPr>
    <w:rPr>
      <w:sz w:val="22"/>
      <w:szCs w:val="22"/>
      <w:lang w:eastAsia="en-US"/>
    </w:rPr>
  </w:style>
  <w:style w:type="paragraph" w:styleId="988">
    <w:name w:val="Body Text"/>
    <w:basedOn w:val="762"/>
    <w:link w:val="989"/>
    <w:uiPriority w:val="1"/>
    <w:qFormat/>
    <w:pPr>
      <w:widowControl w:val="off"/>
    </w:pPr>
    <w:rPr>
      <w:sz w:val="22"/>
      <w:szCs w:val="22"/>
      <w:lang w:eastAsia="en-US"/>
    </w:rPr>
  </w:style>
  <w:style w:type="character" w:styleId="989" w:customStyle="1">
    <w:name w:val="Основной текст Знак"/>
    <w:basedOn w:val="763"/>
    <w:link w:val="988"/>
    <w:uiPriority w:val="1"/>
    <w:rPr>
      <w:rFonts w:ascii="Times New Roman" w:hAnsi="Times New Roman" w:eastAsia="Times New Roman"/>
      <w:sz w:val="22"/>
      <w:szCs w:val="22"/>
      <w:lang w:eastAsia="en-US"/>
    </w:rPr>
  </w:style>
  <w:style w:type="paragraph" w:styleId="990" w:customStyle="1">
    <w:name w:val="Заголовок 31"/>
    <w:basedOn w:val="762"/>
    <w:uiPriority w:val="1"/>
    <w:qFormat/>
    <w:pPr>
      <w:ind w:left="251"/>
      <w:widowControl w:val="off"/>
      <w:outlineLvl w:val="3"/>
    </w:pPr>
    <w:rPr>
      <w:b/>
      <w:bCs/>
      <w:sz w:val="22"/>
      <w:szCs w:val="22"/>
      <w:lang w:eastAsia="en-US"/>
    </w:rPr>
  </w:style>
  <w:style w:type="character" w:styleId="991">
    <w:name w:val="Emphasis"/>
    <w:basedOn w:val="763"/>
    <w:uiPriority w:val="20"/>
    <w:qFormat/>
    <w:rPr>
      <w:i/>
      <w:iCs/>
    </w:rPr>
  </w:style>
  <w:style w:type="paragraph" w:styleId="992" w:customStyle="1">
    <w:name w:val="Heading 2"/>
    <w:basedOn w:val="762"/>
    <w:next w:val="762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993" w:customStyle="1">
    <w:name w:val="ConsPlusNormal Знак"/>
    <w:link w:val="976"/>
    <w:rPr>
      <w:rFonts w:ascii="Times New Roman" w:hAnsi="Times New Roman" w:eastAsia="Times New Roman"/>
      <w:sz w:val="24"/>
      <w:szCs w:val="24"/>
    </w:rPr>
  </w:style>
  <w:style w:type="character" w:styleId="994" w:customStyle="1">
    <w:name w:val="Верхний колонтитул Знак2"/>
    <w:basedOn w:val="7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 w:customStyle="1">
    <w:name w:val="Header"/>
    <w:basedOn w:val="762"/>
    <w:link w:val="975"/>
    <w:uiPriority w:val="99"/>
    <w:unhideWhenUsed/>
    <w:pPr>
      <w:tabs>
        <w:tab w:val="center" w:pos="4153" w:leader="none"/>
        <w:tab w:val="right" w:pos="8306" w:leader="none"/>
      </w:tabs>
    </w:pPr>
  </w:style>
  <w:style w:type="character" w:styleId="996" w:customStyle="1">
    <w:name w:val="Верхний колонтитул Знак5"/>
    <w:basedOn w:val="76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7" w:customStyle="1">
    <w:name w:val="Верхний колонтитул4"/>
    <w:basedOn w:val="762"/>
    <w:link w:val="998"/>
    <w:uiPriority w:val="99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998" w:customStyle="1">
    <w:name w:val="Верхний колонтитул Знак3"/>
    <w:basedOn w:val="763"/>
    <w:link w:val="997"/>
    <w:uiPriority w:val="99"/>
    <w:rPr>
      <w:rFonts w:ascii="Times New Roman" w:hAnsi="Times New Roman" w:eastAsia="Times New Roman"/>
      <w:sz w:val="28"/>
    </w:rPr>
  </w:style>
  <w:style w:type="paragraph" w:styleId="999" w:customStyle="1">
    <w:name w:val="Верхний колонтитул2"/>
    <w:basedOn w:val="762"/>
    <w:uiPriority w:val="99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1000" w:customStyle="1">
    <w:name w:val="Гипертекстовая ссылка"/>
    <w:basedOn w:val="763"/>
    <w:uiPriority w:val="99"/>
    <w:rPr>
      <w:rFonts w:cs="Times New Roman"/>
      <w:color w:val="106bbe"/>
    </w:rPr>
  </w:style>
  <w:style w:type="paragraph" w:styleId="1001" w:customStyle="1">
    <w:name w:val="Footer"/>
    <w:basedOn w:val="762"/>
    <w:link w:val="1002"/>
    <w:uiPriority w:val="99"/>
    <w:unhideWhenUsed/>
    <w:pPr>
      <w:spacing w:after="200" w:line="276" w:lineRule="auto"/>
      <w:tabs>
        <w:tab w:val="center" w:pos="4320" w:leader="none"/>
        <w:tab w:val="right" w:pos="8640" w:leader="none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1002" w:customStyle="1">
    <w:name w:val="Нижний колонтитул Знак1"/>
    <w:basedOn w:val="763"/>
    <w:link w:val="1001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1003" w:customStyle="1">
    <w:name w:val="Header"/>
    <w:basedOn w:val="762"/>
    <w:link w:val="10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4" w:customStyle="1">
    <w:name w:val="Верхний колонтитул Знак4"/>
    <w:basedOn w:val="763"/>
    <w:link w:val="1003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1005" w:customStyle="1">
    <w:name w:val="Header"/>
    <w:basedOn w:val="762"/>
    <w:link w:val="1006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1006" w:customStyle="1">
    <w:name w:val="Верхний колонтитул Знак6"/>
    <w:basedOn w:val="763"/>
    <w:link w:val="1005"/>
    <w:rPr>
      <w:rFonts w:ascii="Times New Roman" w:hAnsi="Times New Roman" w:eastAsia="Times New Roman"/>
      <w:sz w:val="24"/>
      <w:szCs w:val="24"/>
    </w:rPr>
  </w:style>
  <w:style w:type="paragraph" w:styleId="1007" w:customStyle="1">
    <w:name w:val="Bespoke Basic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100" w:lineRule="atLeas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character" w:styleId="1008" w:customStyle="1">
    <w:name w:val="Font Style22"/>
    <w:rPr>
      <w:rFonts w:ascii="Times New Roman" w:hAnsi="Times New Roman" w:cs="Times New Roman"/>
      <w:sz w:val="26"/>
      <w:szCs w:val="26"/>
    </w:rPr>
  </w:style>
  <w:style w:type="paragraph" w:styleId="1009" w:customStyle="1">
    <w:name w:val="Абзац списка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10" w:customStyle="1">
    <w:name w:val="Абзац списка11"/>
    <w:pPr>
      <w:contextualSpacing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utp.sberbank-ast.ru" TargetMode="External"/><Relationship Id="rId12" Type="http://schemas.openxmlformats.org/officeDocument/2006/relationships/hyperlink" Target="mailto:solovey.vv@nur.yanao.ru" TargetMode="External"/><Relationship Id="rId13" Type="http://schemas.openxmlformats.org/officeDocument/2006/relationships/hyperlink" Target="https://utp.sberbank-ast.ru/AP/List/BidList" TargetMode="External"/><Relationship Id="rId14" Type="http://schemas.openxmlformats.org/officeDocument/2006/relationships/hyperlink" Target="mailto:property@sberbank-ast.ru" TargetMode="External"/><Relationship Id="rId15" Type="http://schemas.openxmlformats.org/officeDocument/2006/relationships/hyperlink" Target="http://www.nuges.ru" TargetMode="External"/><Relationship Id="rId16" Type="http://schemas.openxmlformats.org/officeDocument/2006/relationships/hyperlink" Target="https://internet.garant.ru/document/redirect/12184522/21" TargetMode="External"/><Relationship Id="rId17" Type="http://schemas.openxmlformats.org/officeDocument/2006/relationships/hyperlink" Target="https://utp.sberbank-ast.ru/AP/List/BidList" TargetMode="External"/><Relationship Id="rId18" Type="http://schemas.openxmlformats.org/officeDocument/2006/relationships/hyperlink" Target="https://utp.sberbank-ast.ru/AP/List/BidList" TargetMode="External"/><Relationship Id="rId19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http://utp.sberbank-a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D76A-900B-4E27-9536-7E265F75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158</cp:revision>
  <dcterms:created xsi:type="dcterms:W3CDTF">2023-06-15T05:49:00Z</dcterms:created>
  <dcterms:modified xsi:type="dcterms:W3CDTF">2026-03-19T05:13:01Z</dcterms:modified>
</cp:coreProperties>
</file>