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highlight w:val="none"/>
        </w:rPr>
      </w:pPr>
      <w:r>
        <mc:AlternateContent>
          <mc:Choice Requires="wpg">
            <w:drawing>
              <wp:inline xmlns:wp="http://schemas.openxmlformats.org/drawingml/2006/wordprocessingDrawing" distT="0" distB="0" distL="0" distR="0">
                <wp:extent cx="2867025" cy="100965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80664" name=""/>
                        <pic:cNvPicPr>
                          <a:picLocks noChangeAspect="1"/>
                        </pic:cNvPicPr>
                        <pic:nvPr/>
                      </pic:nvPicPr>
                      <pic:blipFill>
                        <a:blip r:embed="rId9"/>
                        <a:stretch/>
                      </pic:blipFill>
                      <pic:spPr bwMode="auto">
                        <a:xfrm>
                          <a:off x="0" y="0"/>
                          <a:ext cx="2867024" cy="10096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25.75pt;height:79.50pt;mso-wrap-distance-left:0.00pt;mso-wrap-distance-top:0.00pt;mso-wrap-distance-right:0.00pt;mso-wrap-distance-bottom:0.00pt;" stroked="false">
                <v:path textboxrect="0,0,0,0"/>
                <v:imagedata r:id="rId9" o:title=""/>
              </v:shape>
            </w:pict>
          </mc:Fallback>
        </mc:AlternateContent>
      </w:r>
      <w:r/>
    </w:p>
    <w:p>
      <w:pPr>
        <w:pStyle w:val="17"/>
        <w:ind w:left="0" w:right="0" w:firstLine="0"/>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Ямальский Росреестр: к</w:t>
      </w:r>
      <w:r>
        <w:rPr>
          <w:rFonts w:ascii="Times New Roman" w:hAnsi="Times New Roman" w:eastAsia="Times New Roman" w:cs="Times New Roman"/>
          <w:b/>
          <w:color w:val="000000"/>
          <w:sz w:val="28"/>
        </w:rPr>
        <w:t xml:space="preserve">ак внести в ЕГРН право пользования членов семьи при приватизации?</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 приватизации жилья право собственности часто оформляется на одного человека. Однако за лицами, отказавшимися от своей доли, но имевшими равные права на момент приватизации, закон сохраняет бессрочное право пользования жильем. Многие собственники задают</w:t>
      </w:r>
      <w:r>
        <w:rPr>
          <w:rFonts w:ascii="Times New Roman" w:hAnsi="Times New Roman" w:eastAsia="Times New Roman" w:cs="Times New Roman"/>
          <w:color w:val="000000"/>
          <w:sz w:val="24"/>
        </w:rPr>
        <w:t xml:space="preserve">ся вопросом: как документально отразить этот факт в официальном реестре?</w:t>
      </w:r>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Управление Росреестра по Ямало-Ненецкому автономному округу разъясняет порядок внесения в Единый государственный реестр недвижимости (ЕГРН) сведениях о членах семьи собственника приватизированной квартиры, которые сохраняют право пользования жилым помещением.</w:t>
      </w:r>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Законодательная основа и принцип заявительности</w:t>
      </w:r>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Процедура регламентирована Федеральным законом от 13.07.2015 № 218-ФЗ «О государственной регистрации недвижимости». Как и большинство учетно-регистрационных действий, она носит </w:t>
      </w:r>
      <w:r>
        <w:rPr>
          <w:rFonts w:ascii="Times New Roman" w:hAnsi="Times New Roman" w:eastAsia="Times New Roman" w:cs="Times New Roman"/>
          <w:b/>
          <w:color w:val="000000"/>
          <w:sz w:val="24"/>
        </w:rPr>
        <w:t xml:space="preserve">заявительный характер</w:t>
      </w:r>
      <w:r>
        <w:rPr>
          <w:rFonts w:ascii="Times New Roman" w:hAnsi="Times New Roman" w:eastAsia="Times New Roman" w:cs="Times New Roman"/>
          <w:color w:val="000000"/>
          <w:sz w:val="24"/>
        </w:rPr>
        <w:t xml:space="preserve"> (ст. 14 Закона № 218-ФЗ). Это означает, что сведения будут внесены только после обращения собственника или иного заинтересованного лица.</w:t>
      </w:r>
      <w: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Кто и как может подать заявление?</w:t>
      </w:r>
      <w:r/>
      <w:r/>
    </w:p>
    <w:p>
      <w:pPr>
        <w:pStyle w:val="621"/>
        <w:numPr>
          <w:ilvl w:val="0"/>
          <w:numId w:val="1"/>
        </w:numPr>
        <w:ind w:right="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Заявитель:</w:t>
      </w:r>
      <w:r>
        <w:rPr>
          <w:rFonts w:ascii="Times New Roman" w:hAnsi="Times New Roman" w:eastAsia="Times New Roman" w:cs="Times New Roman"/>
          <w:color w:val="000000"/>
          <w:sz w:val="24"/>
        </w:rPr>
        <w:t xml:space="preserve"> Собственник жилого помещения. Если квартира находится в </w:t>
      </w:r>
      <w:r>
        <w:rPr>
          <w:rFonts w:ascii="Times New Roman" w:hAnsi="Times New Roman" w:eastAsia="Times New Roman" w:cs="Times New Roman"/>
          <w:b/>
          <w:color w:val="000000"/>
          <w:sz w:val="24"/>
        </w:rPr>
        <w:t xml:space="preserve">общей долевой собственности</w:t>
      </w:r>
      <w:r>
        <w:rPr>
          <w:rFonts w:ascii="Times New Roman" w:hAnsi="Times New Roman" w:eastAsia="Times New Roman" w:cs="Times New Roman"/>
          <w:color w:val="000000"/>
          <w:sz w:val="24"/>
        </w:rPr>
        <w:t xml:space="preserve">, заявление должны подать </w:t>
      </w:r>
      <w:r>
        <w:rPr>
          <w:rFonts w:ascii="Times New Roman" w:hAnsi="Times New Roman" w:eastAsia="Times New Roman" w:cs="Times New Roman"/>
          <w:b/>
          <w:color w:val="000000"/>
          <w:sz w:val="24"/>
        </w:rPr>
        <w:t xml:space="preserve">все владельцы долей</w:t>
      </w:r>
      <w:r>
        <w:rPr>
          <w:rFonts w:ascii="Times New Roman" w:hAnsi="Times New Roman" w:eastAsia="Times New Roman" w:cs="Times New Roman"/>
          <w:color w:val="000000"/>
          <w:sz w:val="24"/>
        </w:rPr>
        <w:t xml:space="preserve">.</w:t>
      </w:r>
      <w:r/>
      <w:r/>
    </w:p>
    <w:p>
      <w:pPr>
        <w:pStyle w:val="621"/>
        <w:numPr>
          <w:ilvl w:val="0"/>
          <w:numId w:val="1"/>
        </w:numPr>
        <w:ind w:right="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Способы подачи:</w:t>
      </w:r>
      <w:r/>
      <w:r/>
    </w:p>
    <w:p>
      <w:pPr>
        <w:pStyle w:val="621"/>
        <w:numPr>
          <w:ilvl w:val="0"/>
          <w:numId w:val="2"/>
        </w:numPr>
        <w:ind w:right="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Через любой офис </w:t>
      </w:r>
      <w:r>
        <w:rPr>
          <w:rFonts w:ascii="Times New Roman" w:hAnsi="Times New Roman" w:eastAsia="Times New Roman" w:cs="Times New Roman"/>
          <w:b/>
          <w:color w:val="000000"/>
          <w:sz w:val="24"/>
        </w:rPr>
        <w:t xml:space="preserve">Многофункционального центра (МФЦ)</w:t>
      </w:r>
      <w:r>
        <w:rPr>
          <w:rFonts w:ascii="Times New Roman" w:hAnsi="Times New Roman" w:eastAsia="Times New Roman" w:cs="Times New Roman"/>
          <w:color w:val="000000"/>
          <w:sz w:val="24"/>
        </w:rPr>
        <w:t xml:space="preserve">.</w:t>
      </w:r>
      <w:r/>
      <w:r/>
    </w:p>
    <w:p>
      <w:pPr>
        <w:pStyle w:val="621"/>
        <w:numPr>
          <w:ilvl w:val="0"/>
          <w:numId w:val="2"/>
        </w:numPr>
        <w:ind w:right="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Дистанционно, через </w:t>
      </w:r>
      <w:r>
        <w:rPr>
          <w:rFonts w:ascii="Times New Roman" w:hAnsi="Times New Roman" w:eastAsia="Times New Roman" w:cs="Times New Roman"/>
          <w:b/>
          <w:color w:val="000000"/>
          <w:sz w:val="24"/>
        </w:rPr>
        <w:t xml:space="preserve">электронный сервис «Личный кабинет»</w:t>
      </w:r>
      <w:r>
        <w:rPr>
          <w:rFonts w:ascii="Times New Roman" w:hAnsi="Times New Roman" w:eastAsia="Times New Roman" w:cs="Times New Roman"/>
          <w:color w:val="000000"/>
          <w:sz w:val="24"/>
        </w:rPr>
        <w:t xml:space="preserve"> на сайте Росреестра.</w:t>
      </w:r>
      <w:r/>
      <w:r/>
    </w:p>
    <w:p>
      <w:pPr>
        <w:pStyle w:val="621"/>
        <w:numPr>
          <w:ilvl w:val="0"/>
          <w:numId w:val="1"/>
        </w:numPr>
        <w:ind w:right="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Необходимые документы:</w:t>
      </w:r>
      <w:r/>
      <w:r/>
    </w:p>
    <w:p>
      <w:pPr>
        <w:pStyle w:val="621"/>
        <w:numPr>
          <w:ilvl w:val="0"/>
          <w:numId w:val="3"/>
        </w:numPr>
        <w:ind w:right="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Заявление установленной формы.</w:t>
      </w:r>
      <w:r/>
      <w:r/>
    </w:p>
    <w:p>
      <w:pPr>
        <w:pStyle w:val="621"/>
        <w:numPr>
          <w:ilvl w:val="0"/>
          <w:numId w:val="3"/>
        </w:numPr>
        <w:ind w:right="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Документ-основание,</w:t>
      </w:r>
      <w:r>
        <w:rPr>
          <w:rFonts w:ascii="Times New Roman" w:hAnsi="Times New Roman" w:eastAsia="Times New Roman" w:cs="Times New Roman"/>
          <w:color w:val="000000"/>
          <w:sz w:val="24"/>
        </w:rPr>
        <w:t xml:space="preserve"> подтверждающий право пользования членом семьи:</w:t>
      </w:r>
      <w:r/>
      <w:r/>
    </w:p>
    <w:p>
      <w:pPr>
        <w:pStyle w:val="621"/>
        <w:numPr>
          <w:ilvl w:val="0"/>
          <w:numId w:val="3"/>
        </w:numPr>
        <w:ind w:right="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Договор передачи жилья в собственность (договор приватизации),</w:t>
      </w:r>
      <w:r>
        <w:rPr>
          <w:rFonts w:ascii="Times New Roman" w:hAnsi="Times New Roman" w:eastAsia="Times New Roman" w:cs="Times New Roman"/>
          <w:color w:val="000000"/>
          <w:sz w:val="24"/>
        </w:rPr>
        <w:t xml:space="preserve"> где указаны все лица, участвовавшие в приватизации.</w:t>
      </w:r>
      <w:r/>
      <w:r/>
    </w:p>
    <w:p>
      <w:pPr>
        <w:pStyle w:val="621"/>
        <w:numPr>
          <w:ilvl w:val="0"/>
          <w:numId w:val="3"/>
        </w:numPr>
        <w:ind w:right="0"/>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Или вступившее в законную силу </w:t>
      </w:r>
      <w:r>
        <w:rPr>
          <w:rFonts w:ascii="Times New Roman" w:hAnsi="Times New Roman" w:eastAsia="Times New Roman" w:cs="Times New Roman"/>
          <w:b/>
          <w:color w:val="000000"/>
          <w:sz w:val="24"/>
        </w:rPr>
        <w:t xml:space="preserve">решение суда</w:t>
      </w:r>
      <w:r>
        <w:rPr>
          <w:rFonts w:ascii="Times New Roman" w:hAnsi="Times New Roman" w:eastAsia="Times New Roman" w:cs="Times New Roman"/>
          <w:color w:val="000000"/>
          <w:sz w:val="24"/>
        </w:rPr>
        <w:t xml:space="preserve">, устанавливающее факт сохранения права пользования.</w:t>
      </w:r>
      <w:r/>
    </w:p>
    <w:p>
      <w:pPr>
        <w:pStyle w:val="621"/>
        <w:numPr>
          <w:ilvl w:val="0"/>
          <w:numId w:val="1"/>
        </w:numPr>
        <w:ind w:right="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r>
      <w:r>
        <w:rPr>
          <w:rFonts w:ascii="Times New Roman" w:hAnsi="Times New Roman" w:eastAsia="Times New Roman" w:cs="Times New Roman"/>
          <w:b/>
          <w:color w:val="000000"/>
          <w:sz w:val="24"/>
        </w:rPr>
        <w:t xml:space="preserve">Не взимается</w:t>
      </w:r>
      <w:r>
        <w:rPr>
          <w:rFonts w:ascii="Times New Roman" w:hAnsi="Times New Roman" w:eastAsia="Times New Roman" w:cs="Times New Roman"/>
          <w:color w:val="000000"/>
          <w:sz w:val="24"/>
        </w:rPr>
        <w:t xml:space="preserve"> государственная пошлина.</w:t>
      </w:r>
      <w:r/>
      <w:r>
        <w:rPr>
          <w:highlight w:val="none"/>
        </w:rPr>
      </w:r>
      <w:r>
        <w:rPr>
          <w:highlight w:val="none"/>
        </w:rPr>
      </w:r>
      <w:r/>
    </w:p>
    <w:p>
      <w:pPr>
        <w:ind w:left="0" w:right="0" w:firstLine="0"/>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Важно для пользователей "Личного кабинета"</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pPr>
        <w:ind w:left="0" w:right="0" w:firstLine="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 выборе электронного способа в кабинете нужно:</w:t>
      </w:r>
      <w:r/>
      <w:r/>
    </w:p>
    <w:p>
      <w:pPr>
        <w:pStyle w:val="621"/>
        <w:numPr>
          <w:ilvl w:val="0"/>
          <w:numId w:val="4"/>
        </w:numPr>
        <w:ind w:right="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Перейти в раздел </w:t>
      </w:r>
      <w:r>
        <w:rPr>
          <w:rFonts w:ascii="Times New Roman" w:hAnsi="Times New Roman" w:eastAsia="Times New Roman" w:cs="Times New Roman"/>
          <w:b/>
          <w:color w:val="000000"/>
          <w:sz w:val="24"/>
        </w:rPr>
        <w:t xml:space="preserve">«Иное»</w:t>
      </w:r>
      <w:r>
        <w:rPr>
          <w:rFonts w:ascii="Times New Roman" w:hAnsi="Times New Roman" w:eastAsia="Times New Roman" w:cs="Times New Roman"/>
          <w:color w:val="000000"/>
          <w:sz w:val="24"/>
        </w:rPr>
        <w:t xml:space="preserve">.</w:t>
      </w:r>
      <w:r/>
      <w:r/>
    </w:p>
    <w:p>
      <w:pPr>
        <w:pStyle w:val="621"/>
        <w:numPr>
          <w:ilvl w:val="0"/>
          <w:numId w:val="4"/>
        </w:numPr>
        <w:ind w:right="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Выбрать услугу </w:t>
      </w:r>
      <w:r>
        <w:rPr>
          <w:rFonts w:ascii="Times New Roman" w:hAnsi="Times New Roman" w:eastAsia="Times New Roman" w:cs="Times New Roman"/>
          <w:b/>
          <w:color w:val="000000"/>
          <w:sz w:val="24"/>
        </w:rPr>
        <w:t xml:space="preserve">«Внесение дополнительных сведений в ЕГРН»</w:t>
      </w:r>
      <w:r>
        <w:rPr>
          <w:rFonts w:ascii="Times New Roman" w:hAnsi="Times New Roman" w:eastAsia="Times New Roman" w:cs="Times New Roman"/>
          <w:color w:val="000000"/>
          <w:sz w:val="24"/>
        </w:rPr>
        <w:t xml:space="preserve">.</w:t>
      </w:r>
      <w:r/>
      <w:r/>
    </w:p>
    <w:p>
      <w:pPr>
        <w:pStyle w:val="621"/>
        <w:numPr>
          <w:ilvl w:val="0"/>
          <w:numId w:val="4"/>
        </w:numPr>
        <w:ind w:right="0"/>
        <w:rPr>
          <w:rFonts w:ascii="Times New Roman" w:hAnsi="Times New Roman" w:eastAsia="Times New Roman" w:cs="Times New Roman"/>
          <w:color w:val="000000"/>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Приложить скан-копии документов.</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621"/>
        <w:numPr>
          <w:ilvl w:val="0"/>
          <w:numId w:val="4"/>
        </w:numPr>
        <w:ind w:right="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r>
      <w:r>
        <w:rPr>
          <w:rFonts w:ascii="Times New Roman" w:hAnsi="Times New Roman" w:eastAsia="Times New Roman" w:cs="Times New Roman"/>
          <w:b/>
          <w:color w:val="000000"/>
          <w:sz w:val="24"/>
        </w:rPr>
        <w:t xml:space="preserve">Не требуется</w:t>
      </w:r>
      <w:r>
        <w:rPr>
          <w:rFonts w:ascii="Times New Roman" w:hAnsi="Times New Roman" w:eastAsia="Times New Roman" w:cs="Times New Roman"/>
          <w:color w:val="000000"/>
          <w:sz w:val="24"/>
        </w:rPr>
        <w:t xml:space="preserve"> усиленная квалифицированная электронная подпись для данного действия.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0" w:right="0" w:firstLine="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Срок оказания услуги</w:t>
        <w:br/>
      </w:r>
      <w:r>
        <w:rPr>
          <w:rFonts w:ascii="Times New Roman" w:hAnsi="Times New Roman" w:eastAsia="Times New Roman" w:cs="Times New Roman"/>
          <w:color w:val="000000"/>
          <w:sz w:val="24"/>
        </w:rPr>
        <w:t xml:space="preserve">Внесение сведений в реестр осуществляется в срок </w:t>
      </w:r>
      <w:r>
        <w:rPr>
          <w:rFonts w:ascii="Times New Roman" w:hAnsi="Times New Roman" w:eastAsia="Times New Roman" w:cs="Times New Roman"/>
          <w:b/>
          <w:color w:val="000000"/>
          <w:sz w:val="24"/>
        </w:rPr>
        <w:t xml:space="preserve">не более 5 рабочих дней</w:t>
      </w:r>
      <w:r>
        <w:rPr>
          <w:rFonts w:ascii="Times New Roman" w:hAnsi="Times New Roman" w:eastAsia="Times New Roman" w:cs="Times New Roman"/>
          <w:color w:val="000000"/>
          <w:sz w:val="24"/>
        </w:rPr>
        <w:t xml:space="preserve"> с даты поступления в Росреестр правильно оформленного заявления и приложенных к нему документов.</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left="0" w:right="0" w:firstLine="0"/>
        <w:rPr>
          <w:b w:val="0"/>
          <w:bCs w:val="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4"/>
        </w:rPr>
        <w:t xml:space="preserve">«Внесение в ЕГРН сведений о лицах, сохранивших право пользования приватизированным жильем, – это важная юридическая формальность. Она обеспечивает дополнительную защиту их прав. Эти сведения становятся частью официальной выписки из реестра, что предотвраща</w:t>
      </w:r>
      <w:r>
        <w:rPr>
          <w:rFonts w:ascii="Times New Roman" w:hAnsi="Times New Roman" w:eastAsia="Times New Roman" w:cs="Times New Roman"/>
          <w:i/>
          <w:color w:val="000000"/>
          <w:sz w:val="24"/>
        </w:rPr>
        <w:t xml:space="preserve">ет возможные злоупотребления в будущем, например, при </w:t>
      </w:r>
      <w:r>
        <w:rPr>
          <w:rFonts w:ascii="Times New Roman" w:hAnsi="Times New Roman" w:eastAsia="Times New Roman" w:cs="Times New Roman"/>
          <w:i/>
          <w:color w:val="000000"/>
          <w:sz w:val="24"/>
        </w:rPr>
        <w:t xml:space="preserve">попытке нового собственника (если квартира будет продана) выселить таких жильцов. Фактически, это делает право пользования "видимым" для всех участников рынка и органов власти и защищает права членов семьи титульного собственника. Мы рекомендуем не пренебр</w:t>
      </w:r>
      <w:r>
        <w:rPr>
          <w:rFonts w:ascii="Times New Roman" w:hAnsi="Times New Roman" w:eastAsia="Times New Roman" w:cs="Times New Roman"/>
          <w:i/>
          <w:color w:val="000000"/>
          <w:sz w:val="24"/>
        </w:rPr>
        <w:t xml:space="preserve">егать данной процедурой, тем более что она существенно упрощена и доступна в онлайн-формате без пошлины», – </w:t>
      </w:r>
      <w:r>
        <w:rPr>
          <w:rFonts w:ascii="Times New Roman" w:hAnsi="Times New Roman" w:eastAsia="Times New Roman" w:cs="Times New Roman"/>
          <w:i w:val="0"/>
          <w:iCs w:val="0"/>
          <w:color w:val="000000"/>
          <w:sz w:val="24"/>
        </w:rPr>
        <w:t xml:space="preserve">рассказала </w:t>
      </w:r>
      <w:r>
        <w:rPr>
          <w:rFonts w:ascii="Times New Roman" w:hAnsi="Times New Roman" w:eastAsia="Times New Roman" w:cs="Times New Roman"/>
          <w:b/>
          <w:bCs/>
          <w:i w:val="0"/>
          <w:iCs w:val="0"/>
          <w:color w:val="000000"/>
          <w:sz w:val="24"/>
        </w:rPr>
        <w:t xml:space="preserve">Светлана Кожевина</w:t>
      </w:r>
      <w:r>
        <w:rPr>
          <w:rFonts w:ascii="Times New Roman" w:hAnsi="Times New Roman" w:eastAsia="Times New Roman" w:cs="Times New Roman"/>
          <w:i w:val="0"/>
          <w:iCs w:val="0"/>
          <w:color w:val="000000"/>
          <w:sz w:val="24"/>
        </w:rPr>
        <w:t xml:space="preserve">, начальник отдела государственной регистрации недвижимости</w:t>
      </w:r>
      <w:r>
        <w:rPr>
          <w:rFonts w:ascii="Times New Roman" w:hAnsi="Times New Roman" w:eastAsia="Times New Roman" w:cs="Times New Roman"/>
          <w:i/>
          <w:color w:val="000000"/>
          <w:sz w:val="24"/>
        </w:rPr>
        <w:t xml:space="preserve"> </w:t>
      </w:r>
      <w:r>
        <w:rPr>
          <w:rFonts w:ascii="Times New Roman" w:hAnsi="Times New Roman" w:eastAsia="Times New Roman" w:cs="Times New Roman"/>
          <w:b w:val="0"/>
          <w:bCs w:val="0"/>
          <w:color w:val="000000"/>
          <w:sz w:val="24"/>
        </w:rPr>
        <w:t xml:space="preserve">Управления Росреестра</w:t>
      </w:r>
      <w:r>
        <w:rPr>
          <w:rFonts w:ascii="Times New Roman" w:hAnsi="Times New Roman" w:eastAsia="Times New Roman" w:cs="Times New Roman"/>
          <w:b w:val="0"/>
          <w:bCs w:val="0"/>
          <w:color w:val="000000"/>
          <w:sz w:val="24"/>
        </w:rPr>
        <w:t xml:space="preserve"> по ЯНАО.</w:t>
      </w:r>
      <w:r>
        <w:rPr>
          <w:b w:val="0"/>
          <w:bCs w:val="0"/>
        </w:rPr>
      </w:r>
      <w:r>
        <w:rPr>
          <w:b w:val="0"/>
          <w:bCs w:val="0"/>
        </w:rPr>
      </w:r>
    </w:p>
    <w:p>
      <w:r/>
      <w:r/>
    </w:p>
    <w:p>
      <w:r/>
      <w:r/>
    </w:p>
    <w:p>
      <w:pPr>
        <w:rPr>
          <w:rFonts w:ascii="Tinos" w:hAnsi="Tinos" w:cs="Tinos"/>
          <w:sz w:val="18"/>
          <w:szCs w:val="18"/>
        </w:rPr>
      </w:pPr>
      <w:r>
        <w:rPr>
          <w:rFonts w:ascii="Tinos" w:hAnsi="Tinos" w:eastAsia="Tinos" w:cs="Tinos"/>
          <w:sz w:val="18"/>
          <w:szCs w:val="18"/>
          <w:highlight w:val="none"/>
        </w:rPr>
        <w:t xml:space="preserve">Подготовлено пресс-службой Управления Росреестра по ЯНАО</w:t>
      </w:r>
      <w:r>
        <w:rPr>
          <w:rFonts w:ascii="Tinos" w:hAnsi="Tinos" w:eastAsia="Tinos" w:cs="Tinos"/>
          <w:sz w:val="18"/>
          <w:szCs w:val="18"/>
          <w:highlight w:val="none"/>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3">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zvskaredina</cp:lastModifiedBy>
  <cp:revision>1</cp:revision>
  <dcterms:modified xsi:type="dcterms:W3CDTF">2025-12-04T04:26:16Z</dcterms:modified>
</cp:coreProperties>
</file>