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2549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65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Росреестр представил новые инициативы для развития кадастровой отрасли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Федеральная служба государственной регистрации, кадастра и картографии (Росреестр) разработала два законопроекта, направленных на дальнейшее совершенствование кадастровой деятельности в России.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Изменения предлагается внести в Федеральный закон № 221-ФЗ «О кадастровой деятельности», а также в Кодекс об административных правонарушениях РФ.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Эти шаги призваны вывести отрасль на качественно новый уровень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унифицировать стандарты работы и усилить защиту интересов граждан и бизнеса.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Единые стандарты для повышения качества услуг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законопроект касается укрепления системы саморегулирования. В настоящее время национальное объединение, которое призвано задавать единые ориентиры для всех кадастровых инженеров, объединяет не все саморегулируемые организации (СРО). Для изменения эт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ситуации инициатива Росреестра предполагает обязательное членство всех СРО КИ в национальном объединении.</w:t>
      </w:r>
      <w:r/>
    </w:p>
    <w:p>
      <w:pPr>
        <w:ind w:left="0" w:right="0" w:firstLine="0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словам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руководителя Управления Росреестра по Ямало-Ненецкому автономному округу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Михаила Кириллова: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«Э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то позволит создать целостную общегосударственную модель саморегулирования. Такой подход будет способствовать обеспечению единообразного и качественного выполнения кадастровых работ по унифицированным правилам и методикам на всей тер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ритории России, что повысит удовлетворенность граждан уровнем и качеством кадастровых услуг».</w:t>
      </w:r>
      <w:r>
        <w:rPr>
          <w:i/>
          <w:iCs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того, национальное объединение получит важные полномочия по разработке единых программ теоретического экзамена и стажировки для будущих специалистов, а также правил профессиональной этики. Это заложит основу для более системной и качественной подгото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вки кадастровых инженеров по всей стране.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Расширение возможностей и услуга «под ключ»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Законопроект также расширяет профессиональные возможности самих кадастровых инженеров. Как отмечают эксперты, нововведения закладывают серьезные основы для оказания кадастровых услуг «под ключ». Такой подход создает прямые возможности для вывода кадастровы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услуг на новый уровень и удовлетворения ожиданий и потребностей клиентов.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Кадастровые инженеры играют ключевую роль в документационном сопровождении всего жизненного цикла недвижимости, и расширение их полномочий сделает взаимодействие с государственными реестрами более удобным для собственников.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Четкость правил и защита потребителей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Второй законопроект направлен на конкретизацию административной ответственности кадастровых инженеров и юридических лиц, в которых они работают. Усиливается ответственность за выполнение работ без соответствующих допусков и без оформленного договора, что 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ащищает рынок от недобросовестных исполнителей.</w:t>
      </w:r>
      <w:r/>
    </w:p>
    <w:p>
      <w:pPr>
        <w:ind w:left="0" w:right="0" w:firstLine="0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того, в отдельную категорию выделены такие нарушения, как подготовка документов на несуществующие объекты недвижимости или умышленное нарушение порядка согласования границ. По мнению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заместителя директора СРО Союз «Некоммерческое объединение кадастровых инженеров»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Ирины Мальшаковой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 «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Эти меры будут способствовать повышению достоверности данных, вносимых в Един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ый государственный реестр недвижимости, и обеспечат дополнительный уровень защиты прав потребителей кадастровых услуг».</w:t>
      </w:r>
      <w:r>
        <w:rPr>
          <w:i/>
          <w:iCs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Предлагаемые Росреестром изменения являются логичным и своевременным шагом в развитии кадастровой отрасли. Они направлены на создание прозрачной, единой и клиентоориентированной системы, которая не только повысит качество кадастровых работ, но и укрепит до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верие граждан и организаций к сфере недвижимости в целом.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  <w:t xml:space="preserve">Подготовлено пресс-службой Управления Росреестра по ЯНАО</w:t>
      </w: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2025-11-17T12:23:53Z</dcterms:modified>
</cp:coreProperties>
</file>