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4819"/>
        <w:gridCol w:w="1844"/>
      </w:tblGrid>
      <w:tr>
        <w:tblPrEx/>
        <w:trPr>
          <w:trHeight w:val="375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498" w:type="dxa"/>
            <w:vAlign w:val="bottom"/>
            <w:textDirection w:val="lrTb"/>
            <w:noWrap/>
          </w:tcPr>
          <w:p>
            <w:pPr>
              <w:ind w:left="524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Приложение 1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ind w:left="524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ind w:left="524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к решению Думы города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ind w:left="524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ind w:left="524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от ________________</w:t>
            </w: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№ _____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 xml:space="preserve">Поступления доходов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 xml:space="preserve">местного бюджета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 xml:space="preserve">города Новый Уренгой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 xml:space="preserve">по основным источникам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 xml:space="preserve"> на 2026 год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3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81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8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  <w:t xml:space="preserve">Код бюджетной классификации Российской Федерации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  <w:t xml:space="preserve">Наименование групп, подгрупп</w:t>
            </w: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</w: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  <w:t xml:space="preserve"> и статей доходов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  <w:t xml:space="preserve">(тыс. 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"/>
          <w:szCs w:val="2"/>
        </w:rPr>
      </w:pPr>
      <w:r>
        <w:rPr>
          <w:rFonts w:ascii="Liberation Serif" w:hAnsi="Liberation Serif" w:cs="Liberation Serif"/>
          <w:sz w:val="2"/>
          <w:szCs w:val="2"/>
        </w:rPr>
      </w:r>
      <w:r>
        <w:rPr>
          <w:rFonts w:ascii="Liberation Serif" w:hAnsi="Liberation Serif" w:cs="Liberation Serif"/>
          <w:sz w:val="2"/>
          <w:szCs w:val="2"/>
        </w:rPr>
      </w:r>
      <w:r>
        <w:rPr>
          <w:rFonts w:ascii="Liberation Serif" w:hAnsi="Liberation Serif" w:cs="Liberation Serif"/>
          <w:sz w:val="2"/>
          <w:szCs w:val="2"/>
        </w:rPr>
      </w:r>
    </w:p>
    <w:tbl>
      <w:tblPr>
        <w:tblStyle w:val="764"/>
        <w:tblW w:w="9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4818"/>
        <w:gridCol w:w="1843"/>
      </w:tblGrid>
      <w:tr>
        <w:tblPrEx/>
        <w:trPr>
          <w:trHeight w:val="261"/>
          <w:tblHeader/>
        </w:trPr>
        <w:tc>
          <w:tcPr>
            <w:tcW w:w="2835" w:type="dxa"/>
            <w:textDirection w:val="lrTb"/>
            <w:noWrap w:val="false"/>
          </w:tcPr>
          <w:p>
            <w:pPr>
              <w:ind w:left="-142"/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  <w:lang w:eastAsia="ru-RU"/>
              </w:rPr>
              <w:t xml:space="preserve">1 00 00000 00 0000 000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7 477 858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4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1 01 00000 00 0000 000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6 450 004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1 03 00000 00 0000 000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58 837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1 05 00000 00 0000 000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Налоги на совокупный доход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40 072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1 06 00000 00 0000 000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119 456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1 08 00000 00 0000 000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Государственная пошлина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77 345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799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1 11 00000 00 0000 000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627 072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1 13 00000 00 0000 000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14 452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1 14 00000 00 0000 000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54 325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1 16 00000 00 0000 000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36 295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cantSplit/>
          <w:trHeight w:val="315"/>
        </w:trPr>
        <w:tc>
          <w:tcPr>
            <w:tcW w:w="2835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23 065 697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  <w:lang w:eastAsia="ru-RU"/>
              </w:rPr>
              <w:t xml:space="preserve">2 02 00000 00 0000 000</w:t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23 065 697</w:t>
            </w:r>
            <w:r/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2 02 10000 00 0000 150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4 158 427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2 02 20000 00 0000 150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12 148 944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2 02 30000 00 0000 150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6 421 533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2 02 40000 00 0000 150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336 793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 xml:space="preserve">8 90 00000 00 0000 000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ДОХОДОВ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30 543 555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1" w:bottom="1134" w:left="1701" w:header="567" w:footer="85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Title Char"/>
    <w:basedOn w:val="721"/>
    <w:link w:val="750"/>
    <w:uiPriority w:val="10"/>
    <w:rPr>
      <w:sz w:val="48"/>
      <w:szCs w:val="48"/>
    </w:rPr>
  </w:style>
  <w:style w:type="character" w:styleId="725" w:customStyle="1">
    <w:name w:val="Subtitle Char"/>
    <w:basedOn w:val="721"/>
    <w:link w:val="752"/>
    <w:uiPriority w:val="11"/>
    <w:rPr>
      <w:sz w:val="24"/>
      <w:szCs w:val="24"/>
    </w:rPr>
  </w:style>
  <w:style w:type="character" w:styleId="726" w:customStyle="1">
    <w:name w:val="Quote Char"/>
    <w:link w:val="754"/>
    <w:uiPriority w:val="29"/>
    <w:rPr>
      <w:i/>
    </w:rPr>
  </w:style>
  <w:style w:type="character" w:styleId="727" w:customStyle="1">
    <w:name w:val="Intense Quote Char"/>
    <w:link w:val="756"/>
    <w:uiPriority w:val="30"/>
    <w:rPr>
      <w:i/>
    </w:rPr>
  </w:style>
  <w:style w:type="character" w:styleId="728" w:customStyle="1">
    <w:name w:val="Footnote Text Char"/>
    <w:link w:val="891"/>
    <w:uiPriority w:val="99"/>
    <w:rPr>
      <w:sz w:val="18"/>
    </w:rPr>
  </w:style>
  <w:style w:type="character" w:styleId="729" w:customStyle="1">
    <w:name w:val="Endnote Text Char"/>
    <w:link w:val="894"/>
    <w:uiPriority w:val="99"/>
    <w:rPr>
      <w:sz w:val="20"/>
    </w:rPr>
  </w:style>
  <w:style w:type="paragraph" w:styleId="730" w:customStyle="1">
    <w:name w:val="Heading 1"/>
    <w:basedOn w:val="720"/>
    <w:next w:val="720"/>
    <w:link w:val="73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Heading 2"/>
    <w:basedOn w:val="720"/>
    <w:next w:val="720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Heading 3"/>
    <w:basedOn w:val="720"/>
    <w:next w:val="720"/>
    <w:link w:val="73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Heading 4"/>
    <w:basedOn w:val="720"/>
    <w:next w:val="720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Heading 5"/>
    <w:basedOn w:val="720"/>
    <w:next w:val="720"/>
    <w:link w:val="73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Heading 6"/>
    <w:basedOn w:val="720"/>
    <w:next w:val="720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Heading 7"/>
    <w:basedOn w:val="720"/>
    <w:next w:val="720"/>
    <w:link w:val="74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Heading 8"/>
    <w:basedOn w:val="720"/>
    <w:next w:val="720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Heading 9"/>
    <w:basedOn w:val="720"/>
    <w:next w:val="720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0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720"/>
    <w:next w:val="720"/>
    <w:link w:val="751"/>
    <w:uiPriority w:val="10"/>
    <w:qFormat/>
    <w:pPr>
      <w:contextualSpacing/>
      <w:spacing w:before="3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20"/>
    <w:next w:val="720"/>
    <w:link w:val="753"/>
    <w:uiPriority w:val="11"/>
    <w:qFormat/>
    <w:pPr>
      <w:spacing w:before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20"/>
    <w:next w:val="720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0"/>
    <w:next w:val="720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Header"/>
    <w:basedOn w:val="720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Footer"/>
    <w:basedOn w:val="720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link w:val="760"/>
    <w:uiPriority w:val="99"/>
  </w:style>
  <w:style w:type="paragraph" w:styleId="762" w:customStyle="1">
    <w:name w:val="Caption"/>
    <w:basedOn w:val="720"/>
    <w:next w:val="720"/>
    <w:link w:val="76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720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20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20"/>
    <w:next w:val="720"/>
    <w:uiPriority w:val="39"/>
    <w:unhideWhenUsed/>
    <w:pPr>
      <w:spacing w:after="57"/>
    </w:pPr>
  </w:style>
  <w:style w:type="paragraph" w:styleId="898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9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900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1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02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03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0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05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0"/>
    <w:next w:val="720"/>
    <w:uiPriority w:val="99"/>
    <w:unhideWhenUsed/>
    <w:pPr>
      <w:spacing w:after="0"/>
    </w:pPr>
  </w:style>
  <w:style w:type="paragraph" w:styleId="908">
    <w:name w:val="Balloon Text"/>
    <w:basedOn w:val="720"/>
    <w:link w:val="90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721"/>
    <w:link w:val="90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0" w:customStyle="1">
    <w:name w:val="Header"/>
    <w:basedOn w:val="720"/>
    <w:link w:val="9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21"/>
    <w:link w:val="910"/>
    <w:uiPriority w:val="99"/>
    <w:rPr>
      <w:sz w:val="22"/>
      <w:szCs w:val="22"/>
      <w:lang w:eastAsia="en-US"/>
    </w:rPr>
  </w:style>
  <w:style w:type="paragraph" w:styleId="912" w:customStyle="1">
    <w:name w:val="Footer"/>
    <w:basedOn w:val="720"/>
    <w:link w:val="91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21"/>
    <w:link w:val="912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finans.nur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doh-zas</dc:creator>
  <cp:lastModifiedBy>evsirotintseva</cp:lastModifiedBy>
  <cp:revision>19</cp:revision>
  <dcterms:created xsi:type="dcterms:W3CDTF">2022-12-01T04:38:00Z</dcterms:created>
  <dcterms:modified xsi:type="dcterms:W3CDTF">2025-11-10T06:35:16Z</dcterms:modified>
  <cp:version>786432</cp:version>
</cp:coreProperties>
</file>