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443672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867024" cy="1009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В ямальском Росреестре состоялось третье заседание Общественного совета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Управлении Росреестра по Ямало-Ненецкому автономному округу прошло третье заседание Общественного совета при Управлении. Мероприятие было посвящено организационным вопросам и ключевым аспектам деятельности ведомства в регионе.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Одной из центральных тем повестки дня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стало обсуждение вовлечения объектов недвижимости в гражданско-правовые отношения. С основным докладом по этому вопросу выступила заместитель руководителя Управления Марина Савельева. Она проинформировала членов Общественного совета об итогах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проделанной за 8 месяцев текущего года работы по наполнению сведениями Единого государственного реестра недвижимости.</w:t>
      </w:r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Содокладчиком выступила главный консультант Департамента имущественных отношений ЯНАО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Наталья Котина.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Она дополнила выступление, осветив вопросы вовлечения недвижимости в хозяйственный оборот с точки зрения региональной политики в сфере управления государс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твенной собственностью: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«Вовлечение объектов недвижимости в гражданский оборот – это комплексная задача, требующая слаженной работы как Администраций органов местного самоуправления, региональных властей, так и федерального органа в лице Росреестра и Налоговой. </w:t>
      </w:r>
      <w:r/>
      <w:r>
        <w:rPr>
          <w:rFonts w:ascii="Times New Roman" w:hAnsi="Times New Roman" w:eastAsia="Times New Roman" w:cs="Times New Roman"/>
          <w:color w:val="000000"/>
          <w:sz w:val="24"/>
        </w:rPr>
        <w:t xml:space="preserve">Со своей стороны, Департамент имущественных отношений осуществляет не только организационную работу по вовлечению объектов недвижимости в гражданский оборот, но и контроль по учёту  государственной и муниципальной собственности в единой региональной информа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ционной системе - «Имущество-ЯНАО».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Это позволяет не только упорядочить реестр имущества, но и создает правовые предпосылки для его эффективного использования – будь то передача его в пользование или решение иных социально-экономических задач округа. </w:t>
      </w: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Наш тесный диалог с Росреестром является залогом успешного решения этих вопросов».</w:t>
      </w:r>
      <w:r/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процессе заседания члены Общественного совета обсудили организационные вопросы. В ходе открытого голосования были избраны председатель и его заместитель, которые будут координировать работу совета на ближайший период.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«Работа Общественного совета позволяет выстроить открытый диалог между обществом и ведомством. Обсуждение ключевого направления, такого как регистрация прав, помогает нам точнее выстраивать работу, ориентируясь на запросы жителей округа», – отме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тил руководитель Управления Росреестра по ЯНАО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Михаил Кириллов.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Справочная информация:</w:t>
        <w:br/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Общественный совет при Управлении Росреестра по ЯНАО является постоянно д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ействующим совещательно- консультационным органом, созданным для обеспечения  взаимодействия граждан и организаций с Управлением по вопросам реализации государственной политики, в части относящейся к сфере деятельности Управления,  в сфере регистрации прав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 на недвижимость и кадастрового учета.</w:t>
      </w:r>
      <w:r/>
    </w:p>
    <w:p>
      <w:pPr>
        <w:ind w:left="0" w:right="0" w:firstLine="0"/>
        <w:rPr>
          <w:rFonts w:ascii="Times New Roman" w:hAnsi="Times New Roman" w:eastAsia="Times New Roman" w:cs="Times New Roman"/>
          <w:b w:val="0"/>
          <w:bCs w:val="0"/>
          <w:color w:val="000000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0"/>
          <w:szCs w:val="18"/>
        </w:rPr>
        <w:t xml:space="preserve">Материал подготовлен пресс-службой Управления Росреестра по ЯНАО</w:t>
      </w:r>
      <w:r>
        <w:rPr>
          <w:b w:val="0"/>
          <w:bCs w:val="0"/>
          <w:sz w:val="18"/>
          <w:szCs w:val="18"/>
        </w:rPr>
      </w:r>
      <w:r>
        <w:rPr>
          <w:b w:val="0"/>
          <w:bCs w:val="0"/>
          <w:sz w:val="18"/>
          <w:szCs w:val="18"/>
        </w:rPr>
      </w:r>
      <w:r>
        <w:rPr>
          <w:b w:val="0"/>
          <w:bCs w:val="0"/>
          <w:sz w:val="18"/>
          <w:szCs w:val="1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0"/>
          <w:szCs w:val="1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0"/>
          <w:szCs w:val="1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0"/>
          <w:szCs w:val="20"/>
          <w:highlight w:val="none"/>
        </w:rPr>
      </w:r>
      <w:r>
        <w:rPr>
          <w:highlight w:val="none"/>
        </w:rPr>
      </w:r>
      <w:r>
        <w:rPr>
          <w:highlight w:val="none"/>
        </w:rPr>
      </w:r>
      <w:r/>
      <w:r>
        <w:rPr>
          <w:rFonts w:ascii="Times New Roman" w:hAnsi="Times New Roman" w:eastAsia="Times New Roman" w:cs="Times New Roman"/>
          <w:b w:val="0"/>
          <w:bCs w:val="0"/>
          <w:color w:val="000000"/>
          <w:sz w:val="20"/>
          <w:szCs w:val="20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zvskaredina</cp:lastModifiedBy>
  <cp:revision>2</cp:revision>
  <dcterms:modified xsi:type="dcterms:W3CDTF">2025-10-13T09:29:51Z</dcterms:modified>
</cp:coreProperties>
</file>