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nos" w:hAnsi="Tinos" w:eastAsia="Tinos" w:cs="Tinos"/>
          <w:b/>
          <w:bCs/>
          <w:color w:val="000000"/>
          <w:sz w:val="24"/>
          <w:szCs w:val="24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8283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/>
          <w:bCs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</w:r>
    </w:p>
    <w:p>
      <w:pPr>
        <w:rPr>
          <w:rFonts w:ascii="Tinos" w:hAnsi="Tinos" w:cs="Tinos"/>
          <w:b/>
          <w:bCs/>
          <w:color w:val="000000"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Ямальский Росреестр: В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ыделение долей детям в аварийной квартире, купленной с материнским капиталом</w:t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000000"/>
          <w:sz w:val="24"/>
          <w:szCs w:val="24"/>
          <w:highlight w:val="white"/>
        </w:rPr>
      </w:r>
    </w:p>
    <w:p>
      <w:pPr>
        <w:rPr>
          <w:rFonts w:ascii="Tinos" w:hAnsi="Tinos" w:eastAsia="Tinos" w:cs="Tinos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yellow"/>
        </w:rPr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В рамках Всероссийского единого дня оказания бесплатной юридической помощи, организованном </w:t>
      </w:r>
      <w:hyperlink r:id="rId10" w:tooltip="https://vk.com/alrf89?from=groups" w:history="1">
        <w:r>
          <w:rPr>
            <w:rStyle w:val="822"/>
            <w:rFonts w:ascii="Tinos" w:hAnsi="Tinos" w:eastAsia="Tinos" w:cs="Tinos"/>
            <w:color w:val="000000"/>
            <w:sz w:val="24"/>
            <w:szCs w:val="24"/>
            <w:highlight w:val="white"/>
            <w:u w:val="none"/>
          </w:rPr>
          <w:t xml:space="preserve">Ассоциацией юристов России ЯНАО</w:t>
        </w:r>
      </w:hyperlink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, государственный регистратор прав  Управления Росреестра по Ямало-Ненецкому автономному округу Людмила Агаркова предоставила жительнице Салехарда развернутую консультацию по вопросу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выделения долей детям в аварийной квартире, купленной с материнским капиталом.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nos" w:hAnsi="Tinos" w:cs="Tinos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Ключевые моменты: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если квартира была приобретена с использованием материнского капитала, то 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вашей обязанность является в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ыделить доли несовершеннолетним детям в квартире, признанной аварийной.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Необходимо определить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доли в праве на квартиру.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1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Квартира, купленная в браке, по умолчанию является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совместной собственностью супругов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. Это означает, что она принадлежит вам обоим как одно целое, без определения конкретных долей.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2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Использование материнского капитала обязывает вас оформить жилье в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общую долевую собственность всех членов семьи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: вас, вашего супруга и всех детей.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2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Просто так распорядиться этой квартирой (например, обменять при расселении) без выполнения этого обязательства нельзя.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ind w:left="0" w:right="0" w:firstLine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Чтобы перейти от совместной собственности супругов к долевой собственности всей семьи, вам необходимо заключить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нотариальное соглашение о выделении долей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ind w:left="0" w:right="0" w:firstLine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Необходимо именно нотариальное соглашение по нескольким причинам: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3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Это прямое требование закона, если использовали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для приобретения не только средства материнского капитала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3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Поскольку вы меняете законный режим собственности супругов (совместная) на договорной (долевая), эта сделка должна быть заверена нотариусом.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3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Обращение в Росреестр с договором в простой письменной форме приведет к приостановлению регистрации и отказу в ней.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ind w:left="0" w:right="0" w:firstLine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Когда вашу квартиру будут расселять, администрация предоставит вам новое жилое помещение. Ключевые моменты: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4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Согласие опеки: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Перед сделкой по обмену аварийной квартиры на новую вам потребуется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предварительное разрешение органа опеки и попечительства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. Опека проконтролирует, чтобы права детей не были ущемлены: новое жилье должно быть равноценным или лучше, и доли детям должны быть сохранены.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4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Условия в договоре: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В договоре с администрацией должно быть четко прописано, что новое жилье передается в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общую долевую собственность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всех членов вашей семьи, с указанием размера долей (как правило, не меньше, чем были в старой квартире).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4"/>
        </w:numPr>
        <w:ind w:right="0"/>
        <w:rPr>
          <w:rFonts w:ascii="Tinos" w:hAnsi="Tinos" w:cs="Tinos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4"/>
          <w:szCs w:val="24"/>
          <w:highlight w:val="none"/>
        </w:rPr>
        <w:t xml:space="preserve">При отчуждении доли несовершеннолетних сделка должна быть нотариальной.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pStyle w:val="668"/>
        <w:ind w:left="0" w:right="0" w:firstLine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Краткий план ваших действий: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5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Обратитесь к нотариусу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для заключения соглашения о выделении долей в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нынешней аварийной квартире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. Это основа для дальнейших действий.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5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Зарегистрируйте это соглашение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в Росреестре (нотариус часто сам подает документы на регистрацию).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5"/>
        </w:numPr>
        <w:ind w:right="0"/>
        <w:rPr>
          <w:rFonts w:ascii="Tinos" w:hAnsi="Tinos" w:cs="Tino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При расселении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предоставьте документы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, подтверждающие долевую собственность детей, в администрацию и орган опеки.</w:t>
      </w: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</w:rPr>
      </w:r>
    </w:p>
    <w:p>
      <w:pPr>
        <w:pStyle w:val="844"/>
        <w:numPr>
          <w:ilvl w:val="0"/>
          <w:numId w:val="5"/>
        </w:numPr>
        <w:ind w:right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Проследите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, чтобы в договоре на новую квартиру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были сохранены доли всех членов семьи.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vk.com/alrf89?from=group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2025-10-01T09:07:03Z</dcterms:modified>
</cp:coreProperties>
</file>