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67FD" w14:textId="77777777" w:rsidR="00EC678D" w:rsidRDefault="005C1F19">
      <w:r>
        <w:rPr>
          <w:sz w:val="24"/>
        </w:rPr>
        <w:t xml:space="preserve">Экземпляр </w:t>
      </w:r>
      <w:proofErr w:type="gramStart"/>
      <w:r>
        <w:rPr>
          <w:sz w:val="24"/>
        </w:rPr>
        <w:t>№  _</w:t>
      </w:r>
      <w:proofErr w:type="gramEnd"/>
      <w:r>
        <w:rPr>
          <w:sz w:val="24"/>
        </w:rPr>
        <w:t>_____</w:t>
      </w:r>
      <w:r>
        <w:rPr>
          <w:sz w:val="24"/>
        </w:rPr>
        <w:cr/>
      </w:r>
    </w:p>
    <w:p w14:paraId="2DC60624" w14:textId="77777777" w:rsidR="00EC678D" w:rsidRDefault="005C1F19">
      <w:pPr>
        <w:jc w:val="center"/>
      </w:pPr>
      <w:r>
        <w:rPr>
          <w:b/>
          <w:sz w:val="28"/>
        </w:rPr>
        <w:t>Выборы депутатов Думы города Новый Уренгой восьмого созыва</w:t>
      </w:r>
    </w:p>
    <w:p w14:paraId="20E65385" w14:textId="77777777" w:rsidR="00EC678D" w:rsidRDefault="005C1F19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14:paraId="3F1ED0E3" w14:textId="77777777" w:rsidR="00EC678D" w:rsidRDefault="005C1F19">
      <w:pPr>
        <w:jc w:val="center"/>
      </w:pPr>
      <w:r>
        <w:rPr>
          <w:b/>
          <w:sz w:val="32"/>
        </w:rPr>
        <w:t xml:space="preserve">ПРОТОКОЛ </w:t>
      </w:r>
    </w:p>
    <w:p w14:paraId="1C405774" w14:textId="77777777" w:rsidR="00EC678D" w:rsidRDefault="005C1F19">
      <w:pPr>
        <w:jc w:val="center"/>
      </w:pPr>
      <w:r>
        <w:rPr>
          <w:sz w:val="28"/>
        </w:rPr>
        <w:t xml:space="preserve">окружной избирательной комиссии о результатах выборов по </w:t>
      </w:r>
      <w:r>
        <w:rPr>
          <w:sz w:val="28"/>
        </w:rPr>
        <w:br/>
        <w:t>многомандатному избирательному округу № 2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EC678D" w14:paraId="5DFAC547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6B67BF73" w14:textId="77777777" w:rsidR="00EC678D" w:rsidRDefault="005C1F19">
            <w:pPr>
              <w:spacing w:before="120"/>
              <w:jc w:val="both"/>
            </w:pPr>
            <w:r>
              <w:rPr>
                <w:sz w:val="24"/>
              </w:rPr>
              <w:t>Число участковых избирательных комиссий, сформированных в многомандатном избирательном округе</w:t>
            </w:r>
          </w:p>
        </w:tc>
        <w:tc>
          <w:tcPr>
            <w:tcW w:w="1100" w:type="dxa"/>
            <w:vAlign w:val="bottom"/>
          </w:tcPr>
          <w:p w14:paraId="06289578" w14:textId="77777777" w:rsidR="00EC678D" w:rsidRDefault="005C1F19">
            <w:pPr>
              <w:spacing w:before="120"/>
              <w:jc w:val="center"/>
            </w:pPr>
            <w:r>
              <w:rPr>
                <w:sz w:val="24"/>
              </w:rPr>
              <w:t>8</w:t>
            </w:r>
          </w:p>
        </w:tc>
      </w:tr>
      <w:tr w:rsidR="00EC678D" w14:paraId="1A8A3ED5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786F26D5" w14:textId="77777777" w:rsidR="00EC678D" w:rsidRDefault="005C1F19">
            <w:pPr>
              <w:spacing w:before="120"/>
              <w:jc w:val="both"/>
            </w:pPr>
            <w:r>
              <w:rPr>
                <w:sz w:val="24"/>
              </w:rPr>
              <w:t xml:space="preserve"> Число протоколов участковых избирательных комиссий об итогах голосования, </w:t>
            </w:r>
            <w:proofErr w:type="gramStart"/>
            <w:r>
              <w:rPr>
                <w:sz w:val="24"/>
              </w:rPr>
              <w:t>на  основании</w:t>
            </w:r>
            <w:proofErr w:type="gramEnd"/>
            <w:r>
              <w:rPr>
                <w:sz w:val="24"/>
              </w:rPr>
              <w:t xml:space="preserve"> которых составлен протокол окружной избирательной комиссии о результатах  выборов</w:t>
            </w:r>
          </w:p>
        </w:tc>
        <w:tc>
          <w:tcPr>
            <w:tcW w:w="1100" w:type="dxa"/>
            <w:vAlign w:val="bottom"/>
          </w:tcPr>
          <w:p w14:paraId="5B31A4C0" w14:textId="77777777" w:rsidR="00EC678D" w:rsidRDefault="005C1F19">
            <w:pPr>
              <w:spacing w:before="120"/>
              <w:jc w:val="center"/>
            </w:pPr>
            <w:r>
              <w:rPr>
                <w:sz w:val="24"/>
              </w:rPr>
              <w:t>8</w:t>
            </w:r>
          </w:p>
        </w:tc>
      </w:tr>
      <w:tr w:rsidR="00EC678D" w14:paraId="5B5A33F7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44992621" w14:textId="77777777" w:rsidR="00EC678D" w:rsidRDefault="005C1F19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42589508" w14:textId="77777777" w:rsidR="00EC678D" w:rsidRDefault="005C1F19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EC678D" w14:paraId="4CD85929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2E885F53" w14:textId="77777777" w:rsidR="00EC678D" w:rsidRDefault="005C1F19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40BDCFC4" w14:textId="77777777" w:rsidR="00EC678D" w:rsidRDefault="005C1F19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22E15443" w14:textId="77777777" w:rsidR="00EC678D" w:rsidRDefault="005C1F19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EC678D" w14:paraId="3CC1FCB8" w14:textId="77777777">
        <w:trPr>
          <w:cantSplit/>
          <w:jc w:val="center"/>
        </w:trPr>
        <w:tc>
          <w:tcPr>
            <w:tcW w:w="10200" w:type="dxa"/>
          </w:tcPr>
          <w:p w14:paraId="396A4410" w14:textId="77777777" w:rsidR="00EC678D" w:rsidRDefault="005C1F19">
            <w:pPr>
              <w:jc w:val="both"/>
            </w:pPr>
            <w:r>
              <w:rPr>
                <w:sz w:val="24"/>
              </w:rPr>
              <w:br/>
              <w:t xml:space="preserve">     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 по соответствующему избирательному округу, соответствующей территории по всем строкам, содержащимся в указанных протоколах участковых избирательных </w:t>
            </w:r>
            <w:proofErr w:type="gramStart"/>
            <w:r>
              <w:rPr>
                <w:sz w:val="24"/>
              </w:rPr>
              <w:t xml:space="preserve">комиссий,   </w:t>
            </w:r>
            <w:proofErr w:type="gramEnd"/>
            <w:r>
              <w:rPr>
                <w:sz w:val="24"/>
              </w:rPr>
              <w:t>о п р е д е л и л а:</w:t>
            </w:r>
          </w:p>
        </w:tc>
      </w:tr>
    </w:tbl>
    <w:p w14:paraId="7908EFB0" w14:textId="77777777" w:rsidR="00EC678D" w:rsidRDefault="005C1F19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EC678D" w14:paraId="0C042AE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6E032C3" w14:textId="77777777" w:rsidR="00EC678D" w:rsidRDefault="005C1F1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42085E8C" w14:textId="77777777" w:rsidR="00EC678D" w:rsidRDefault="005C1F19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83" w:type="dxa"/>
          </w:tcPr>
          <w:p w14:paraId="561FF66D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33D9E13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DE5F6A7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A341D8A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C5E0BCD" w14:textId="77777777" w:rsidR="00EC678D" w:rsidRDefault="005C1F1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4EF79B0D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EC678D" w14:paraId="67164A5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6EF7A7A" w14:textId="77777777" w:rsidR="00EC678D" w:rsidRDefault="005C1F19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7C3A4C85" w14:textId="77777777" w:rsidR="00EC678D" w:rsidRDefault="005C1F19">
            <w:r>
              <w:rPr>
                <w:sz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283" w:type="dxa"/>
          </w:tcPr>
          <w:p w14:paraId="63967EF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F9235FB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472DAD02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E5302DD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11A1A9A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1F675E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C678D" w14:paraId="112F2C8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D2F4F50" w14:textId="77777777" w:rsidR="00EC678D" w:rsidRDefault="005C1F19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7B02A120" w14:textId="77777777" w:rsidR="00EC678D" w:rsidRDefault="005C1F19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2EEC4C80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A3F985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C483F8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207A1AC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9D248DC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341DFB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C678D" w14:paraId="54F35C4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9CBAC08" w14:textId="77777777" w:rsidR="00EC678D" w:rsidRDefault="005C1F19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759384D9" w14:textId="77777777" w:rsidR="00EC678D" w:rsidRDefault="005C1F19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83" w:type="dxa"/>
          </w:tcPr>
          <w:p w14:paraId="375C5FC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DD36BAC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D69487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5D0CE060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52089AD7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2F290D63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EC678D" w14:paraId="442A6DD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7286E1C" w14:textId="77777777" w:rsidR="00EC678D" w:rsidRDefault="005C1F19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0514D8E1" w14:textId="77777777" w:rsidR="00EC678D" w:rsidRDefault="005C1F19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83" w:type="dxa"/>
          </w:tcPr>
          <w:p w14:paraId="0BD0E5C4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80B424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2F99E58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D3C4A92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5D058A25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389195BE" w14:textId="77777777" w:rsidR="00EC678D" w:rsidRDefault="005C1F19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EC678D" w14:paraId="12CBD9F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AC5C14E" w14:textId="77777777" w:rsidR="00EC678D" w:rsidRDefault="005C1F19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7F959723" w14:textId="77777777" w:rsidR="00EC678D" w:rsidRDefault="005C1F19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28D416B2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B77839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3009C16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2970DC9F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9CC976D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8DA1E5E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EC678D" w14:paraId="46B6A4B0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17575BB" w14:textId="77777777" w:rsidR="00EC678D" w:rsidRDefault="005C1F19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023245BA" w14:textId="77777777" w:rsidR="00EC678D" w:rsidRDefault="005C1F19">
            <w:r>
              <w:rPr>
                <w:sz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5DA9AC4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14363CF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158CD46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C7BE6F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7E19785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47E9212" w14:textId="77777777" w:rsidR="00EC678D" w:rsidRDefault="005C1F19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EC678D" w14:paraId="3777E8D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7D8E035" w14:textId="77777777" w:rsidR="00EC678D" w:rsidRDefault="005C1F19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061E3D28" w14:textId="77777777" w:rsidR="00EC678D" w:rsidRDefault="005C1F19">
            <w:r>
              <w:rPr>
                <w:sz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511CCA3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886CA5E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60E53F0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EB6E539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398476AD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29C9A2D1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EC678D" w14:paraId="2C2735D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E2C73CC" w14:textId="77777777" w:rsidR="00EC678D" w:rsidRDefault="005C1F19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5A631DF8" w14:textId="77777777" w:rsidR="00EC678D" w:rsidRDefault="005C1F19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27818A2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F9E2348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0BC5992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4C51CC4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8ED662B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67546BB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EC678D" w14:paraId="531DB02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74A7FDA" w14:textId="77777777" w:rsidR="00EC678D" w:rsidRDefault="005C1F19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0017D838" w14:textId="77777777" w:rsidR="00EC678D" w:rsidRDefault="005C1F19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2DCE7FF0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60ED86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8FDF92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4480D82E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1DF22505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6D82EF27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EC678D" w14:paraId="7C006E4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4FC24FC" w14:textId="77777777" w:rsidR="00EC678D" w:rsidRDefault="005C1F19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48239656" w14:textId="77777777" w:rsidR="00EC678D" w:rsidRDefault="005C1F19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184B4353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A629814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370F156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EE7415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8C1886E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39BD328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C678D" w14:paraId="53B4EB4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793CEAC" w14:textId="77777777" w:rsidR="00EC678D" w:rsidRDefault="005C1F19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3C6C628B" w14:textId="77777777" w:rsidR="00EC678D" w:rsidRDefault="005C1F19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250D41F8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8A887E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72ADB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E7E340B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A9F748B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46DDB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5EB20FC7" w14:textId="77777777" w:rsidR="00EC678D" w:rsidRDefault="005C1F19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5C1F19" w14:paraId="248F907A" w14:textId="77777777" w:rsidTr="005C1F19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70142619" w14:textId="77777777" w:rsidR="00EC678D" w:rsidRDefault="005C1F19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500680FF" w14:textId="77777777" w:rsidR="00EC678D" w:rsidRDefault="005C1F19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EC678D" w14:paraId="788ECEC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2A669FE" w14:textId="77777777" w:rsidR="00EC678D" w:rsidRDefault="005C1F19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353D0EAA" w14:textId="77777777" w:rsidR="00EC678D" w:rsidRDefault="005C1F19">
            <w:r>
              <w:rPr>
                <w:sz w:val="24"/>
              </w:rPr>
              <w:t>Веселков Валентин Эдуардович</w:t>
            </w:r>
          </w:p>
        </w:tc>
        <w:tc>
          <w:tcPr>
            <w:tcW w:w="283" w:type="dxa"/>
          </w:tcPr>
          <w:p w14:paraId="02685DFD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8EA584C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14A4DF4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A9D5B3D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71C20594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B5CF77A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EC678D" w14:paraId="10F9A84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99F5866" w14:textId="77777777" w:rsidR="00EC678D" w:rsidRDefault="005C1F19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110F0C36" w14:textId="77777777" w:rsidR="00EC678D" w:rsidRDefault="005C1F19">
            <w:proofErr w:type="spellStart"/>
            <w:r>
              <w:rPr>
                <w:sz w:val="24"/>
              </w:rPr>
              <w:t>Колоколова</w:t>
            </w:r>
            <w:proofErr w:type="spellEnd"/>
            <w:r>
              <w:rPr>
                <w:sz w:val="24"/>
              </w:rPr>
              <w:t xml:space="preserve"> Гульназ </w:t>
            </w:r>
            <w:proofErr w:type="spellStart"/>
            <w:r>
              <w:rPr>
                <w:sz w:val="24"/>
              </w:rPr>
              <w:t>Зиннятулловна</w:t>
            </w:r>
            <w:proofErr w:type="spellEnd"/>
          </w:p>
        </w:tc>
        <w:tc>
          <w:tcPr>
            <w:tcW w:w="283" w:type="dxa"/>
          </w:tcPr>
          <w:p w14:paraId="09542E37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D7DA91A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8CD4254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55768255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3E72CD59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553C9A56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EC678D" w14:paraId="7ECEEAD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4B8F612" w14:textId="77777777" w:rsidR="00EC678D" w:rsidRDefault="005C1F19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56C4E150" w14:textId="77777777" w:rsidR="00EC678D" w:rsidRDefault="005C1F19">
            <w:r>
              <w:rPr>
                <w:sz w:val="24"/>
              </w:rPr>
              <w:t>Минченко Ксения Александровна</w:t>
            </w:r>
          </w:p>
        </w:tc>
        <w:tc>
          <w:tcPr>
            <w:tcW w:w="283" w:type="dxa"/>
          </w:tcPr>
          <w:p w14:paraId="5A048C8F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B912343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A02AEF7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3FEE351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04636D00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755952EB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C678D" w14:paraId="44E1743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3153D42" w14:textId="77777777" w:rsidR="00EC678D" w:rsidRDefault="005C1F19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40DBFB7F" w14:textId="77777777" w:rsidR="00EC678D" w:rsidRDefault="005C1F19">
            <w:r>
              <w:rPr>
                <w:sz w:val="24"/>
              </w:rPr>
              <w:t>Поздеева Любовь Владиславовна</w:t>
            </w:r>
          </w:p>
        </w:tc>
        <w:tc>
          <w:tcPr>
            <w:tcW w:w="283" w:type="dxa"/>
          </w:tcPr>
          <w:p w14:paraId="524C0DE7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ABE3DCB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F557DA4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DC2082C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7C042BE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5CD6D28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EC678D" w14:paraId="0B7E31D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8345646" w14:textId="77777777" w:rsidR="00EC678D" w:rsidRDefault="005C1F19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2ADE6B4F" w14:textId="77777777" w:rsidR="00EC678D" w:rsidRDefault="005C1F19">
            <w:proofErr w:type="spellStart"/>
            <w:r>
              <w:rPr>
                <w:sz w:val="24"/>
              </w:rPr>
              <w:t>Сауков</w:t>
            </w:r>
            <w:proofErr w:type="spellEnd"/>
            <w:r>
              <w:rPr>
                <w:sz w:val="24"/>
              </w:rPr>
              <w:t xml:space="preserve"> Сергей Александрович</w:t>
            </w:r>
          </w:p>
        </w:tc>
        <w:tc>
          <w:tcPr>
            <w:tcW w:w="283" w:type="dxa"/>
          </w:tcPr>
          <w:p w14:paraId="31C79229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03F0E47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E139C67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7163D064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D3E7647" w14:textId="77777777" w:rsidR="00EC678D" w:rsidRDefault="005C1F1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004C55A4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EC678D" w14:paraId="3152128A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34C01D2" w14:textId="77777777" w:rsidR="00EC678D" w:rsidRDefault="005C1F19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27" w:type="dxa"/>
          </w:tcPr>
          <w:p w14:paraId="15EE93EC" w14:textId="77777777" w:rsidR="00EC678D" w:rsidRDefault="005C1F19">
            <w:proofErr w:type="spellStart"/>
            <w:r>
              <w:rPr>
                <w:sz w:val="24"/>
              </w:rPr>
              <w:t>Сауранбеков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Жорабекович</w:t>
            </w:r>
            <w:proofErr w:type="spellEnd"/>
          </w:p>
        </w:tc>
        <w:tc>
          <w:tcPr>
            <w:tcW w:w="283" w:type="dxa"/>
          </w:tcPr>
          <w:p w14:paraId="7CAD899F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8858E3B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6AE4806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70DD8D0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94353BE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6F071FE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EC678D" w14:paraId="4BC2BB0B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49DF5E0" w14:textId="77777777" w:rsidR="00EC678D" w:rsidRDefault="005C1F19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27" w:type="dxa"/>
          </w:tcPr>
          <w:p w14:paraId="2AEE5FA1" w14:textId="77777777" w:rsidR="00EC678D" w:rsidRDefault="005C1F19">
            <w:r>
              <w:rPr>
                <w:sz w:val="24"/>
              </w:rPr>
              <w:t>Талан Елена Васильевна</w:t>
            </w:r>
          </w:p>
        </w:tc>
        <w:tc>
          <w:tcPr>
            <w:tcW w:w="283" w:type="dxa"/>
          </w:tcPr>
          <w:p w14:paraId="15D76162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2BFA16E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CA0AE9D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0B57729D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34D4B6A3" w14:textId="77777777" w:rsidR="00EC678D" w:rsidRDefault="005C1F19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5F6F4BFB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EC678D" w14:paraId="578D4975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88E6D31" w14:textId="77777777" w:rsidR="00EC678D" w:rsidRDefault="005C1F19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27" w:type="dxa"/>
          </w:tcPr>
          <w:p w14:paraId="5AFF9C42" w14:textId="77777777" w:rsidR="00EC678D" w:rsidRDefault="005C1F19">
            <w:proofErr w:type="spellStart"/>
            <w:r>
              <w:rPr>
                <w:sz w:val="24"/>
              </w:rPr>
              <w:t>Туковский</w:t>
            </w:r>
            <w:proofErr w:type="spellEnd"/>
            <w:r>
              <w:rPr>
                <w:sz w:val="24"/>
              </w:rPr>
              <w:t xml:space="preserve"> Дмитрий Владимирович</w:t>
            </w:r>
          </w:p>
        </w:tc>
        <w:tc>
          <w:tcPr>
            <w:tcW w:w="283" w:type="dxa"/>
          </w:tcPr>
          <w:p w14:paraId="1B1A774E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15FB15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F22634B" w14:textId="77777777" w:rsidR="00EC678D" w:rsidRDefault="005C1F19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5547F92E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452F37BF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3F7A72A7" w14:textId="77777777" w:rsidR="00EC678D" w:rsidRDefault="005C1F19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EC678D" w14:paraId="74363D4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247F0B5" w14:textId="77777777" w:rsidR="00EC678D" w:rsidRDefault="005C1F19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27" w:type="dxa"/>
          </w:tcPr>
          <w:p w14:paraId="7CEA3C79" w14:textId="77777777" w:rsidR="00EC678D" w:rsidRDefault="005C1F19">
            <w:proofErr w:type="spellStart"/>
            <w:r>
              <w:rPr>
                <w:sz w:val="24"/>
              </w:rPr>
              <w:t>Черленюк</w:t>
            </w:r>
            <w:proofErr w:type="spellEnd"/>
            <w:r>
              <w:rPr>
                <w:sz w:val="24"/>
              </w:rPr>
              <w:t xml:space="preserve"> Дарья Владимировна</w:t>
            </w:r>
          </w:p>
        </w:tc>
        <w:tc>
          <w:tcPr>
            <w:tcW w:w="283" w:type="dxa"/>
          </w:tcPr>
          <w:p w14:paraId="411EDD4D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81CA9D0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EAB7E68" w14:textId="77777777" w:rsidR="00EC678D" w:rsidRDefault="005C1F19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41D408F" w14:textId="77777777" w:rsidR="00EC678D" w:rsidRDefault="005C1F19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2142938E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2236DC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C678D" w14:paraId="41B674A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FDAE261" w14:textId="77777777" w:rsidR="00EC678D" w:rsidRDefault="005C1F19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827" w:type="dxa"/>
          </w:tcPr>
          <w:p w14:paraId="6B2B859E" w14:textId="77777777" w:rsidR="00EC678D" w:rsidRDefault="005C1F19">
            <w:r>
              <w:rPr>
                <w:sz w:val="24"/>
              </w:rPr>
              <w:t>Чернышова Ольга Николаевна</w:t>
            </w:r>
          </w:p>
        </w:tc>
        <w:tc>
          <w:tcPr>
            <w:tcW w:w="283" w:type="dxa"/>
          </w:tcPr>
          <w:p w14:paraId="7FB1EB31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798AD1C" w14:textId="77777777" w:rsidR="00EC678D" w:rsidRDefault="005C1F19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736042E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1E4B3FF7" w14:textId="77777777" w:rsidR="00EC678D" w:rsidRDefault="005C1F19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47E1A5BF" w14:textId="77777777" w:rsidR="00EC678D" w:rsidRDefault="005C1F19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36A06103" w14:textId="77777777" w:rsidR="00EC678D" w:rsidRDefault="005C1F19">
            <w:pPr>
              <w:jc w:val="center"/>
            </w:pPr>
            <w:r>
              <w:rPr>
                <w:sz w:val="32"/>
              </w:rPr>
              <w:t>7</w:t>
            </w:r>
          </w:p>
        </w:tc>
      </w:tr>
    </w:tbl>
    <w:p w14:paraId="0FA5E5DD" w14:textId="77777777" w:rsidR="00EC678D" w:rsidRDefault="005C1F19">
      <w:r>
        <w:rPr>
          <w:sz w:val="24"/>
        </w:rPr>
        <w:t xml:space="preserve"> </w:t>
      </w:r>
    </w:p>
    <w:p w14:paraId="6A7015CA" w14:textId="77777777" w:rsidR="00EC678D" w:rsidRDefault="005C1F19">
      <w:pPr>
        <w:jc w:val="both"/>
      </w:pPr>
      <w:r>
        <w:rPr>
          <w:sz w:val="24"/>
        </w:rPr>
        <w:t xml:space="preserve">В соответствии с частью 2 статьи 81 Закона Ямало-Ненецкого автономного округа от 27 июня 2006 года № 30-ЗАО "О муниципальных выборах в Ямало-Ненецком автономном округе" избранными депутатами Думы города Новый Уренгой восьмого созыва по многомандатному избирательному округу № 2 признаются зарегистрированные кандидаты:  </w:t>
      </w:r>
      <w:proofErr w:type="spellStart"/>
      <w:r>
        <w:rPr>
          <w:sz w:val="24"/>
        </w:rPr>
        <w:t>Колоколова</w:t>
      </w:r>
      <w:proofErr w:type="spellEnd"/>
      <w:r>
        <w:rPr>
          <w:sz w:val="24"/>
        </w:rPr>
        <w:t xml:space="preserve"> Гульназ </w:t>
      </w:r>
      <w:proofErr w:type="spellStart"/>
      <w:r>
        <w:rPr>
          <w:sz w:val="24"/>
        </w:rPr>
        <w:t>Зиннятулловна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Сауков</w:t>
      </w:r>
      <w:proofErr w:type="spellEnd"/>
      <w:r>
        <w:rPr>
          <w:sz w:val="24"/>
        </w:rPr>
        <w:t xml:space="preserve"> Сергей Александрович, Талан Елена Васильевна, </w:t>
      </w:r>
      <w:proofErr w:type="spellStart"/>
      <w:r>
        <w:rPr>
          <w:sz w:val="24"/>
        </w:rPr>
        <w:t>Туковский</w:t>
      </w:r>
      <w:proofErr w:type="spellEnd"/>
      <w:r>
        <w:rPr>
          <w:sz w:val="24"/>
        </w:rPr>
        <w:t xml:space="preserve"> Дмитрий Владимирович, Чернышова Ольга Николаевна </w:t>
      </w:r>
    </w:p>
    <w:p w14:paraId="6900E3A9" w14:textId="77777777" w:rsidR="00EC678D" w:rsidRDefault="00EC678D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833"/>
        <w:gridCol w:w="311"/>
        <w:gridCol w:w="3810"/>
      </w:tblGrid>
      <w:tr w:rsidR="00EC678D" w14:paraId="04E76486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622ABF35" w14:textId="77777777" w:rsidR="00EC678D" w:rsidRDefault="005C1F19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1CF634EA" w14:textId="77777777" w:rsidR="00EC678D" w:rsidRDefault="005C1F19">
            <w:pPr>
              <w:ind w:left="100"/>
            </w:pPr>
            <w:proofErr w:type="spellStart"/>
            <w:r>
              <w:rPr>
                <w:sz w:val="24"/>
              </w:rPr>
              <w:t>Федорив</w:t>
            </w:r>
            <w:proofErr w:type="spellEnd"/>
            <w:r>
              <w:rPr>
                <w:sz w:val="24"/>
              </w:rPr>
              <w:t xml:space="preserve"> О. Р. </w:t>
            </w:r>
          </w:p>
        </w:tc>
        <w:tc>
          <w:tcPr>
            <w:tcW w:w="311" w:type="dxa"/>
          </w:tcPr>
          <w:p w14:paraId="2C58B4A0" w14:textId="77777777" w:rsidR="00EC678D" w:rsidRDefault="00EC678D"/>
        </w:tc>
        <w:tc>
          <w:tcPr>
            <w:tcW w:w="3810" w:type="dxa"/>
            <w:tcBorders>
              <w:bottom w:val="single" w:sz="0" w:space="0" w:color="auto"/>
            </w:tcBorders>
          </w:tcPr>
          <w:p w14:paraId="621619C4" w14:textId="68062632" w:rsidR="00EC678D" w:rsidRDefault="001F2D5F" w:rsidP="001F2D5F">
            <w:pPr>
              <w:jc w:val="center"/>
            </w:pPr>
            <w:r>
              <w:t>Подпись</w:t>
            </w:r>
          </w:p>
        </w:tc>
      </w:tr>
      <w:tr w:rsidR="00EC678D" w14:paraId="731FB11E" w14:textId="77777777" w:rsidTr="005C1F19">
        <w:trPr>
          <w:cantSplit/>
          <w:jc w:val="center"/>
        </w:trPr>
        <w:tc>
          <w:tcPr>
            <w:tcW w:w="3271" w:type="dxa"/>
          </w:tcPr>
          <w:p w14:paraId="3C0826DF" w14:textId="77777777" w:rsidR="00EC678D" w:rsidRDefault="00EC678D"/>
        </w:tc>
        <w:tc>
          <w:tcPr>
            <w:tcW w:w="2833" w:type="dxa"/>
          </w:tcPr>
          <w:p w14:paraId="1FC809B6" w14:textId="77777777" w:rsidR="00EC678D" w:rsidRDefault="005C1F19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582956A5" w14:textId="77777777" w:rsidR="00EC678D" w:rsidRDefault="00EC678D"/>
        </w:tc>
        <w:tc>
          <w:tcPr>
            <w:tcW w:w="3810" w:type="dxa"/>
          </w:tcPr>
          <w:p w14:paraId="44EDD561" w14:textId="77777777" w:rsidR="00EC678D" w:rsidRDefault="005C1F19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EC678D" w14:paraId="15975C65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21DAC5A9" w14:textId="77777777" w:rsidR="00EC678D" w:rsidRDefault="005C1F19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60DD9E50" w14:textId="77777777" w:rsidR="00EC678D" w:rsidRDefault="005C1F19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Бадинский</w:t>
            </w:r>
            <w:proofErr w:type="spellEnd"/>
            <w:r>
              <w:rPr>
                <w:sz w:val="24"/>
              </w:rPr>
              <w:t xml:space="preserve"> А. М. </w:t>
            </w:r>
          </w:p>
        </w:tc>
        <w:tc>
          <w:tcPr>
            <w:tcW w:w="311" w:type="dxa"/>
          </w:tcPr>
          <w:p w14:paraId="310F4C90" w14:textId="77777777" w:rsidR="00EC678D" w:rsidRDefault="00EC678D"/>
        </w:tc>
        <w:tc>
          <w:tcPr>
            <w:tcW w:w="3810" w:type="dxa"/>
            <w:tcBorders>
              <w:bottom w:val="single" w:sz="0" w:space="0" w:color="auto"/>
            </w:tcBorders>
          </w:tcPr>
          <w:p w14:paraId="32F90090" w14:textId="0AAE9E93" w:rsidR="00EC678D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4E4A8227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6AC05E7D" w14:textId="77777777" w:rsidR="001F2D5F" w:rsidRDefault="001F2D5F" w:rsidP="001F2D5F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70F5CC68" w14:textId="77777777" w:rsidR="001F2D5F" w:rsidRDefault="001F2D5F" w:rsidP="001F2D5F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20AF9A4F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0BBF8B2A" w14:textId="056E4484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6E01D787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1B6FFF57" w14:textId="77777777" w:rsidR="001F2D5F" w:rsidRDefault="001F2D5F" w:rsidP="001F2D5F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32A37909" w14:textId="77777777" w:rsidR="001F2D5F" w:rsidRDefault="001F2D5F" w:rsidP="001F2D5F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Байрамкулов</w:t>
            </w:r>
            <w:proofErr w:type="spellEnd"/>
            <w:r>
              <w:rPr>
                <w:sz w:val="24"/>
              </w:rPr>
              <w:t xml:space="preserve"> А. Х. </w:t>
            </w:r>
          </w:p>
        </w:tc>
        <w:tc>
          <w:tcPr>
            <w:tcW w:w="311" w:type="dxa"/>
          </w:tcPr>
          <w:p w14:paraId="44670C3C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404D3BF4" w14:textId="724729CE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42FFD44F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57B658B7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9765C4B" w14:textId="77777777" w:rsidR="001F2D5F" w:rsidRDefault="001F2D5F" w:rsidP="001F2D5F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Нистор</w:t>
            </w:r>
            <w:proofErr w:type="spellEnd"/>
            <w:r>
              <w:rPr>
                <w:sz w:val="24"/>
              </w:rPr>
              <w:t xml:space="preserve"> А. С. </w:t>
            </w:r>
          </w:p>
        </w:tc>
        <w:tc>
          <w:tcPr>
            <w:tcW w:w="311" w:type="dxa"/>
          </w:tcPr>
          <w:p w14:paraId="1CBF6DBC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76E17985" w14:textId="2F1BCA55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2C3308E9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6B80B13D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31C697F" w14:textId="77777777" w:rsidR="001F2D5F" w:rsidRDefault="001F2D5F" w:rsidP="001F2D5F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Чунтонов</w:t>
            </w:r>
            <w:proofErr w:type="spellEnd"/>
            <w:r>
              <w:rPr>
                <w:sz w:val="24"/>
              </w:rPr>
              <w:t xml:space="preserve"> А. В. </w:t>
            </w:r>
          </w:p>
        </w:tc>
        <w:tc>
          <w:tcPr>
            <w:tcW w:w="311" w:type="dxa"/>
          </w:tcPr>
          <w:p w14:paraId="3407FC30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3162891E" w14:textId="582DFA84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66EEA10F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3CE99149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677771A9" w14:textId="77777777" w:rsidR="001F2D5F" w:rsidRDefault="001F2D5F" w:rsidP="001F2D5F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Шапоренко</w:t>
            </w:r>
            <w:proofErr w:type="spellEnd"/>
            <w:r>
              <w:rPr>
                <w:sz w:val="24"/>
              </w:rPr>
              <w:t xml:space="preserve"> А. И. </w:t>
            </w:r>
          </w:p>
        </w:tc>
        <w:tc>
          <w:tcPr>
            <w:tcW w:w="311" w:type="dxa"/>
          </w:tcPr>
          <w:p w14:paraId="6C505FEC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627CC06B" w14:textId="76F07969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6AF6E972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6BA5B4A2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F0F922D" w14:textId="77777777" w:rsidR="001F2D5F" w:rsidRDefault="001F2D5F" w:rsidP="001F2D5F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Шапоренко</w:t>
            </w:r>
            <w:proofErr w:type="spellEnd"/>
            <w:r>
              <w:rPr>
                <w:sz w:val="24"/>
              </w:rPr>
              <w:t xml:space="preserve"> А. И. </w:t>
            </w:r>
          </w:p>
        </w:tc>
        <w:tc>
          <w:tcPr>
            <w:tcW w:w="311" w:type="dxa"/>
          </w:tcPr>
          <w:p w14:paraId="2367B4C5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5C8EBD09" w14:textId="026E9AB9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3BACD046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1D6698D3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401AB66" w14:textId="77777777" w:rsidR="001F2D5F" w:rsidRDefault="001F2D5F" w:rsidP="001F2D5F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4F192C3D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13C3053E" w14:textId="68325C22" w:rsidR="001F2D5F" w:rsidRDefault="001F2D5F" w:rsidP="001F2D5F">
            <w:pPr>
              <w:jc w:val="center"/>
            </w:pPr>
            <w:r>
              <w:t>Подпись</w:t>
            </w:r>
          </w:p>
        </w:tc>
      </w:tr>
      <w:tr w:rsidR="001F2D5F" w14:paraId="61B2DD32" w14:textId="77777777" w:rsidTr="005C1F19">
        <w:trPr>
          <w:cantSplit/>
          <w:jc w:val="center"/>
        </w:trPr>
        <w:tc>
          <w:tcPr>
            <w:tcW w:w="3271" w:type="dxa"/>
            <w:vAlign w:val="bottom"/>
          </w:tcPr>
          <w:p w14:paraId="6FBEE279" w14:textId="77777777" w:rsidR="001F2D5F" w:rsidRDefault="001F2D5F" w:rsidP="001F2D5F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9031C05" w14:textId="77777777" w:rsidR="001F2D5F" w:rsidRDefault="001F2D5F" w:rsidP="001F2D5F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57569A32" w14:textId="77777777" w:rsidR="001F2D5F" w:rsidRDefault="001F2D5F" w:rsidP="001F2D5F"/>
        </w:tc>
        <w:tc>
          <w:tcPr>
            <w:tcW w:w="3810" w:type="dxa"/>
            <w:tcBorders>
              <w:bottom w:val="single" w:sz="0" w:space="0" w:color="auto"/>
            </w:tcBorders>
          </w:tcPr>
          <w:p w14:paraId="30665AB7" w14:textId="6F0575A5" w:rsidR="001F2D5F" w:rsidRDefault="001F2D5F" w:rsidP="001F2D5F">
            <w:pPr>
              <w:jc w:val="center"/>
            </w:pPr>
            <w:r>
              <w:t>Подпись</w:t>
            </w:r>
          </w:p>
        </w:tc>
      </w:tr>
    </w:tbl>
    <w:p w14:paraId="25DCA247" w14:textId="77777777" w:rsidR="00EC678D" w:rsidRDefault="00EC678D"/>
    <w:p w14:paraId="30460D21" w14:textId="60B0DC2A" w:rsidR="001F2D5F" w:rsidRDefault="005C1F19" w:rsidP="001F2D5F">
      <w:pPr>
        <w:jc w:val="center"/>
      </w:pPr>
      <w:r>
        <w:rPr>
          <w:b/>
          <w:sz w:val="24"/>
        </w:rPr>
        <w:t xml:space="preserve">          МП          </w:t>
      </w:r>
      <w:bookmarkStart w:id="0" w:name="_Hlk208847324"/>
      <w:r w:rsidR="001F2D5F">
        <w:rPr>
          <w:b/>
          <w:sz w:val="24"/>
        </w:rPr>
        <w:t>Протокол подписан "15" сентября 2025 года в 05 часов 5</w:t>
      </w:r>
      <w:r w:rsidR="001F2D5F">
        <w:rPr>
          <w:b/>
          <w:sz w:val="24"/>
        </w:rPr>
        <w:t>5</w:t>
      </w:r>
      <w:r w:rsidR="001F2D5F">
        <w:rPr>
          <w:b/>
          <w:sz w:val="24"/>
        </w:rPr>
        <w:t xml:space="preserve"> минут</w:t>
      </w:r>
      <w:bookmarkEnd w:id="0"/>
    </w:p>
    <w:p w14:paraId="1C4A52D7" w14:textId="0A726A62" w:rsidR="00EC678D" w:rsidRDefault="00EC678D">
      <w:pPr>
        <w:jc w:val="center"/>
      </w:pPr>
    </w:p>
    <w:sectPr w:rsidR="00EC678D" w:rsidSect="00EC678D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8D"/>
    <w:rsid w:val="001F2D5F"/>
    <w:rsid w:val="005C1F19"/>
    <w:rsid w:val="00E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7C11"/>
  <w15:docId w15:val="{6FE1F526-323E-42AF-AB7F-F211A4A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3</cp:revision>
  <dcterms:created xsi:type="dcterms:W3CDTF">2025-09-15T00:15:00Z</dcterms:created>
  <dcterms:modified xsi:type="dcterms:W3CDTF">2025-09-15T11:49:00Z</dcterms:modified>
</cp:coreProperties>
</file>