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Segoe UI" w:hAnsi="Segoe UI" w:cs="Segoe UI"/>
          <w:b/>
          <w:bCs/>
          <w:color w:val="00518e"/>
          <w:sz w:val="28"/>
          <w:szCs w:val="28"/>
          <w:lang w:eastAsia="ru-RU"/>
        </w:rPr>
      </w:pPr>
      <w:r/>
      <w:r>
        <w:rPr>
          <w:rFonts w:ascii="Segoe UI" w:hAnsi="Segoe UI" w:cs="Segoe UI"/>
          <w:b/>
          <w:color w:val="00518e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923925"/>
                <wp:effectExtent l="0" t="0" r="0" b="0"/>
                <wp:docPr id="1" name="Рисунок 1" descr="C:\Users\ozakirova\AppData\Local\Microsoft\Windows\INetCache\Content.Word\Основное лого 2 Ямало-Ненецкий А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8841388" name="Рисунок 2" descr="C:\Users\ozakirova\AppData\Local\Microsoft\Windows\INetCache\Content.Word\Основное лого 2 Ямало-Ненецкий АО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419349" cy="92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50pt;height:72.75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rPr>
          <w:b/>
          <w:bCs/>
        </w:rPr>
      </w:pPr>
      <w:r>
        <w:rPr>
          <w:rFonts w:ascii="Segoe UI" w:hAnsi="Segoe UI" w:cs="Segoe UI"/>
          <w:b/>
          <w:bCs/>
          <w:color w:val="00518e"/>
          <w:sz w:val="28"/>
          <w:szCs w:val="28"/>
          <w:lang w:eastAsia="ru-RU"/>
        </w:rPr>
      </w:r>
      <w:r>
        <w:rPr>
          <w:b/>
          <w:bCs/>
        </w:rPr>
        <w:t xml:space="preserve">«Земля для стройки» на Ямале на 01.09.2025</w:t>
      </w:r>
      <w:r>
        <w:rPr>
          <w:b/>
          <w:bCs/>
        </w:rPr>
      </w:r>
      <w:r>
        <w:rPr>
          <w:b/>
          <w:bCs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Управление Росреестра по Ямало-Ненецкому автономному округу в рамках рубрики «Цифра дня» сообщает статистику в сфере земли.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</w:t>
      </w:r>
      <w:r>
        <w:rPr>
          <w:rFonts w:ascii="Tinos" w:hAnsi="Tinos" w:eastAsia="Tinos" w:cs="Tinos"/>
          <w:sz w:val="24"/>
          <w:szCs w:val="24"/>
        </w:rPr>
        <w:t xml:space="preserve"> 1 сентября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2025 года на территории Ямало-Ненецкого автономного округа для индивидуального жилищного строительства и строительства многоквартирных домов выявлено 4</w:t>
      </w:r>
      <w:r>
        <w:rPr>
          <w:rFonts w:ascii="Tinos" w:hAnsi="Tinos" w:eastAsia="Tinos" w:cs="Tinos"/>
          <w:sz w:val="24"/>
          <w:szCs w:val="24"/>
        </w:rPr>
        <w:t xml:space="preserve">93</w:t>
      </w:r>
      <w:r>
        <w:rPr>
          <w:rFonts w:ascii="Tinos" w:hAnsi="Tinos" w:eastAsia="Tinos" w:cs="Tinos"/>
          <w:sz w:val="24"/>
          <w:szCs w:val="24"/>
        </w:rPr>
        <w:t xml:space="preserve"> участк</w:t>
      </w:r>
      <w:r>
        <w:rPr>
          <w:rFonts w:ascii="Tinos" w:hAnsi="Tinos" w:eastAsia="Tinos" w:cs="Tinos"/>
          <w:sz w:val="24"/>
          <w:szCs w:val="24"/>
        </w:rPr>
        <w:t xml:space="preserve">а</w:t>
      </w:r>
      <w:r>
        <w:rPr>
          <w:rFonts w:ascii="Tinos" w:hAnsi="Tinos" w:eastAsia="Tinos" w:cs="Tinos"/>
          <w:sz w:val="24"/>
          <w:szCs w:val="24"/>
        </w:rPr>
        <w:t xml:space="preserve">. Площадь указанных территорий: для индивидуального строительства — </w:t>
      </w:r>
      <w:r>
        <w:rPr>
          <w:rFonts w:ascii="Tinos" w:hAnsi="Tinos" w:eastAsia="Tinos" w:cs="Tinos"/>
          <w:bCs/>
          <w:sz w:val="24"/>
          <w:szCs w:val="24"/>
        </w:rPr>
        <w:t xml:space="preserve">56,3512 га, </w:t>
      </w:r>
      <w:r>
        <w:rPr>
          <w:rFonts w:ascii="Tinos" w:hAnsi="Tinos" w:eastAsia="Tinos" w:cs="Tinos"/>
          <w:sz w:val="24"/>
          <w:szCs w:val="24"/>
        </w:rPr>
        <w:t xml:space="preserve">для многоквартирн</w:t>
      </w:r>
      <w:r>
        <w:rPr>
          <w:rFonts w:ascii="Tinos" w:hAnsi="Tinos" w:eastAsia="Tinos" w:cs="Tinos"/>
          <w:sz w:val="24"/>
          <w:szCs w:val="24"/>
        </w:rPr>
        <w:t xml:space="preserve">ого</w:t>
      </w:r>
      <w:r>
        <w:rPr>
          <w:rFonts w:ascii="Tinos" w:hAnsi="Tinos" w:eastAsia="Tinos" w:cs="Tinos"/>
          <w:sz w:val="24"/>
          <w:szCs w:val="24"/>
        </w:rPr>
        <w:t xml:space="preserve"> - </w:t>
      </w:r>
      <w:r>
        <w:rPr>
          <w:rFonts w:ascii="Tinos" w:hAnsi="Tinos" w:eastAsia="Tinos" w:cs="Tinos"/>
          <w:bCs/>
          <w:sz w:val="24"/>
          <w:szCs w:val="24"/>
        </w:rPr>
        <w:t xml:space="preserve">204,1875 га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На </w:t>
      </w:r>
      <w:r>
        <w:rPr>
          <w:rFonts w:ascii="Tinos" w:hAnsi="Tinos" w:eastAsia="Tinos" w:cs="Tinos"/>
          <w:sz w:val="24"/>
          <w:szCs w:val="24"/>
        </w:rPr>
        <w:t xml:space="preserve">Ямале активно развивается индивидуальное жилищное строительство. За три летних  месяца 2025 года жители региона зарегистрировали </w:t>
      </w:r>
      <w:r>
        <w:rPr>
          <w:rFonts w:ascii="Tinos" w:hAnsi="Tinos" w:eastAsia="Tinos" w:cs="Tinos"/>
          <w:sz w:val="24"/>
          <w:szCs w:val="24"/>
        </w:rPr>
        <w:t xml:space="preserve">144 </w:t>
      </w:r>
      <w:r>
        <w:rPr>
          <w:rFonts w:ascii="Tinos" w:hAnsi="Tinos" w:eastAsia="Tinos" w:cs="Tinos"/>
          <w:sz w:val="24"/>
          <w:szCs w:val="24"/>
        </w:rPr>
        <w:t xml:space="preserve">частных  дома </w:t>
      </w:r>
      <w:r>
        <w:rPr>
          <w:rFonts w:ascii="Tinos" w:hAnsi="Tinos" w:eastAsia="Tinos" w:cs="Tinos"/>
          <w:sz w:val="24"/>
          <w:szCs w:val="24"/>
        </w:rPr>
        <w:t xml:space="preserve">с площадью 15 386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кв</w:t>
      </w:r>
      <w:r>
        <w:rPr>
          <w:rFonts w:ascii="Tinos" w:hAnsi="Tinos" w:eastAsia="Tinos" w:cs="Tinos"/>
          <w:sz w:val="24"/>
          <w:szCs w:val="24"/>
        </w:rPr>
        <w:t xml:space="preserve"> 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По всей России в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рамках проекта Росреестра «Земля для стройки» выявлено более 182 тыс. га для жилищного строительства. Из них для многоквартирной застройки можно использовать 14,9 тыс. участков площадью 57,9 тыс. га, а для индивидуального жилищного строительства – 122,3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тыс. участков площадью 124,8 тыс. га.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sz w:val="24"/>
          <w:szCs w:val="24"/>
        </w:rPr>
        <w:t xml:space="preserve">Напомним, подобрать пригодные земельные участки и территории, находящиеся в государственной или муниципальной собственности, для жилищного и индивидуального жилищного строительства, в регионе можно при помощи сервиса «Земля для стройки», доступного</w:t>
      </w:r>
      <w:r>
        <w:rPr>
          <w:rFonts w:ascii="Tinos" w:hAnsi="Tinos" w:eastAsia="Tinos" w:cs="Tinos"/>
          <w:sz w:val="24"/>
          <w:szCs w:val="24"/>
        </w:rPr>
        <w:t xml:space="preserve"> на портале пространственных данных «Национальная система пространственных данных» (nspd.gov.ru/). </w:t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rPr>
          <w:rFonts w:ascii="Tinos" w:hAnsi="Tinos" w:eastAsia="Tinos" w:cs="Tinos"/>
          <w:bCs/>
          <w:i/>
          <w:sz w:val="24"/>
          <w:szCs w:val="24"/>
          <w:highlight w:val="none"/>
        </w:rPr>
      </w:pPr>
      <w:r>
        <w:rPr>
          <w:rFonts w:ascii="Tinos" w:hAnsi="Tinos" w:eastAsia="Tinos" w:cs="Tinos"/>
          <w:i/>
          <w:iCs/>
          <w:sz w:val="24"/>
          <w:szCs w:val="24"/>
        </w:rPr>
        <w:t xml:space="preserve">«</w:t>
      </w:r>
      <w:r>
        <w:rPr>
          <w:rFonts w:ascii="Tinos" w:hAnsi="Tinos" w:eastAsia="Tinos" w:cs="Tinos"/>
          <w:i/>
          <w:iCs/>
          <w:sz w:val="24"/>
          <w:szCs w:val="24"/>
        </w:rPr>
        <w:t xml:space="preserve">Возможность онлайн проверить участок, рассчитать предварительную  стоимость и даже спрогнозировать будущие налоги — все это возможности Сервиса «Земля для стройки». Это  позволяет отсеять заведомо неподходящие варианты еще на этапе  «виртуального» анализа</w:t>
      </w:r>
      <w:r>
        <w:rPr>
          <w:rFonts w:ascii="Tinos" w:hAnsi="Tinos" w:eastAsia="Tinos" w:cs="Tinos"/>
          <w:i/>
          <w:iCs/>
          <w:sz w:val="24"/>
          <w:szCs w:val="24"/>
        </w:rPr>
        <w:t xml:space="preserve">», – сообщила и.о.  начальника отдела</w:t>
      </w:r>
      <w:r>
        <w:rPr>
          <w:rFonts w:ascii="Tinos" w:hAnsi="Tinos" w:eastAsia="Tinos" w:cs="Tinos"/>
          <w:i/>
          <w:iCs/>
          <w:sz w:val="24"/>
          <w:szCs w:val="24"/>
        </w:rPr>
        <w:t xml:space="preserve"> государственного земельного надзора Наталья Романовская.</w:t>
      </w:r>
      <w:r>
        <w:rPr>
          <w:rFonts w:ascii="Tinos" w:hAnsi="Tinos" w:eastAsia="Tinos" w:cs="Tinos"/>
          <w:i/>
          <w:iCs/>
          <w:sz w:val="24"/>
          <w:szCs w:val="24"/>
        </w:rPr>
      </w:r>
      <w:r>
        <w:rPr>
          <w:rFonts w:ascii="Tinos" w:hAnsi="Tinos" w:eastAsia="Tinos" w:cs="Tinos"/>
          <w:i/>
          <w:iCs/>
          <w:sz w:val="24"/>
          <w:szCs w:val="24"/>
        </w:rPr>
      </w:r>
    </w:p>
    <w:p>
      <w:pPr>
        <w:rPr>
          <w:rFonts w:ascii="Tinos" w:hAnsi="Tinos" w:cs="Tinos"/>
          <w:bCs/>
          <w:i/>
          <w:sz w:val="24"/>
          <w:szCs w:val="24"/>
        </w:rPr>
      </w:pPr>
      <w:r>
        <w:rPr>
          <w:rFonts w:ascii="Tinos" w:hAnsi="Tinos" w:eastAsia="Tinos" w:cs="Tinos"/>
          <w:i/>
          <w:iCs/>
          <w:sz w:val="24"/>
          <w:szCs w:val="24"/>
          <w:highlight w:val="none"/>
        </w:rPr>
      </w:r>
      <w:r>
        <w:rPr>
          <w:rFonts w:ascii="Tinos" w:hAnsi="Tinos" w:eastAsia="Tinos" w:cs="Tinos"/>
          <w:i/>
          <w:iCs/>
          <w:sz w:val="24"/>
          <w:szCs w:val="24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1</cp:revision>
  <dcterms:modified xsi:type="dcterms:W3CDTF">2025-09-10T10:06:06Z</dcterms:modified>
</cp:coreProperties>
</file>