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827075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867024" cy="100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highlight w:val="none"/>
        </w:rPr>
        <w:t xml:space="preserve">Новые правила регистрации квартир и нежилых помещений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highlight w:val="none"/>
        </w:rPr>
        <w:t xml:space="preserve">по договору долевого участия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 марта 2025 года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вступили в силу новые правила регистрации прав на квартиры, приобретенные по договору долевого участия (ДДУ). Начальник Ноябрьского отдела Управления Росреестра по Ямало-Ненецкому автономному округу Наталья Павлович рассказала про основные изменения.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670"/>
        <w:ind w:left="0" w:right="0" w:firstLine="0"/>
        <w:rPr>
          <w:rFonts w:ascii="Times New Roman" w:hAnsi="Times New Roman" w:eastAsia="Times New Roman" w:cs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Обязанность застройщика подать документы на регистрацию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46"/>
        <w:numPr>
          <w:ilvl w:val="0"/>
          <w:numId w:val="1"/>
        </w:numPr>
        <w:ind w:right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 течение 30 рабочих дней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после подписания акта приёма-передачи квартиры застройщик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обязан самостоятельно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подать документы на регистрацию права собственности дольщика.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846"/>
        <w:numPr>
          <w:ilvl w:val="0"/>
          <w:numId w:val="1"/>
        </w:numPr>
        <w:ind w:right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Дольщику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не нужно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оформлять доверенность – застройщик действует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на основании закона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0"/>
        <w:ind w:left="0" w:right="0" w:firstLine="0"/>
        <w:rPr>
          <w:rFonts w:ascii="Times New Roman" w:hAnsi="Times New Roman" w:eastAsia="Times New Roman" w:cs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Электронная подача документов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46"/>
        <w:numPr>
          <w:ilvl w:val="0"/>
          <w:numId w:val="2"/>
        </w:numPr>
        <w:ind w:right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Все документы подаются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только в электронном виде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846"/>
        <w:numPr>
          <w:ilvl w:val="0"/>
          <w:numId w:val="2"/>
        </w:numPr>
        <w:ind w:right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Бумажные заявления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не принимаются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 возвращаются без рассмотрения (на основании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ст. 25 Закона о регистрации недвижимости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0"/>
        <w:ind w:left="0" w:right="0" w:firstLine="0"/>
        <w:rPr>
          <w:rFonts w:ascii="Times New Roman" w:hAnsi="Times New Roman" w:eastAsia="Times New Roman" w:cs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Получение выписки из ЕГРН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После регистрации застройщик обязан передать дольщику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выписку из ЕГРН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подтверждающую право собственности.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0"/>
        <w:ind w:left="0" w:right="0" w:firstLine="0"/>
        <w:rPr>
          <w:rFonts w:ascii="Times New Roman" w:hAnsi="Times New Roman" w:eastAsia="Times New Roman" w:cs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4. Отмена "отложенной регистрации"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Раньше дольщик мог сам решать, когда регистрировать право собственности. Теперь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процесс инициируется автоматически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и застройщик обязан оформить права в установленный срок.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0"/>
        <w:ind w:left="0" w:right="0" w:firstLine="0"/>
        <w:rPr>
          <w:rFonts w:ascii="Times New Roman" w:hAnsi="Times New Roman" w:eastAsia="Times New Roman" w:cs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Что это значит для дольщиков?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46"/>
        <w:numPr>
          <w:ilvl w:val="0"/>
          <w:numId w:val="3"/>
        </w:numPr>
        <w:ind w:right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Не нужно самостоятельно подавать документы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– застройщик сделает это за вас.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46"/>
        <w:numPr>
          <w:ilvl w:val="0"/>
          <w:numId w:val="3"/>
        </w:numPr>
        <w:ind w:right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Сокращение сроков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– регистрация должна пройти в течение 2 рабочих дней после передачи в Росреестр подписанного акта.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46"/>
        <w:numPr>
          <w:ilvl w:val="0"/>
          <w:numId w:val="3"/>
        </w:numPr>
        <w:ind w:right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Бумажные документы не принимаются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– все только в электронном виде.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Рекомендуется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проверять выписку из ЕГРН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после получения, чтобы убедиться, что сведения о объекте и субъекте права верны.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b w:val="0"/>
          <w:bCs w:val="0"/>
          <w:sz w:val="18"/>
          <w:szCs w:val="18"/>
        </w:rPr>
      </w:r>
      <w:bookmarkStart w:id="0" w:name="undefined"/>
      <w:r>
        <w:rPr>
          <w:b w:val="0"/>
          <w:bCs w:val="0"/>
          <w:sz w:val="18"/>
          <w:szCs w:val="18"/>
        </w:rPr>
      </w:r>
      <w:bookmarkEnd w:id="0"/>
      <w:r>
        <w:rPr>
          <w:b w:val="0"/>
          <w:bCs w:val="0"/>
          <w:sz w:val="20"/>
          <w:szCs w:val="20"/>
        </w:rPr>
        <w:t xml:space="preserve">Статья подготовлена пресс-службой Управления Росреестра по Ямало-Ненецкому автономному округу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68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link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link w:val="696"/>
    <w:uiPriority w:val="35"/>
    <w:rPr>
      <w:b/>
      <w:bCs/>
      <w:color w:val="4f81bd" w:themeColor="accent1"/>
      <w:sz w:val="18"/>
      <w:szCs w:val="18"/>
    </w:rPr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  <w:style w:type="paragraph" w:styleId="848" w:customStyle="1">
    <w:name w:val="Normal (Web)"/>
    <w:basedOn w:val="837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sjkabalenova</cp:lastModifiedBy>
  <cp:revision>4</cp:revision>
  <dcterms:modified xsi:type="dcterms:W3CDTF">2025-09-17T05:56:59Z</dcterms:modified>
</cp:coreProperties>
</file>