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68" cy="763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2337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628668" cy="76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9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4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44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17"/>
        <w:jc w:val="center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418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917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17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19.06.</w:t>
      </w:r>
      <w:r>
        <w:rPr>
          <w:rFonts w:ascii="Liberation Sans" w:hAnsi="Liberation Sans" w:eastAsia="Liberation Sans" w:cs="Liberation Sans"/>
          <w:b/>
          <w:bCs/>
        </w:rPr>
        <w:t xml:space="preserve">20</w:t>
      </w:r>
      <w:r>
        <w:rPr>
          <w:rFonts w:ascii="Liberation Sans" w:hAnsi="Liberation Sans" w:eastAsia="Liberation Sans" w:cs="Liberation Sans"/>
          <w:b/>
          <w:bCs/>
        </w:rPr>
        <w:t xml:space="preserve">25</w:t>
      </w:r>
      <w:r>
        <w:rPr>
          <w:rFonts w:ascii="Liberation Sans" w:hAnsi="Liberation Sans" w:eastAsia="Liberation Sans" w:cs="Liberation Sans"/>
          <w:b/>
          <w:bCs/>
        </w:rPr>
        <w:t xml:space="preserve">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</w:t>
      </w:r>
      <w:r>
        <w:rPr>
          <w:rFonts w:ascii="Liberation Sans" w:hAnsi="Liberation Sans" w:eastAsia="Liberation Sans" w:cs="Liberation Sans"/>
          <w:b/>
          <w:bCs/>
        </w:rPr>
        <w:t xml:space="preserve">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:b/>
          <w:bCs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Об организации доступа к информации </w:t>
        <w:br/>
        <w:t xml:space="preserve">о деятельности органов местного самоуправления </w:t>
        <w:br/>
        <w:t xml:space="preserve">города Новый Уренгой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pStyle w:val="917"/>
        <w:contextualSpacing w:val="0"/>
        <w:ind w:firstLine="709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7"/>
        <w:contextualSpacing w:val="0"/>
        <w:ind w:firstLine="709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федеральными законами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20.03.2025 </w:t>
        <w:br/>
        <w:t xml:space="preserve">№ 33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-ФЗ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09.02.2009 № 8-ФЗ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Утвердить Порядок организации доступа к информации </w:t>
        <w:br/>
        <w:t xml:space="preserve">о деятельности органов местного самоуправления города Новый Уренгой согласно приложению к настоящему решению.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 Признать утратившим силу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решение Городской Думы муниципального образования город Новый Уренгой от 25.05.2023 № 231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«Об организации доступа к информации о деятельности органов местного самоуправления муниципального образования город Новый Уренгой»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Севера»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 Решение вступает в силу со дня его официального опубликования.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firstLine="709"/>
        <w:jc w:val="left"/>
        <w:spacing w:before="0"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firstLine="709"/>
        <w:jc w:val="left"/>
        <w:spacing w:before="0"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40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pStyle w:val="932"/>
        <w:contextualSpacing w:val="0"/>
        <w:ind w:firstLine="0"/>
        <w:jc w:val="left"/>
        <w:spacing w:before="0" w:after="0" w:line="240" w:lineRule="auto"/>
        <w:rPr>
          <w:rFonts w:ascii="Liberation Sans" w:hAnsi="Liberation Sans" w:cs="Liberation Sans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Приложение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решению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19.06.2025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418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ПОРЯДОК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</w:rPr>
        <w:t xml:space="preserve">организации доступа к информации о деятельности органов </w:t>
        <w:br/>
        <w:t xml:space="preserve">местного самоуправления 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 Общие положения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360"/>
        <w:jc w:val="both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Порядок организации доступа к информации о деятельности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органов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 (далее – Порядок) разработан в соответствии с федеральными законами </w:t>
        <w:br/>
        <w:t xml:space="preserve">от 09.02.2009 № 8-ФЗ «Об обеспечении доступа к информации </w:t>
        <w:br/>
        <w:t xml:space="preserve">о деятельности государственных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органов и органов местного самоуправления»,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от 20.03.2025 № 3</w:t>
      </w:r>
      <w:r>
        <w:rPr>
          <w:rFonts w:ascii="Liberation Sans" w:hAnsi="Liberation Sans" w:eastAsia="Liberation Sans" w:cs="Liberation Sans"/>
        </w:rPr>
        <w:t xml:space="preserve">3-ФЗ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ascii="Liberation Sans" w:hAnsi="Liberation Sans" w:eastAsia="Liberation Sans" w:cs="Liberation Sans"/>
        </w:rPr>
        <w:t xml:space="preserve">»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осуществляет правовое регулирование отношений, связанных с обеспечением доступа граждан (физических лиц), организаций (юридических лиц), общественных объединений (далее – пользователи информацией) к информации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деятельности органов местного самоуправления города Новый Уренгой (далее – органы местного самоуправления)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1.2. Действие настоящего Порядка не распространяется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отношения, связанные с: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обеспечением доступа к персональным данным, обработка которых осуществляется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органами местного самоуправления;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рассмотрением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органами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обращений 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предоставлением органами местного самоуправления в иные органы местного самоуправления информации о своей деятельности в связи с осуществлением указанными органами своих полномочий.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1.3. 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составляющим государственную или иную охраняемую законом тайну.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</w:rPr>
        <w:t xml:space="preserve">2. Спос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обы обеспечения доступа к информации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  <w:t xml:space="preserve">о деятельности органов местного самоуправле</w:t>
      </w:r>
      <w:r>
        <w:rPr>
          <w:rFonts w:ascii="Liberation Sans" w:hAnsi="Liberation Sans" w:eastAsia="Liberation Sans" w:cs="Liberation Sans"/>
        </w:rPr>
        <w:t xml:space="preserve">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оступ к информации о деятельности органов местного самоуправления обеспечивается следующими способами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 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бнародование (опубликование) информации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деятельности органов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бнародование (опубликование)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органами местного самоуправления информации о своей деятельности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средствах массовой информации осуществляется в соответствии </w:t>
        <w:br/>
        <w:t xml:space="preserve">с законодательством Российской Фе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рации о средствах массовой информации, за исключением случаев, предусмотренных подпунктами 2.1.2 и 2.1.3 настоящего пункта.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2.1.2. Если 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 отдельных видов информации о деятельности органов местного самоуправления законодательством Российской Федерации, законодательством Ямало-Ненецкого автономного округа, муниципальными правовыми актами предусматриваются требования </w:t>
        <w:br/>
        <w:t xml:space="preserve">к опубликованию такой ин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формации, то ее опубликование осуществляется с учетом этих требований.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2.1.3. 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Офици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альное опубликование муниципальных правовых актов органов местного самоуправления осуществляется в порядке, установленном Уставом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2.2. Размещение информации о деятельности органов местного самоуправления в сети Интернет.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Состав общедоступной информации, размещаемой органами местного самоуправления на официальных сайтах, в том числе информации, размещаемой в форме открытых данных </w:t>
        <w:br/>
        <w:t xml:space="preserve">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 исключением информации, указанной в части 7.1 статьи 14 Федерального закона от 09.02.2009 №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самоуправления»), определяется: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перечнем информации о деятельности Думы города Новый Уренгой, размещаемой в сети Интернет, утвержденным правовым актом Думы города Новый Уренгой.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перечнем информации о деятельности Администрации города Новый Уренгой, размещаемой в сети Интернет, утвержденным правовым актом Администрации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перечнем информации о деятельности Контрольно-счетной палаты Нового Уренгоя, размещаемой в сети Интернет, утвержденным правовым актом Контрольно-счетной палаты.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утверждении указанных перечней информации определяются периодичность размещения информации </w:t>
        <w:br/>
        <w:t xml:space="preserve">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ьзователями информацией своих прав и законных интересов, а также иные требования к размещению указанной информации.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ериодичность размещения на официальных сайтах в форме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открытых данных общедоступной информации о деятельности органов местного самоуправления, сроки ее обновления, обеспечивающие своевременность реализации и защиты пользователями информацией своих прав и з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аконных интересов, </w:t>
        <w:br/>
        <w:t xml:space="preserve">а также иные требования к размещению указанной информации </w:t>
        <w:br/>
        <w:t xml:space="preserve">в форме открытых данных определяются в порядке, установленном Правительством 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Размещение информации о деятельности органов местного самоуправления в помещениях, занимаемых органами местного самоуправления,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иных отведенных для этих целей местах.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зданиях, помещениях, занимаемых органами местного самоуправления, и иных отведенных для этих целей местах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размещаются информационные стенды и (или) другие технические средства аналогичного назначения для ознакомления пользователей информацией с текущей информацией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деятельности этих органов.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Указанная информация должна содержать порядок работы органа местного самоуправления, включая 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орядок приема пользователей информацией, государственных органов и органов местного самоуправления, условия и порядок получения информации от органа местного самоуправления.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Органы местного самоуправления вправе размещать </w:t>
        <w:br/>
        <w:t xml:space="preserve">в занимаемых ими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Ознакомление пользователей информацией с информацией </w:t>
        <w:br/>
        <w:t xml:space="preserve">о деятельности органов местного самоуправления через библиотечные и архивные фонды.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Ознакомление пользователей информацией с информацией </w:t>
        <w:br/>
        <w:t xml:space="preserve">о деятельности органо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местного самоуправления, находящейся </w:t>
        <w:br/>
        <w:t xml:space="preserve">в библиотечных и архивных фондах, осуществляется в порядке, установленном действующим законодательством.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Присутствие пользователей информацией, представителей государственных органов и органов местного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заседаниях Думы города Новый Уренгой, коллегиальных органов Администрации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Дума города Новый Уренгой обеспечивает возможность присутствия пользователей информацией, представителей государственных органов и органов местного самоуправления </w:t>
        <w:br/>
        <w:t xml:space="preserve">на своих заседаниях.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Администрация города Новый Уренгой обеспечивает возможность присутствия пользователей информацией, представителей государственных органов и органов местного самоуправления на заседаниях своих коллегиальных органов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2.6.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редоставление информации о деятельности органов местного самоуправления по запросу пользователей информацией.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 рассмотрении запроса органы ме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стного самоуправления руководствуются требованиями, установленными статьями 18 - 20 Федерального закона от 09.02.2009 № 8-ФЗ «Об обеспечении доступа </w:t>
        <w:br/>
        <w:t xml:space="preserve">к информации о деятельности государственных органов и органов местного самоуправления».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2.7. 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Доступ пользователей информацией к информации </w:t>
        <w:br/>
        <w:t xml:space="preserve">о деятельности органов местного самоуправления обеспечивается другими способами, предусмотренными действующим законодательством.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Форма предоставления информации </w:t>
        <w:br/>
        <w:t xml:space="preserve">о деятельности органов местного самоуправления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3.1. Информация о деятельности органов местного самоуправления предоставляется в устной форме и в виде документированной информации, в том числе в виде электронного документа.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3.2. Информация о деятельности органов местного самоуправления в устной форм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 предоставляется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пользователям информацией во время личного приема должностными лицами органов местного самоуправления, по телефонам справочных служб органов местного самоуправления либо должностных лиц, уполномоченных органом местного самоуправления на ее предоставление.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3.3. Форма предоставления информации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деятельности органов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может определяться запросом пользователя информацией. В случае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3.4. 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</w:t>
        <w:br/>
        <w:t xml:space="preserve">ее размещения на официальных сайтах в форме открытых данных.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3.5. Информация 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органов местного самоуправления может быть передана по сетям связи общего пользования. В случаях, установленных Правительством Российской Федерации,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доступ с использованием сети Интернет к информации, содержащейся в муниципальных информационных системах, предоставляется исключительно пользователям информацией, прошедшим авторизацию в единой системе идентификации </w:t>
        <w:br/>
        <w:t xml:space="preserve">и аутентификации.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left="360"/>
        <w:jc w:val="center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 Организация доступа к информации </w:t>
        <w:br/>
        <w:t xml:space="preserve">о деятельности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органов местного самоуправления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360"/>
        <w:jc w:val="center"/>
        <w:spacing w:before="0" w:after="0" w:line="240" w:lineRule="auto"/>
        <w:rPr>
          <w:rFonts w:ascii="Liberation Sans" w:hAnsi="Liberation Sans" w:cs="Liberation Sans"/>
          <w:color w:val="000000" w:themeColor="text1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4.1. Доступ к информации о деятельности органов местного самоуправления обеспечивается в пределах своих полномочий органами местного самоуправления.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4.2. Организация доступа к информации о деятельности органов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возлагается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Главой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должностных лиц </w:t>
        <w:br/>
        <w:t xml:space="preserve">и руководителей органов Администрации города Новый Уренгой, ответственных за организацию доступа к соответствующей информации;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Председателем Думы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отдел </w:t>
        <w:br/>
        <w:t xml:space="preserve">по развитию местного самоуправле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ния Управления по местному самоуправлению и общественным отношениям Департамента внутренней политики Администрации города Новый Уренгой;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председателем Контрольно-счетной палаты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Нового Уренгоя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 на аудитора Контрольно-счетной палаты Нового Уренгоя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4.3. Размещение информации о деятельности органов местного самоуправления в сети Интернет осуществляется посредством: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официального сайта Администрации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 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дминистрации города Новый Уренгой и Контрольно-счетной палаты Нового Уренгоя;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официального сайта Думы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для Думы города Новый Уренгой;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официальных страниц органов местного самоуправления.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В целях обеспечения права неограниченного круга лиц </w:t>
        <w:br/>
        <w:t xml:space="preserve">на доступ к информации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 деятельности органов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местах, доступных для пользователей информацией (в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помещениях органов местного самоуправления, муниципальных библиотек, други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 доступных для посещения местах), создаются пункты подключения к сети Интернет.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 к технологическим, программным </w:t>
        <w:br/>
        <w:t xml:space="preserve">и лингвистическим средствам обеспечения пользования официальными сайтами органов местного самоуправления города Новый Уренгой установлены в приложении к настоящему Порядку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0"/>
        <w:jc w:val="left"/>
        <w:spacing w:before="0" w:after="0" w:line="240" w:lineRule="auto"/>
        <w:widowControl/>
        <w:rPr>
          <w:rFonts w:ascii="Liberation Sans" w:hAnsi="Liberation Sans" w:cs="Liberation Sans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left="0" w:right="0" w:firstLine="0"/>
        <w:jc w:val="center"/>
        <w:spacing w:before="0" w:after="0" w:line="240" w:lineRule="auto"/>
        <w:widowControl/>
        <w:rPr>
          <w:rFonts w:ascii="Liberation Sans" w:hAnsi="Liberation Sans" w:cs="Liberation Sans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обеспечением доступа к информации </w:t>
        <w:br/>
        <w:t xml:space="preserve">о деятельности органов местного самоуправления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540"/>
        <w:jc w:val="left"/>
        <w:spacing w:before="0" w:after="0" w:line="240" w:lineRule="auto"/>
        <w:widowControl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обеспечение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доступа к информации </w:t>
        <w:br/>
        <w:t xml:space="preserve">о деятельности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 города Новый Уренгой осуществляется ее Председателем. 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обеспечением доступа к информации </w:t>
        <w:br/>
        <w:t xml:space="preserve">о деятельности Администрации 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осуществляется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Главой города Новый Уренгой.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обеспечением доступа к информац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ии </w:t>
        <w:br/>
        <w:t xml:space="preserve">о деятельности Контрольно-сче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тной палаты Нового Уренгоя осуществляется 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редседателем.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.4. Должностные лица, ответственные за предоста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вление информации о деяте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льности органов местного самоуправления,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</w:t>
        <w:br/>
        <w:t xml:space="preserve">в соответствии с законодательством 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оссийской Федерации.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0"/>
        <w:jc w:val="center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 Заключительные положения</w:t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pStyle w:val="920"/>
        <w:contextualSpacing w:val="0"/>
        <w:ind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  <w:sectPr>
          <w:headerReference w:type="default" r:id="rId11"/>
          <w:footnotePr/>
          <w:endnotePr/>
          <w:type w:val="nextPage"/>
          <w:pgSz w:w="11907" w:h="16840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Вопросы, не урегулированные настоящим 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орядком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регулируются в соответствии с федеральными законами, нормативными правовыми актами органов государственной власти Российской Федерации, законами Ямало-Ненецкого автономного округа,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муниципальными правовыми актами.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contextualSpacing w:val="0"/>
        <w:ind w:left="4677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Приложение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4677" w:right="0" w:firstLine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ind w:left="4677" w:right="0" w:firstLine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Порядку организации доступа </w:t>
        <w:br/>
        <w:t xml:space="preserve">к информации о деятельности органов местного самоуправления города Новый Уренгой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официальными сайтами </w:t>
        <w:br/>
        <w:t xml:space="preserve">органов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  <w:t xml:space="preserve"> города Новый Уренгой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1. Технологические и программные средства обеспечения пользования </w:t>
      </w:r>
      <w:hyperlink r:id="rId14" w:tooltip="http://internet.garant.ru/document/redirect/27998025/454" w:history="1"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официальными сайтами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органов местного самоуправления города Новый Уренгой </w:t>
      </w:r>
      <w:r>
        <w:rPr>
          <w:rFonts w:ascii="Liberation Sans" w:hAnsi="Liberation Sans" w:eastAsia="Liberation Sans" w:cs="Liberation Sans"/>
        </w:rPr>
        <w:t xml:space="preserve">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информационно-телекоммуникационной сети Интернет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(далее – официальные сайты) должны обеспечивать доступ пользователей информацией для ознакомления с информацией о деятельности органов местного самоуправления, размещенной на официальных сайтах, на основе общедоступного программного обеспечения.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  <w:t xml:space="preserve">2. Для просмотра официальных сайтов не должна предусматриваться установка на компьютере пользователей информацией специально созданных с этой целью технологических </w:t>
        <w:br/>
        <w:t xml:space="preserve">и программных средств.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  <w:t xml:space="preserve">3. Пользователю информацией должна предоставляться наглядная информация о структуре официальных сайтов.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  <w:t xml:space="preserve">4. Технологические и программные средства ведения официальных сайтов должны обеспечивать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защиту информации </w:t>
        <w:br/>
        <w:t xml:space="preserve">от уничтожения, модификации и блокирования доступа к ней, а также от иных неправомерных действий в отношении такой информации.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5. Информация на официальных сайтах должна размещаться </w:t>
        <w:br/>
        <w:t xml:space="preserve">на русском языке.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Допускается указание наименований иностранных юридических лиц, фамилий и имен физических лиц с использованием букв латинского алфавита.</w:t>
      </w:r>
      <w:r>
        <w:rPr>
          <w:rFonts w:ascii="Liberation Sans" w:hAnsi="Liberation Sans" w:cs="Liberation Sans"/>
          <w:sz w:val="28"/>
          <w:szCs w:val="28"/>
          <w14:ligatures w14:val="none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sectPr>
      <w:footnotePr/>
      <w:endnotePr/>
      <w:type w:val="nextPage"/>
      <w:pgSz w:w="11907" w:h="16840" w:orient="portrait"/>
      <w:pgMar w:top="1134" w:right="851" w:bottom="1134" w:left="1701" w:header="68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NewRomanCYR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23631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rFonts w:ascii="Liberation Sans" w:hAnsi="Liberation Sans" w:cs="Liberation Sans"/>
            <w:sz w:val="28"/>
            <w:szCs w:val="28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2</w: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</w:rPr>
        </w:r>
        <w:r>
          <w:rPr>
            <w:rFonts w:ascii="Liberation Sans" w:hAnsi="Liberation Sans" w:cs="Liberation Sans"/>
            <w:sz w:val="28"/>
            <w:szCs w:val="28"/>
          </w:rPr>
        </w:r>
      </w:p>
    </w:sdtContent>
  </w:sdt>
  <w:p>
    <w:pPr>
      <w:pStyle w:val="917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23626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>
          <w:rPr>
            <w:color w:val="ffffff" w:themeColor="background1"/>
          </w:rPr>
        </w:r>
        <w:r>
          <w:rPr>
            <w:color w:val="ffffff" w:themeColor="background1"/>
          </w:rPr>
        </w:r>
      </w:p>
    </w:sdtContent>
  </w:sdt>
  <w:p>
    <w:pPr>
      <w:pStyle w:val="917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23631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rFonts w:ascii="Liberation Sans" w:hAnsi="Liberation Sans" w:cs="Liberation Sans"/>
            <w:sz w:val="28"/>
            <w:szCs w:val="28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2</w: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</w:rPr>
        </w:r>
        <w:r>
          <w:rPr>
            <w:rFonts w:ascii="Liberation Sans" w:hAnsi="Liberation Sans" w:cs="Liberation Sans"/>
            <w:sz w:val="28"/>
            <w:szCs w:val="28"/>
          </w:rPr>
        </w:r>
      </w:p>
    </w:sdtContent>
  </w:sdt>
  <w:p>
    <w:pPr>
      <w:pStyle w:val="917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3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4"/>
    <w:link w:val="913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2"/>
    <w:next w:val="912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basedOn w:val="914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2"/>
    <w:next w:val="912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basedOn w:val="914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2"/>
    <w:next w:val="91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basedOn w:val="914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2"/>
    <w:next w:val="912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basedOn w:val="91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2"/>
    <w:next w:val="912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4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2"/>
    <w:next w:val="912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4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2"/>
    <w:next w:val="912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4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2"/>
    <w:next w:val="912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4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2"/>
    <w:next w:val="912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basedOn w:val="914"/>
    <w:link w:val="760"/>
    <w:uiPriority w:val="10"/>
    <w:rPr>
      <w:sz w:val="48"/>
      <w:szCs w:val="48"/>
    </w:rPr>
  </w:style>
  <w:style w:type="paragraph" w:styleId="762">
    <w:name w:val="Subtitle"/>
    <w:basedOn w:val="912"/>
    <w:next w:val="912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basedOn w:val="914"/>
    <w:link w:val="762"/>
    <w:uiPriority w:val="11"/>
    <w:rPr>
      <w:sz w:val="24"/>
      <w:szCs w:val="24"/>
    </w:rPr>
  </w:style>
  <w:style w:type="paragraph" w:styleId="764">
    <w:name w:val="Quote"/>
    <w:basedOn w:val="912"/>
    <w:next w:val="912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2"/>
    <w:next w:val="912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character" w:styleId="768">
    <w:name w:val="Header Char"/>
    <w:basedOn w:val="914"/>
    <w:link w:val="917"/>
    <w:uiPriority w:val="99"/>
  </w:style>
  <w:style w:type="character" w:styleId="769">
    <w:name w:val="Footer Char"/>
    <w:basedOn w:val="914"/>
    <w:link w:val="926"/>
    <w:uiPriority w:val="99"/>
  </w:style>
  <w:style w:type="paragraph" w:styleId="770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926"/>
    <w:uiPriority w:val="99"/>
  </w:style>
  <w:style w:type="table" w:styleId="772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Footnote Text Char"/>
    <w:link w:val="933"/>
    <w:uiPriority w:val="99"/>
    <w:rPr>
      <w:sz w:val="18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4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  <w:rPr>
      <w:sz w:val="28"/>
      <w:szCs w:val="28"/>
    </w:rPr>
  </w:style>
  <w:style w:type="paragraph" w:styleId="913">
    <w:name w:val="Heading 1"/>
    <w:basedOn w:val="912"/>
    <w:next w:val="912"/>
    <w:link w:val="921"/>
    <w:qFormat/>
    <w:pPr>
      <w:jc w:val="center"/>
      <w:keepNext/>
      <w:outlineLvl w:val="0"/>
    </w:pPr>
    <w:rPr>
      <w:b/>
      <w:szCs w:val="20"/>
    </w:r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>
    <w:name w:val="Header"/>
    <w:basedOn w:val="912"/>
    <w:link w:val="925"/>
    <w:uiPriority w:val="99"/>
    <w:pPr>
      <w:tabs>
        <w:tab w:val="center" w:pos="4153" w:leader="none"/>
        <w:tab w:val="right" w:pos="8306" w:leader="none"/>
      </w:tabs>
    </w:pPr>
  </w:style>
  <w:style w:type="table" w:styleId="918">
    <w:name w:val="Table Grid"/>
    <w:basedOn w:val="91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Основной текст с отступом 21"/>
    <w:basedOn w:val="912"/>
    <w:pPr>
      <w:ind w:firstLine="567"/>
      <w:jc w:val="both"/>
      <w:widowControl w:val="off"/>
    </w:pPr>
    <w:rPr>
      <w:szCs w:val="20"/>
    </w:rPr>
  </w:style>
  <w:style w:type="paragraph" w:styleId="920" w:customStyle="1">
    <w:name w:val="ConsPlusNormal"/>
    <w:rPr>
      <w:rFonts w:eastAsia="Calibri"/>
      <w:sz w:val="28"/>
      <w:szCs w:val="28"/>
      <w:lang w:eastAsia="en-US"/>
    </w:rPr>
  </w:style>
  <w:style w:type="character" w:styleId="921" w:customStyle="1">
    <w:name w:val="Заголовок 1 Знак"/>
    <w:link w:val="913"/>
    <w:rPr>
      <w:b/>
      <w:sz w:val="28"/>
    </w:rPr>
  </w:style>
  <w:style w:type="paragraph" w:styleId="922">
    <w:name w:val="Body Text"/>
    <w:basedOn w:val="912"/>
    <w:link w:val="923"/>
    <w:unhideWhenUsed/>
    <w:pPr>
      <w:spacing w:after="120"/>
    </w:pPr>
    <w:rPr>
      <w:szCs w:val="20"/>
    </w:rPr>
  </w:style>
  <w:style w:type="character" w:styleId="923" w:customStyle="1">
    <w:name w:val="Основной текст Знак"/>
    <w:link w:val="922"/>
    <w:rPr>
      <w:sz w:val="28"/>
    </w:rPr>
  </w:style>
  <w:style w:type="paragraph" w:styleId="924" w:customStyle="1">
    <w:name w:val="Основной текст с отступом 22"/>
    <w:basedOn w:val="912"/>
    <w:pPr>
      <w:ind w:firstLine="360"/>
      <w:jc w:val="both"/>
    </w:pPr>
    <w:rPr>
      <w:szCs w:val="20"/>
    </w:rPr>
  </w:style>
  <w:style w:type="character" w:styleId="925" w:customStyle="1">
    <w:name w:val="Верхний колонтитул Знак1"/>
    <w:link w:val="917"/>
    <w:rPr>
      <w:sz w:val="28"/>
      <w:szCs w:val="28"/>
    </w:rPr>
  </w:style>
  <w:style w:type="paragraph" w:styleId="926">
    <w:name w:val="Footer"/>
    <w:basedOn w:val="912"/>
    <w:link w:val="927"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link w:val="926"/>
    <w:rPr>
      <w:sz w:val="28"/>
      <w:szCs w:val="28"/>
    </w:rPr>
  </w:style>
  <w:style w:type="character" w:styleId="928" w:customStyle="1">
    <w:name w:val="Верхний колонтитул Знак"/>
    <w:uiPriority w:val="99"/>
    <w:rPr>
      <w:lang w:val="ru-RU"/>
    </w:rPr>
  </w:style>
  <w:style w:type="paragraph" w:styleId="929">
    <w:name w:val="Normal (Web)"/>
    <w:basedOn w:val="91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30">
    <w:name w:val="Hyperlink"/>
    <w:basedOn w:val="914"/>
    <w:rPr>
      <w:color w:val="0000ff"/>
      <w:u w:val="single"/>
    </w:rPr>
  </w:style>
  <w:style w:type="paragraph" w:styleId="931">
    <w:name w:val="List Paragraph"/>
    <w:basedOn w:val="912"/>
    <w:uiPriority w:val="34"/>
    <w:qFormat/>
    <w:pPr>
      <w:contextualSpacing/>
      <w:ind w:left="720"/>
    </w:pPr>
  </w:style>
  <w:style w:type="paragraph" w:styleId="932" w:customStyle="1">
    <w:name w:val="ConsNormal"/>
    <w:pPr>
      <w:ind w:firstLine="720"/>
    </w:pPr>
    <w:rPr>
      <w:rFonts w:ascii="Arial" w:hAnsi="Arial" w:cs="Arial"/>
    </w:rPr>
  </w:style>
  <w:style w:type="paragraph" w:styleId="933">
    <w:name w:val="footnote text"/>
    <w:basedOn w:val="912"/>
    <w:link w:val="934"/>
    <w:uiPriority w:val="99"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34" w:customStyle="1">
    <w:name w:val="Текст сноски Знак"/>
    <w:basedOn w:val="914"/>
    <w:link w:val="933"/>
    <w:uiPriority w:val="99"/>
    <w:rPr>
      <w:rFonts w:asciiTheme="minorHAnsi" w:hAnsiTheme="minorHAnsi" w:eastAsiaTheme="minorHAnsi" w:cstheme="minorBidi"/>
      <w:lang w:eastAsia="en-US"/>
    </w:rPr>
  </w:style>
  <w:style w:type="character" w:styleId="935">
    <w:name w:val="footnote reference"/>
    <w:basedOn w:val="914"/>
    <w:uiPriority w:val="99"/>
    <w:unhideWhenUsed/>
    <w:rPr>
      <w:vertAlign w:val="superscript"/>
    </w:rPr>
  </w:style>
  <w:style w:type="paragraph" w:styleId="936">
    <w:name w:val="Balloon Text"/>
    <w:basedOn w:val="912"/>
    <w:link w:val="937"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14"/>
    <w:link w:val="936"/>
    <w:rPr>
      <w:rFonts w:ascii="Tahoma" w:hAnsi="Tahoma" w:cs="Tahoma"/>
      <w:sz w:val="16"/>
      <w:szCs w:val="16"/>
    </w:rPr>
  </w:style>
  <w:style w:type="paragraph" w:styleId="938">
    <w:name w:val="List Bullet"/>
    <w:basedOn w:val="912"/>
    <w:pPr>
      <w:numPr>
        <w:ilvl w:val="0"/>
        <w:numId w:val="1"/>
      </w:numPr>
      <w:contextualSpacing/>
    </w:pPr>
  </w:style>
  <w:style w:type="paragraph" w:styleId="93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0" w:customStyle="1">
    <w:name w:val="Body Text Indent 3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2" w:customStyle="1">
    <w:name w:val="Комментарий"/>
    <w:basedOn w:val="762"/>
    <w:pPr>
      <w:contextualSpacing w:val="0"/>
      <w:ind w:left="170" w:right="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 w:val="0"/>
      <w:iCs w:val="0"/>
      <w:caps w:val="0"/>
      <w:smallCaps w:val="0"/>
      <w:strike w:val="0"/>
      <w:vanish w:val="0"/>
      <w:color w:val="353842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3" w:customStyle="1">
    <w:name w:val="Информация о версии"/>
    <w:basedOn w:val="942"/>
    <w:pPr>
      <w:contextualSpacing w:val="0"/>
      <w:ind w:left="170" w:right="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/>
      <w:iCs w:val="0"/>
      <w:caps w:val="0"/>
      <w:smallCaps w:val="0"/>
      <w:strike w:val="0"/>
      <w:vanish w:val="0"/>
      <w:color w:val="353842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4" w:customStyle="1">
    <w:name w:val="Верхний колонтитул"/>
    <w:basedOn w:val="858"/>
    <w:next w:val="862"/>
    <w:link w:val="86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internet.garant.ru/document/redirect/27998025/4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885F-AE22-441B-80C6-D9C7ABF8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30</cp:revision>
  <dcterms:created xsi:type="dcterms:W3CDTF">2023-01-31T11:46:00Z</dcterms:created>
  <dcterms:modified xsi:type="dcterms:W3CDTF">2025-06-18T06:19:16Z</dcterms:modified>
</cp:coreProperties>
</file>