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257" cy="79801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8976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647257" cy="79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97pt;height:62.84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0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03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03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413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92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03"/>
        <w:widowControl w:val="off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29.05.2025                                         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г. Новый Уренгой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pStyle w:val="903"/>
        <w:widowControl w:val="off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892"/>
        <w:ind w:right="-51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внесении изменения в решение </w:t>
        <w:br/>
        <w:t xml:space="preserve">Думы города Новый Уренгой от 24.10.2024 № 343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ind w:right="-51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899"/>
        <w:jc w:val="left"/>
        <w:spacing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899"/>
        <w:jc w:val="left"/>
        <w:spacing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соответствии с Ф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едеральным </w:t>
      </w:r>
      <w:hyperlink r:id="rId13" w:tooltip="consultantplus://offline/ref=847B0B992254D0F54E7B1A63FD524518368DF02239E2DEC4E7B2B8B90CpEp9M" w:history="1">
        <w:r>
          <w:rPr>
            <w:rFonts w:ascii="Liberation Sans" w:hAnsi="Liberation Sans" w:eastAsia="Liberation Sans" w:cs="Liberation Sans"/>
            <w:color w:val="000000" w:themeColor="text1"/>
            <w:spacing w:val="0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от 06.10.2003 № 131-ФЗ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Законом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Ямало-Ненецкого автономного округа от 25.12.2008 № 123-ЗАО 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 гарантиях осуществления полномочий депутата, выборного должностного лица местного самоуправления, члена выборного органа местного самоуправления, члена избирательной комиссии муниципального образования </w:t>
        <w:br/>
        <w:t xml:space="preserve">в Ямало-Ненецком автономном округе»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, руководствуясь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Уставом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tabs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b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Внести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Порядок предоставления гарантий осуществления полномочий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лиц, замещающих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(замещавших)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муниципальные должности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утвержденный решением Дум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ы города Новый Уренгой от 24.10.2024 №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343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изменение, изложив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подпункт 3.1 пункта 3 в новой редакции:</w:t>
      </w:r>
      <w:r>
        <w:rPr>
          <w:rFonts w:ascii="Liberation Sans" w:hAnsi="Liberation Sans" w:eastAsia="Liberation Sans" w:cs="Liberation Sans"/>
          <w:b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b/>
          <w:spacing w:val="0"/>
          <w:sz w:val="28"/>
          <w:szCs w:val="28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«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</w:t>
      </w:r>
      <w:bookmarkStart w:id="0" w:name="undefined"/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bookmarkStart w:id="0" w:name="undefined"/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bookmarkEnd w:id="0"/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1.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Пенсия за выслугу лет устанавливается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лицу, замещающему (замещавшему) муниципальную должность </w:t>
        <w:br/>
        <w:t xml:space="preserve">на постоянной (штатной) основе,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при одновременном соблюдении следующих условий: 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замещение муниципальной должности на постоянной (штатной) основе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в течение одного полного ср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ока полномочий, установленного Уставом городского округа город Новый Уренгой Ямало-Ненецкого автономного округа, или замещение муниципальной должности на постоянной (штатной) основе не менее двух лет </w:t>
        <w:br/>
        <w:t xml:space="preserve">в случае, если полномочия прекращены досрочно в связи </w:t>
        <w:br/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 преобразованием муниципального образования, осуществляемым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br/>
        <w:t xml:space="preserve">в соответствии с частями </w:t>
      </w:r>
      <w:hyperlink r:id="rId14" w:tooltip="consultantplus://offline/ref=46021053022117F7344A9FA98D7D829F651FB6354A338EABD8A50E292FC1DF57E8DC5BB08CC441390264D1D4756A8E86965AA47C54970E05g7tBL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3.3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5.1, 7, 7.1 статьи 13 Федерального закона от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06.10.2003 № 131-ФЗ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в связи </w:t>
        <w:br/>
        <w:t xml:space="preserve">с упразднением муниципального образования,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связи с утратой поселением статуса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муниципальн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ого образования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связи с его объединением с городским округом, в связи с увеличением численности избирателей муниципального образования более чем </w:t>
        <w:br/>
        <w:t xml:space="preserve">на 25 про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центов, произошедшим вследствие изменения границ муниципального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образования или объединения поселения </w:t>
        <w:br/>
        <w:t xml:space="preserve">с городским округом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 также по основанию, предусмотренному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пунктом 2 части 6 статьи 36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Федерального закона от 06.10.2003 № 131-ФЗ «Об общих принципах организации местного самоуправления в Российской Федерации», с последующим замещением муниципальной должности на постоянной (штатной) основе, должности государственной гражданской слу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жбы Ямало-Ненецкого автономного округа, государственной должности Ямало-Ненецкого автономного округа, государственной должности Российской Федерации в течение 6 месяцев со дня досрочного прекращения полномочий.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Замещение муниципальной должности на постоянной (штатной) основе не менее двух лет в случае, если полномочия прекращены досрочно в связи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 преобразованием муниципального образования, осуществляемым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соответствии с частями </w:t>
      </w:r>
      <w:hyperlink r:id="rId15" w:tooltip="consultantplus://offline/ref=46021053022117F7344A9FA98D7D829F651FB6354A338EABD8A50E292FC1DF57E8DC5BB08CC441390264D1D4756A8E86965AA47C54970E05g7tBL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3.3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5.1, 7, 7.1 статьи 13 Федерального закона от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06.10.2003 № 131-ФЗ «Об общих принципах организации местного самоуправления в Российской Федерации», </w:t>
        <w:br/>
        <w:t xml:space="preserve">в связи с упразднением муниципального образования,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связи </w:t>
        <w:br/>
        <w:t xml:space="preserve">с утратой поселением статуса муниципального образования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связи </w:t>
        <w:br/>
        <w:t xml:space="preserve">с его объединением с городским округом, в связи с увеличением численности избирателей муниципального образования более чем </w:t>
        <w:br/>
        <w:t xml:space="preserve">на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25 процентов, произошедшим вследствие изменения границ муниципального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образования или объединения поселения </w:t>
        <w:br/>
        <w:t xml:space="preserve">с городским округом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 также по основанию, предусмотренному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пунктом 2 части 6 статьи 36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Федерального закона от 06.10.2003 № 131-ФЗ «Об общих принципах организации местного самоуправления в Российской Федерации», с последующим замещением муниципальной должности на постоянной (штатной) основе, должности государственной гражданской слу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жбы Ямало-Ненецкого автономного округа, государственной должности Ямало-Ненецкого автономного округа, государственной должности Российской Федерации в течение 6 месяцев со дня досрочного прекращения полномочий,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считается как один срок полномочий.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стаж замещения муниципальной должности на постоянной (штатной) основе, предусмотренный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абзацем третьим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на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стоящего подпун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кта, включаются все периоды замещения муниципальных должностей на постоянной (штатной) основе, в том числе в иных муниципальных образованиях в Ямало-Ненецком автономном округе, а также должностей глав местных администраций, осуществлявших свои полномочия н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 основе контракта (суммируются), в случае, если полномочия прекращены досрочно в связи с преобразованием муниципального образования, осуществляемым в соответствии </w:t>
        <w:br/>
        <w:t xml:space="preserve">с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частью 3.3 статьи 13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</w:t>
        <w:br/>
        <w:t xml:space="preserve">в Российской Федерации», либо по основанию, предусмотренному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пунктом 2 части 6 статьи 36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Федерального закона от 06.10.2003 № 131-ФЗ «Об общих принципах организации местного самоуправления в Российской Федерации», с последующим замещением муниципальной должности на постоянной (штатной) основе, должности государственной гражданской слу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жбы Ямало-Ненецкого автономного округа, государственной должности Ямало-Ненецкого автономного округа, государственной должности Российской Федерации в течение 6 месяцев со дня досрочного прекращения полномочий;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назначение страховой пенсии по старости (инвалидности)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br/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соответствии с Федеральным </w:t>
      </w:r>
      <w:hyperlink r:id="rId16" w:tooltip="consultantplus://offline/ref=46021053022117F7344A9FA98D7D829F6519B5394E3B8EABD8A50E292FC1DF57FADC03BC8DC25C3C0A71878533g3tFL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законом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от 28.12.2013 № 400-ФЗ </w:t>
        <w:br/>
        <w:t xml:space="preserve">«О страховых пенсиях» (далее – Федеральный закон «О страховых пенсиях»)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t xml:space="preserve">».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Севера» 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и на официальном сайте Думы города Новый Уренгой </w:t>
        <w:br/>
        <w:t xml:space="preserve">в сети Интернет.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Решение вступает в силу со дня его официального опубликования.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732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732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И.о. Главы города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С.И. Дегтярёв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pStyle w:val="899"/>
        <w:jc w:val="left"/>
        <w:spacing w:line="240" w:lineRule="auto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right"/>
      <w:rPr>
        <w:sz w:val="6"/>
        <w:lang w:val="en-US"/>
      </w:rPr>
    </w:pPr>
    <w:r>
      <w:rPr>
        <w:sz w:val="6"/>
        <w:lang w:val="en-US"/>
      </w:rPr>
    </w:r>
    <w:r>
      <w:rPr>
        <w:sz w:val="6"/>
        <w:lang w:val="en-US"/>
      </w:rPr>
    </w:r>
    <w:r>
      <w:rPr>
        <w:sz w:val="6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4"/>
        <w:rFonts w:ascii="Liberation Sans" w:hAnsi="Liberation Sans" w:cs="Liberation Sans"/>
        <w:sz w:val="28"/>
        <w:szCs w:val="28"/>
      </w:rPr>
      <w:framePr w:w="170"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  <w:rFonts w:ascii="Liberation Sans" w:hAnsi="Liberation Sans" w:eastAsia="Liberation Sans" w:cs="Liberation Sans"/>
        <w:sz w:val="28"/>
        <w:szCs w:val="28"/>
      </w:rPr>
      <w:fldChar w:fldCharType="separate"/>
    </w:r>
    <w:r>
      <w:rPr>
        <w:rStyle w:val="904"/>
        <w:rFonts w:ascii="Liberation Sans" w:hAnsi="Liberation Sans" w:eastAsia="Liberation Sans" w:cs="Liberation Sans"/>
        <w:sz w:val="28"/>
        <w:szCs w:val="28"/>
      </w:rPr>
      <w:t xml:space="preserve">4</w:t>
    </w:r>
    <w:r>
      <w:rPr>
        <w:rStyle w:val="904"/>
        <w:rFonts w:ascii="Liberation Sans" w:hAnsi="Liberation Sans" w:eastAsia="Liberation Sans" w:cs="Liberation Sans"/>
        <w:sz w:val="28"/>
        <w:szCs w:val="28"/>
      </w:rPr>
      <w:fldChar w:fldCharType="end"/>
    </w:r>
    <w:r>
      <w:rPr>
        <w:rStyle w:val="904"/>
        <w:rFonts w:ascii="Liberation Sans" w:hAnsi="Liberation Sans" w:cs="Liberation Sans"/>
        <w:sz w:val="28"/>
        <w:szCs w:val="28"/>
      </w:rPr>
    </w:r>
    <w:r>
      <w:rPr>
        <w:rStyle w:val="904"/>
        <w:rFonts w:ascii="Liberation Sans" w:hAnsi="Liberation Sans" w:cs="Liberation Sans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separate"/>
    </w:r>
    <w:r>
      <w:rPr>
        <w:rStyle w:val="904"/>
      </w:rPr>
      <w:t xml:space="preserve">1</w: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8" w:hanging="408"/>
        <w:tabs>
          <w:tab w:val="num" w:pos="408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  <w:tabs>
          <w:tab w:val="num" w:pos="1429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  <w:tabs>
          <w:tab w:val="num" w:pos="320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  <w:tabs>
          <w:tab w:val="num" w:pos="498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  <w:tabs>
          <w:tab w:val="num" w:pos="605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  <w:tabs>
          <w:tab w:val="num" w:pos="676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  <w:tabs>
          <w:tab w:val="num" w:pos="7832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69" w:hanging="360"/>
        <w:tabs>
          <w:tab w:val="num" w:pos="1069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  <w:tabs>
          <w:tab w:val="num" w:pos="284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  <w:tabs>
          <w:tab w:val="num" w:pos="462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69" w:hanging="360"/>
        <w:tabs>
          <w:tab w:val="num" w:pos="1069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  <w:tabs>
          <w:tab w:val="num" w:pos="284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  <w:tabs>
          <w:tab w:val="num" w:pos="462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rPr>
      <w:lang w:val="ru-RU" w:eastAsia="ru-RU" w:bidi="ar-SA"/>
    </w:rPr>
  </w:style>
  <w:style w:type="paragraph" w:styleId="893">
    <w:name w:val="Заголовок 2"/>
    <w:basedOn w:val="892"/>
    <w:next w:val="892"/>
    <w:link w:val="892"/>
    <w:pPr>
      <w:jc w:val="center"/>
      <w:keepNext/>
      <w:spacing w:line="360" w:lineRule="auto"/>
      <w:outlineLvl w:val="1"/>
    </w:pPr>
    <w:rPr>
      <w:b/>
      <w:sz w:val="24"/>
    </w:rPr>
  </w:style>
  <w:style w:type="paragraph" w:styleId="894">
    <w:name w:val="Заголовок 3"/>
    <w:basedOn w:val="892"/>
    <w:next w:val="892"/>
    <w:link w:val="892"/>
    <w:pPr>
      <w:ind w:firstLine="720"/>
      <w:jc w:val="both"/>
      <w:keepNext/>
      <w:outlineLvl w:val="2"/>
    </w:pPr>
    <w:rPr>
      <w:sz w:val="28"/>
    </w:rPr>
  </w:style>
  <w:style w:type="paragraph" w:styleId="895">
    <w:name w:val="Заголовок 4"/>
    <w:basedOn w:val="892"/>
    <w:next w:val="892"/>
    <w:link w:val="892"/>
    <w:pPr>
      <w:ind w:firstLine="720"/>
      <w:jc w:val="center"/>
      <w:keepNext/>
      <w:spacing w:line="360" w:lineRule="auto"/>
      <w:outlineLvl w:val="3"/>
    </w:pPr>
    <w:rPr>
      <w:b/>
      <w:sz w:val="28"/>
    </w:rPr>
  </w:style>
  <w:style w:type="character" w:styleId="896">
    <w:name w:val="Основной шрифт абзаца"/>
    <w:next w:val="896"/>
    <w:link w:val="892"/>
    <w:semiHidden/>
  </w:style>
  <w:style w:type="table" w:styleId="897">
    <w:name w:val="Обычная таблица"/>
    <w:next w:val="897"/>
    <w:link w:val="892"/>
    <w:semiHidden/>
    <w:tblPr/>
  </w:style>
  <w:style w:type="numbering" w:styleId="898">
    <w:name w:val="Нет списка"/>
    <w:next w:val="898"/>
    <w:link w:val="892"/>
    <w:semiHidden/>
  </w:style>
  <w:style w:type="paragraph" w:styleId="899">
    <w:name w:val="Название"/>
    <w:basedOn w:val="892"/>
    <w:next w:val="899"/>
    <w:link w:val="892"/>
    <w:pPr>
      <w:jc w:val="center"/>
      <w:spacing w:line="360" w:lineRule="auto"/>
    </w:pPr>
    <w:rPr>
      <w:b/>
      <w:sz w:val="24"/>
    </w:rPr>
  </w:style>
  <w:style w:type="paragraph" w:styleId="900">
    <w:name w:val="Основной текст 3"/>
    <w:basedOn w:val="892"/>
    <w:next w:val="900"/>
    <w:link w:val="892"/>
    <w:pPr>
      <w:jc w:val="both"/>
    </w:pPr>
    <w:rPr>
      <w:sz w:val="28"/>
    </w:rPr>
  </w:style>
  <w:style w:type="paragraph" w:styleId="901">
    <w:name w:val="Основной текст с отступом"/>
    <w:basedOn w:val="892"/>
    <w:next w:val="901"/>
    <w:link w:val="892"/>
    <w:pPr>
      <w:ind w:firstLine="851"/>
      <w:jc w:val="both"/>
    </w:pPr>
    <w:rPr>
      <w:sz w:val="28"/>
    </w:rPr>
  </w:style>
  <w:style w:type="paragraph" w:styleId="902">
    <w:name w:val="Основной текст с отступом 2"/>
    <w:basedOn w:val="892"/>
    <w:next w:val="902"/>
    <w:link w:val="892"/>
    <w:pPr>
      <w:ind w:firstLine="720"/>
      <w:jc w:val="both"/>
    </w:pPr>
    <w:rPr>
      <w:sz w:val="28"/>
    </w:rPr>
  </w:style>
  <w:style w:type="paragraph" w:styleId="903">
    <w:name w:val="Верхний колонтитул"/>
    <w:basedOn w:val="892"/>
    <w:next w:val="903"/>
    <w:link w:val="892"/>
    <w:pPr>
      <w:tabs>
        <w:tab w:val="center" w:pos="4153" w:leader="none"/>
        <w:tab w:val="right" w:pos="8306" w:leader="none"/>
      </w:tabs>
    </w:pPr>
  </w:style>
  <w:style w:type="character" w:styleId="904">
    <w:name w:val="Номер страницы"/>
    <w:basedOn w:val="896"/>
    <w:next w:val="904"/>
    <w:link w:val="892"/>
  </w:style>
  <w:style w:type="paragraph" w:styleId="905">
    <w:name w:val="Текст сноски"/>
    <w:basedOn w:val="892"/>
    <w:next w:val="905"/>
    <w:link w:val="892"/>
    <w:semiHidden/>
  </w:style>
  <w:style w:type="character" w:styleId="906">
    <w:name w:val="Знак сноски"/>
    <w:basedOn w:val="896"/>
    <w:next w:val="906"/>
    <w:link w:val="892"/>
    <w:semiHidden/>
    <w:rPr>
      <w:vertAlign w:val="superscript"/>
    </w:rPr>
  </w:style>
  <w:style w:type="paragraph" w:styleId="907">
    <w:name w:val="Нижний колонтитул"/>
    <w:basedOn w:val="892"/>
    <w:next w:val="907"/>
    <w:link w:val="892"/>
    <w:pPr>
      <w:tabs>
        <w:tab w:val="center" w:pos="4153" w:leader="none"/>
        <w:tab w:val="right" w:pos="8306" w:leader="none"/>
      </w:tabs>
    </w:pPr>
  </w:style>
  <w:style w:type="paragraph" w:styleId="908">
    <w:name w:val="Основной текст"/>
    <w:basedOn w:val="892"/>
    <w:next w:val="908"/>
    <w:link w:val="892"/>
    <w:pPr>
      <w:jc w:val="both"/>
    </w:pPr>
    <w:rPr>
      <w:sz w:val="24"/>
    </w:rPr>
  </w:style>
  <w:style w:type="paragraph" w:styleId="909">
    <w:name w:val="Основной текст 2"/>
    <w:basedOn w:val="892"/>
    <w:next w:val="909"/>
    <w:link w:val="892"/>
    <w:pPr>
      <w:jc w:val="both"/>
      <w:tabs>
        <w:tab w:val="left" w:pos="709" w:leader="none"/>
      </w:tabs>
    </w:pPr>
    <w:rPr>
      <w:rFonts w:ascii="Arial" w:hAnsi="Arial"/>
    </w:rPr>
  </w:style>
  <w:style w:type="paragraph" w:styleId="910">
    <w:name w:val="Основной текст с отступом 3"/>
    <w:basedOn w:val="892"/>
    <w:next w:val="910"/>
    <w:link w:val="892"/>
    <w:pPr>
      <w:ind w:firstLine="720"/>
      <w:jc w:val="both"/>
    </w:pPr>
    <w:rPr>
      <w:sz w:val="24"/>
    </w:rPr>
  </w:style>
  <w:style w:type="paragraph" w:styleId="911">
    <w:name w:val="ConsNormal"/>
    <w:next w:val="911"/>
    <w:link w:val="892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character" w:styleId="912" w:default="1">
    <w:name w:val="Default Paragraph Font"/>
    <w:uiPriority w:val="1"/>
    <w:semiHidden/>
    <w:unhideWhenUsed/>
  </w:style>
  <w:style w:type="numbering" w:styleId="913" w:default="1">
    <w:name w:val="No List"/>
    <w:uiPriority w:val="99"/>
    <w:semiHidden/>
    <w:unhideWhenUsed/>
  </w:style>
  <w:style w:type="table" w:styleId="914" w:default="1">
    <w:name w:val="Normal Table"/>
    <w:uiPriority w:val="99"/>
    <w:semiHidden/>
    <w:unhideWhenUsed/>
    <w:tblPr/>
  </w:style>
  <w:style w:type="paragraph" w:styleId="915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847B0B992254D0F54E7B1A63FD524518368DF02239E2DEC4E7B2B8B90CpEp9M" TargetMode="External"/><Relationship Id="rId14" Type="http://schemas.openxmlformats.org/officeDocument/2006/relationships/hyperlink" Target="consultantplus://offline/ref=46021053022117F7344A9FA98D7D829F651FB6354A338EABD8A50E292FC1DF57E8DC5BB08CC441390264D1D4756A8E86965AA47C54970E05g7tBL" TargetMode="External"/><Relationship Id="rId15" Type="http://schemas.openxmlformats.org/officeDocument/2006/relationships/hyperlink" Target="consultantplus://offline/ref=46021053022117F7344A9FA98D7D829F651FB6354A338EABD8A50E292FC1DF57E8DC5BB08CC441390264D1D4756A8E86965AA47C54970E05g7tBL" TargetMode="External"/><Relationship Id="rId16" Type="http://schemas.openxmlformats.org/officeDocument/2006/relationships/hyperlink" Target="consultantplus://offline/ref=46021053022117F7344A9FA98D7D829F6519B5394E3B8EABD8A50E292FC1DF57FADC03BC8DC25C3C0A71878533g3tF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SGR</Company>
  <DocSecurity>0</DocSecurity>
  <HyperlinksChanged>false</HyperlinksChanged>
  <ScaleCrop>false</ScaleCrop>
  <SharedDoc>false</SharedDoc>
  <Template>Положение о флаге.dot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Kirill Perekhodenko</dc:creator>
  <cp:revision>34</cp:revision>
  <dcterms:created xsi:type="dcterms:W3CDTF">2008-10-29T05:11:00Z</dcterms:created>
  <dcterms:modified xsi:type="dcterms:W3CDTF">2025-05-28T12:31:27Z</dcterms:modified>
  <cp:version>726502</cp:version>
</cp:coreProperties>
</file>