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both"/>
        <w:rPr>
          <w:b/>
          <w:bCs/>
        </w:rPr>
      </w:pPr>
      <w:r>
        <w:rPr>
          <w:rFonts w:ascii="Arial" w:hAnsi="Arial" w:cs="Arial"/>
          <w:sz w:val="21"/>
          <w:szCs w:val="21"/>
        </w:rPr>
      </w: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2996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none"/>
        </w:rPr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24"/>
        <w:ind w:left="0" w:right="0" w:firstLine="0"/>
        <w:rPr>
          <w:sz w:val="36"/>
          <w:szCs w:val="1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szCs w:val="14"/>
        </w:rPr>
        <w:t xml:space="preserve">Льготы для ветеранов боевых действий и участников СВО в сфере недвижимости</w:t>
      </w:r>
      <w:r>
        <w:rPr>
          <w:sz w:val="36"/>
          <w:szCs w:val="14"/>
        </w:rPr>
      </w:r>
      <w:r>
        <w:rPr>
          <w:sz w:val="36"/>
          <w:szCs w:val="1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2025 года для ветеранов боевых действий, включая участников специальной военной операции (СВО), введены дополнительные меры поддержки при оформлении недвижимости и получении сведений из Единого государственного реестра недвижимости (ЕГРН). Эти изменения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закреплены в новых нормативных актах, включая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федеральные законы 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 Росреестра.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Управление Росреестра по Ямало-Ненецкому автономному округу подробнее расскажет о них.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5"/>
        <w:ind w:left="0" w:right="0" w:firstLine="0"/>
        <w:rPr>
          <w:rFonts w:ascii="Times New Roman" w:hAnsi="Times New Roman" w:eastAsia="Times New Roman" w:cs="Times New Roman"/>
          <w:sz w:val="24"/>
          <w:szCs w:val="1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14"/>
        </w:rPr>
        <w:t xml:space="preserve">1. Упрощённый порядок оформления недвижимости для пострадавших в ходе боевых действий</w:t>
      </w:r>
      <w:r>
        <w:rPr>
          <w:rFonts w:ascii="Times New Roman" w:hAnsi="Times New Roman" w:eastAsia="Times New Roman" w:cs="Times New Roman"/>
          <w:sz w:val="24"/>
          <w:szCs w:val="14"/>
        </w:rPr>
      </w:r>
      <w:r>
        <w:rPr>
          <w:rFonts w:ascii="Times New Roman" w:hAnsi="Times New Roman" w:eastAsia="Times New Roman" w:cs="Times New Roman"/>
          <w:sz w:val="24"/>
          <w:szCs w:val="1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Заместитель руководителя регионального Росреестра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Марина Савельева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сообщила: «С 1 марта 2025 года действует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Федеральный закон № 10-ФЗ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который упрощает процедуры Росреестра для лиц, пострадавших в ходе боевых действий. Для них: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5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не приостанавливается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регистрация прав, даже если в ЕГРН нет сведений о границах земельного участка;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75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разрешено вносить в реестр данные о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ранее учтённых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земельных участках и объектах недвижимости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без межевого и технического планов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.»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right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1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0"/>
        <w:rPr>
          <w:b/>
          <w:bCs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 Л</w:t>
      </w:r>
      <w:r>
        <w:rPr>
          <w:rFonts w:ascii="Tinos" w:hAnsi="Tinos" w:cs="Tinos"/>
          <w:b/>
          <w:bCs/>
          <w:sz w:val="24"/>
          <w:szCs w:val="24"/>
          <w:highlight w:val="none"/>
        </w:rPr>
        <w:t xml:space="preserve">ьгота в размере 50% при оплате выписки из ЕГРН</w:t>
      </w: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</w:p>
    <w:p>
      <w:pPr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0"/>
          <w:szCs w:val="1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Наталья Воложанинова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начальник Межмуниципального отдела по городам Губинский и Муравленко Управления,  рассказала: «Согласно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приказу Росреестра от 28.10.2024 № П/0335/24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с 1 января 2025 года предусмотрена льгота в </w:t>
      </w:r>
      <w:r>
        <w:rPr>
          <w:rFonts w:ascii="Tinos" w:hAnsi="Tinos" w:cs="Tinos"/>
          <w:b/>
          <w:bCs/>
          <w:sz w:val="24"/>
          <w:szCs w:val="24"/>
          <w:highlight w:val="none"/>
        </w:rPr>
        <w:t xml:space="preserve">размере 50%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 при оплате за предоставление сведений, содержащихся в ЕГРН.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Оформить запрос можно через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портал Госуслуг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или в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МФЦ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Т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акже участникам СВО и членам их семей полагается </w:t>
      </w:r>
      <w:r>
        <w:rPr>
          <w:rFonts w:ascii="Tinos" w:hAnsi="Tinos" w:cs="Tinos"/>
          <w:b/>
          <w:bCs/>
          <w:sz w:val="24"/>
          <w:szCs w:val="24"/>
          <w:highlight w:val="none"/>
        </w:rPr>
        <w:t xml:space="preserve">скидка </w:t>
      </w:r>
      <w:r>
        <w:rPr>
          <w:rFonts w:ascii="Tinos" w:hAnsi="Tinos" w:cs="Tinos"/>
          <w:b/>
          <w:bCs/>
          <w:sz w:val="24"/>
          <w:szCs w:val="24"/>
          <w:highlight w:val="none"/>
        </w:rPr>
        <w:t xml:space="preserve">при проведении кадастровых работ в рамках социальной догазификации СНТ.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 В ходе данной программы осуществляется строительство газораспределительной сети до границ садовых земельных участков, на которых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расположены жилые дома. Если для участия в программе понадобятся </w:t>
      </w:r>
      <w:r>
        <w:rPr>
          <w:rFonts w:ascii="Tinos" w:hAnsi="Tinos" w:cs="Tinos"/>
          <w:b/>
          <w:bCs/>
          <w:sz w:val="24"/>
          <w:szCs w:val="24"/>
          <w:highlight w:val="none"/>
        </w:rPr>
        <w:t xml:space="preserve">кадастровые работы, 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участники СВО могут их </w:t>
      </w:r>
      <w:r>
        <w:rPr>
          <w:rFonts w:ascii="Tinos" w:hAnsi="Tinos" w:cs="Tinos"/>
          <w:b/>
          <w:bCs/>
          <w:sz w:val="24"/>
          <w:szCs w:val="24"/>
          <w:highlight w:val="none"/>
        </w:rPr>
        <w:t xml:space="preserve">заказать на сайте ППК «Роскадастр»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. С его помощью все процедуры, связанные с регистрацией прав, можно выполнить «под ключ» - вызвать проверенного ка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  <w:t xml:space="preserve">дастрового инженера, подготовить необходимые документы и подать заявление о регистрации прав.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5"/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Кроме того, заявления на кадастровый учёт и регистрацию прав на недвижимость, поданные участниками СВО и их семьями, будут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рассматриваться в приоритетном порядке в сокращенные сроки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Style w:val="825"/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14"/>
        </w:rPr>
        <w:t xml:space="preserve">3. Освобождение от госпошлины при наследовании имущества погибших участников СВО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22 апреля 2024 года вступил в силу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Федеральный закон № 88-ФЗ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который освобождает наследников погибших участников СВО от уплаты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госпошлины за регистрацию права собственности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 недвижимость.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подтверждения льготы необходимо предоставить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удостоверение ветерана боевых действий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(оформляется по Постановлению Правительства РФ от 19.12.2003 № 763).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Style w:val="825"/>
        <w:ind w:left="0" w:right="0" w:firstLine="0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На основании изложенного 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ля получения преференций необходимо: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75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Подтвердить статус (удостоверение ветерана боевых действий, документы участника СВО).</w:t>
      </w:r>
      <w:r/>
    </w:p>
    <w:p>
      <w:pPr>
        <w:pStyle w:val="675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Подать заявление через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Госуслуги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МФЦ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или напрямую в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Росреестр,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используя сайт Росреестра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.</w:t>
      </w:r>
      <w:r/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highlight w:val="none"/>
        </w:rPr>
        <w:t xml:space="preserve">«Эти меры направлены на поддержку военнослужащих и их семей, сокращение бюрократических барьеров и ускорение оформления недвижимости»,-прокомментировала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highlight w:val="none"/>
        </w:rPr>
        <w:t xml:space="preserve">руководитель ямальского филиала фонда «Защитники Отечества»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highlight w:val="none"/>
        </w:rPr>
        <w:t xml:space="preserve">Наталья Казановская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Подробную информацию можно уточнить на</w:t>
      </w:r>
      <w:hyperlink r:id="rId10" w:tooltip="https://rosreestr.gov.ru/open-service/spetsialnye-proekty/vmeste-s-geroyami/" w:history="1">
        <w:r>
          <w:rPr>
            <w:rStyle w:val="848"/>
            <w:rFonts w:ascii="Times New Roman" w:hAnsi="Times New Roman" w:eastAsia="Times New Roman" w:cs="Times New Roman"/>
            <w:i/>
            <w:sz w:val="24"/>
          </w:rPr>
          <w:t xml:space="preserve"> официальном сайте Росреестра</w:t>
        </w:r>
      </w:hyperlink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, по телефону Управления Росреестра по ЯНАО (8-34922-4-42-81)  или в ближайшем отделении МФЦ.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left"/>
        <w:rPr>
          <w:rFonts w:ascii="Tinos" w:hAnsi="Tinos" w:cs="Tinos"/>
          <w:b w:val="0"/>
          <w:bCs w:val="0"/>
          <w:sz w:val="14"/>
          <w:szCs w:val="14"/>
          <w:highlight w:val="none"/>
        </w:rPr>
      </w:pPr>
      <w:r>
        <w:rPr>
          <w:rFonts w:ascii="Tinos" w:hAnsi="Tinos" w:cs="Tinos"/>
          <w:b w:val="0"/>
          <w:bCs w:val="0"/>
          <w:sz w:val="20"/>
          <w:szCs w:val="20"/>
          <w:highlight w:val="none"/>
        </w:rPr>
      </w:r>
      <w:r>
        <w:rPr>
          <w:rFonts w:ascii="Tinos" w:hAnsi="Tinos" w:cs="Tinos"/>
          <w:b w:val="0"/>
          <w:bCs w:val="0"/>
          <w:sz w:val="20"/>
          <w:szCs w:val="20"/>
        </w:rPr>
        <w:t xml:space="preserve">Информация подготовлена пресс-службой Управления Росреестра по Ямало-Ненецкому автономному округу 8-34922-4-42-81</w:t>
      </w:r>
      <w:r>
        <w:rPr>
          <w:rFonts w:ascii="Tinos" w:hAnsi="Tinos" w:cs="Tinos"/>
          <w:b w:val="0"/>
          <w:bCs w:val="0"/>
          <w:sz w:val="14"/>
          <w:szCs w:val="14"/>
          <w:highlight w:val="none"/>
        </w:rPr>
      </w:r>
      <w:r>
        <w:rPr>
          <w:rFonts w:ascii="Tinos" w:hAnsi="Tinos" w:cs="Tinos"/>
          <w:b w:val="0"/>
          <w:bCs w:val="0"/>
          <w:sz w:val="14"/>
          <w:szCs w:val="14"/>
          <w:highlight w:val="none"/>
        </w:rPr>
      </w:r>
    </w:p>
    <w:p>
      <w:pPr>
        <w:jc w:val="left"/>
        <w:rPr>
          <w:rFonts w:ascii="Tinos" w:hAnsi="Tinos" w:cs="Tinos"/>
          <w:b w:val="0"/>
          <w:bCs w:val="0"/>
          <w:sz w:val="14"/>
          <w:szCs w:val="14"/>
        </w:rPr>
      </w:pPr>
      <w:r>
        <w:rPr>
          <w:rFonts w:ascii="Tinos" w:hAnsi="Tinos" w:cs="Tinos"/>
          <w:b w:val="0"/>
          <w:bCs w:val="0"/>
          <w:sz w:val="14"/>
          <w:szCs w:val="14"/>
        </w:rPr>
      </w:r>
      <w:r>
        <w:rPr>
          <w:rFonts w:ascii="Tinos" w:hAnsi="Tinos" w:cs="Tinos"/>
          <w:b w:val="0"/>
          <w:bCs w:val="0"/>
          <w:sz w:val="14"/>
          <w:szCs w:val="14"/>
        </w:rPr>
      </w:r>
      <w:r>
        <w:rPr>
          <w:rFonts w:ascii="Tinos" w:hAnsi="Tinos" w:cs="Tinos"/>
          <w:b w:val="0"/>
          <w:bCs w:val="0"/>
          <w:sz w:val="14"/>
          <w:szCs w:val="14"/>
        </w:rPr>
      </w:r>
    </w:p>
    <w:p>
      <w:pPr>
        <w:jc w:val="left"/>
        <w:rPr>
          <w:rFonts w:ascii="Tinos" w:hAnsi="Tinos" w:cs="Tinos"/>
          <w:b w:val="0"/>
          <w:bCs w:val="0"/>
          <w:sz w:val="14"/>
          <w:szCs w:val="14"/>
        </w:rPr>
      </w:pPr>
      <w:r>
        <w:rPr>
          <w:rFonts w:ascii="Tinos" w:hAnsi="Tinos" w:cs="Tinos"/>
          <w:b w:val="0"/>
          <w:bCs w:val="0"/>
          <w:sz w:val="14"/>
          <w:szCs w:val="14"/>
        </w:rPr>
      </w:r>
      <w:r>
        <w:rPr>
          <w:rFonts w:ascii="Tinos" w:hAnsi="Tinos" w:cs="Tinos"/>
          <w:b w:val="0"/>
          <w:bCs w:val="0"/>
          <w:sz w:val="14"/>
          <w:szCs w:val="14"/>
        </w:rPr>
      </w:r>
      <w:r>
        <w:rPr>
          <w:rFonts w:ascii="Tinos" w:hAnsi="Tinos" w:cs="Tinos"/>
          <w:b w:val="0"/>
          <w:bCs w:val="0"/>
          <w:sz w:val="14"/>
          <w:szCs w:val="14"/>
        </w:rPr>
      </w:r>
    </w:p>
    <w:p>
      <w:pPr>
        <w:jc w:val="left"/>
        <w:rPr>
          <w:rFonts w:ascii="Tinos" w:hAnsi="Tinos" w:cs="Tinos"/>
          <w:b w:val="0"/>
          <w:bCs w:val="0"/>
          <w:sz w:val="22"/>
          <w:szCs w:val="22"/>
        </w:rPr>
      </w:pPr>
      <w:r>
        <w:rPr>
          <w:rFonts w:ascii="Tinos" w:hAnsi="Tinos" w:cs="Tinos"/>
          <w:b w:val="0"/>
          <w:bCs w:val="0"/>
          <w:sz w:val="22"/>
          <w:szCs w:val="22"/>
        </w:rPr>
      </w:r>
      <w:r>
        <w:rPr>
          <w:rFonts w:ascii="Tinos" w:hAnsi="Tinos" w:cs="Tinos"/>
          <w:b w:val="0"/>
          <w:bCs w:val="0"/>
          <w:sz w:val="22"/>
          <w:szCs w:val="22"/>
        </w:rPr>
      </w:r>
      <w:r>
        <w:rPr>
          <w:rFonts w:ascii="Tinos" w:hAnsi="Tinos" w:cs="Tinos"/>
          <w:b w:val="0"/>
          <w:bCs w:val="0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29"/>
    <w:link w:val="824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29"/>
    <w:link w:val="825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29"/>
    <w:link w:val="826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29"/>
    <w:link w:val="827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29"/>
    <w:link w:val="828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23"/>
    <w:next w:val="82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29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23"/>
    <w:next w:val="82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29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23"/>
    <w:next w:val="82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29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23"/>
    <w:next w:val="82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29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2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character" w:styleId="677">
    <w:name w:val="Title Char"/>
    <w:basedOn w:val="829"/>
    <w:link w:val="865"/>
    <w:uiPriority w:val="10"/>
    <w:rPr>
      <w:sz w:val="48"/>
      <w:szCs w:val="48"/>
    </w:rPr>
  </w:style>
  <w:style w:type="character" w:styleId="678">
    <w:name w:val="Subtitle Char"/>
    <w:basedOn w:val="829"/>
    <w:link w:val="861"/>
    <w:uiPriority w:val="11"/>
    <w:rPr>
      <w:sz w:val="24"/>
      <w:szCs w:val="24"/>
    </w:rPr>
  </w:style>
  <w:style w:type="paragraph" w:styleId="679">
    <w:name w:val="Quote"/>
    <w:basedOn w:val="823"/>
    <w:next w:val="82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3"/>
    <w:next w:val="82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2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29"/>
    <w:link w:val="683"/>
    <w:uiPriority w:val="99"/>
  </w:style>
  <w:style w:type="paragraph" w:styleId="685">
    <w:name w:val="Footer"/>
    <w:basedOn w:val="82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29"/>
    <w:link w:val="685"/>
    <w:uiPriority w:val="99"/>
  </w:style>
  <w:style w:type="paragraph" w:styleId="687">
    <w:name w:val="Caption"/>
    <w:basedOn w:val="823"/>
    <w:next w:val="82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29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23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29"/>
    <w:uiPriority w:val="99"/>
    <w:unhideWhenUsed/>
    <w:rPr>
      <w:vertAlign w:val="superscript"/>
    </w:rPr>
  </w:style>
  <w:style w:type="paragraph" w:styleId="818">
    <w:name w:val="endnote text"/>
    <w:basedOn w:val="823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29"/>
    <w:uiPriority w:val="99"/>
    <w:semiHidden/>
    <w:unhideWhenUsed/>
    <w:rPr>
      <w:vertAlign w:val="superscript"/>
    </w:rPr>
  </w:style>
  <w:style w:type="paragraph" w:styleId="821">
    <w:name w:val="TOC Heading"/>
    <w:uiPriority w:val="39"/>
    <w:unhideWhenUsed/>
  </w:style>
  <w:style w:type="paragraph" w:styleId="82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  <w:link w:val="832"/>
    <w:qFormat/>
  </w:style>
  <w:style w:type="paragraph" w:styleId="824">
    <w:name w:val="Heading 1"/>
    <w:next w:val="823"/>
    <w:link w:val="846"/>
    <w:uiPriority w:val="9"/>
    <w:qFormat/>
    <w:pPr>
      <w:spacing w:before="120" w:after="120"/>
      <w:outlineLvl w:val="0"/>
    </w:pPr>
    <w:rPr>
      <w:b/>
      <w:sz w:val="32"/>
    </w:rPr>
  </w:style>
  <w:style w:type="paragraph" w:styleId="825">
    <w:name w:val="Heading 2"/>
    <w:next w:val="823"/>
    <w:link w:val="868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826">
    <w:name w:val="Heading 3"/>
    <w:next w:val="823"/>
    <w:link w:val="841"/>
    <w:uiPriority w:val="9"/>
    <w:qFormat/>
    <w:pPr>
      <w:outlineLvl w:val="2"/>
    </w:pPr>
    <w:rPr>
      <w:b/>
      <w:i/>
    </w:rPr>
  </w:style>
  <w:style w:type="paragraph" w:styleId="827">
    <w:name w:val="Heading 4"/>
    <w:next w:val="823"/>
    <w:link w:val="867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828">
    <w:name w:val="Heading 5"/>
    <w:next w:val="823"/>
    <w:link w:val="845"/>
    <w:uiPriority w:val="9"/>
    <w:qFormat/>
    <w:pPr>
      <w:spacing w:before="120" w:after="120"/>
      <w:outlineLvl w:val="4"/>
    </w:pPr>
    <w:rPr>
      <w:b/>
      <w:sz w:val="22"/>
    </w:rPr>
  </w:style>
  <w:style w:type="character" w:styleId="829" w:default="1">
    <w:name w:val="Default Paragraph Font"/>
    <w:uiPriority w:val="1"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Обычный1"/>
    <w:rPr>
      <w:sz w:val="24"/>
    </w:rPr>
  </w:style>
  <w:style w:type="paragraph" w:styleId="833">
    <w:name w:val="toc 2"/>
    <w:next w:val="823"/>
    <w:link w:val="834"/>
    <w:uiPriority w:val="39"/>
    <w:pPr>
      <w:ind w:left="200"/>
    </w:pPr>
  </w:style>
  <w:style w:type="character" w:styleId="834" w:customStyle="1">
    <w:name w:val="Оглавление 2 Знак"/>
    <w:link w:val="833"/>
  </w:style>
  <w:style w:type="paragraph" w:styleId="835">
    <w:name w:val="toc 4"/>
    <w:next w:val="823"/>
    <w:link w:val="836"/>
    <w:uiPriority w:val="39"/>
    <w:pPr>
      <w:ind w:left="600"/>
    </w:pPr>
  </w:style>
  <w:style w:type="character" w:styleId="836" w:customStyle="1">
    <w:name w:val="Оглавление 4 Знак"/>
    <w:link w:val="835"/>
  </w:style>
  <w:style w:type="paragraph" w:styleId="837">
    <w:name w:val="toc 6"/>
    <w:next w:val="823"/>
    <w:link w:val="838"/>
    <w:uiPriority w:val="39"/>
    <w:pPr>
      <w:ind w:left="1000"/>
    </w:pPr>
  </w:style>
  <w:style w:type="character" w:styleId="838" w:customStyle="1">
    <w:name w:val="Оглавление 6 Знак"/>
    <w:link w:val="837"/>
  </w:style>
  <w:style w:type="paragraph" w:styleId="839">
    <w:name w:val="toc 7"/>
    <w:next w:val="823"/>
    <w:link w:val="840"/>
    <w:uiPriority w:val="39"/>
    <w:pPr>
      <w:ind w:left="1200"/>
    </w:pPr>
  </w:style>
  <w:style w:type="character" w:styleId="840" w:customStyle="1">
    <w:name w:val="Оглавление 7 Знак"/>
    <w:link w:val="839"/>
  </w:style>
  <w:style w:type="character" w:styleId="841" w:customStyle="1">
    <w:name w:val="Заголовок 3 Знак"/>
    <w:link w:val="826"/>
    <w:rPr>
      <w:rFonts w:ascii="XO Thames" w:hAnsi="XO Thames"/>
      <w:b/>
      <w:i/>
      <w:color w:val="000000"/>
    </w:rPr>
  </w:style>
  <w:style w:type="paragraph" w:styleId="842" w:customStyle="1">
    <w:name w:val="Основной шрифт абзаца1"/>
  </w:style>
  <w:style w:type="paragraph" w:styleId="843">
    <w:name w:val="toc 3"/>
    <w:next w:val="823"/>
    <w:link w:val="844"/>
    <w:uiPriority w:val="39"/>
    <w:pPr>
      <w:ind w:left="400"/>
    </w:pPr>
  </w:style>
  <w:style w:type="character" w:styleId="844" w:customStyle="1">
    <w:name w:val="Оглавление 3 Знак"/>
    <w:link w:val="843"/>
  </w:style>
  <w:style w:type="character" w:styleId="845" w:customStyle="1">
    <w:name w:val="Заголовок 5 Знак"/>
    <w:link w:val="828"/>
    <w:rPr>
      <w:rFonts w:ascii="XO Thames" w:hAnsi="XO Thames"/>
      <w:b/>
      <w:color w:val="000000"/>
      <w:sz w:val="22"/>
    </w:rPr>
  </w:style>
  <w:style w:type="character" w:styleId="846" w:customStyle="1">
    <w:name w:val="Заголовок 1 Знак"/>
    <w:link w:val="824"/>
    <w:rPr>
      <w:rFonts w:ascii="XO Thames" w:hAnsi="XO Thames"/>
      <w:b/>
      <w:sz w:val="32"/>
    </w:rPr>
  </w:style>
  <w:style w:type="paragraph" w:styleId="847" w:customStyle="1">
    <w:name w:val="Гиперссылка1"/>
    <w:link w:val="848"/>
    <w:rPr>
      <w:color w:val="0000ff"/>
      <w:u w:val="single"/>
    </w:rPr>
  </w:style>
  <w:style w:type="character" w:styleId="848">
    <w:name w:val="Hyperlink"/>
    <w:link w:val="847"/>
    <w:rPr>
      <w:color w:val="0000ff"/>
      <w:u w:val="single"/>
    </w:rPr>
  </w:style>
  <w:style w:type="paragraph" w:styleId="849" w:customStyle="1">
    <w:name w:val="Footnote"/>
    <w:link w:val="850"/>
    <w:rPr>
      <w:sz w:val="22"/>
    </w:rPr>
  </w:style>
  <w:style w:type="character" w:styleId="850" w:customStyle="1">
    <w:name w:val="Footnote"/>
    <w:link w:val="849"/>
    <w:rPr>
      <w:rFonts w:ascii="XO Thames" w:hAnsi="XO Thames"/>
      <w:sz w:val="22"/>
    </w:rPr>
  </w:style>
  <w:style w:type="paragraph" w:styleId="851">
    <w:name w:val="toc 1"/>
    <w:next w:val="823"/>
    <w:link w:val="852"/>
    <w:uiPriority w:val="39"/>
    <w:rPr>
      <w:b/>
    </w:rPr>
  </w:style>
  <w:style w:type="character" w:styleId="852" w:customStyle="1">
    <w:name w:val="Оглавление 1 Знак"/>
    <w:link w:val="851"/>
    <w:rPr>
      <w:rFonts w:ascii="XO Thames" w:hAnsi="XO Thames"/>
      <w:b/>
    </w:rPr>
  </w:style>
  <w:style w:type="paragraph" w:styleId="853" w:customStyle="1">
    <w:name w:val="Header and Footer"/>
    <w:link w:val="854"/>
    <w:pPr>
      <w:spacing w:line="360" w:lineRule="auto"/>
    </w:pPr>
    <w:rPr>
      <w:sz w:val="20"/>
    </w:rPr>
  </w:style>
  <w:style w:type="character" w:styleId="854" w:customStyle="1">
    <w:name w:val="Header and Footer"/>
    <w:link w:val="853"/>
    <w:rPr>
      <w:rFonts w:ascii="XO Thames" w:hAnsi="XO Thames"/>
      <w:sz w:val="20"/>
    </w:rPr>
  </w:style>
  <w:style w:type="paragraph" w:styleId="855">
    <w:name w:val="toc 9"/>
    <w:next w:val="823"/>
    <w:link w:val="856"/>
    <w:uiPriority w:val="39"/>
    <w:pPr>
      <w:ind w:left="1600"/>
    </w:pPr>
  </w:style>
  <w:style w:type="character" w:styleId="856" w:customStyle="1">
    <w:name w:val="Оглавление 9 Знак"/>
    <w:link w:val="855"/>
  </w:style>
  <w:style w:type="paragraph" w:styleId="857">
    <w:name w:val="toc 8"/>
    <w:next w:val="823"/>
    <w:link w:val="858"/>
    <w:uiPriority w:val="39"/>
    <w:pPr>
      <w:ind w:left="1400"/>
    </w:pPr>
  </w:style>
  <w:style w:type="character" w:styleId="858" w:customStyle="1">
    <w:name w:val="Оглавление 8 Знак"/>
    <w:link w:val="857"/>
  </w:style>
  <w:style w:type="paragraph" w:styleId="859">
    <w:name w:val="toc 5"/>
    <w:next w:val="823"/>
    <w:link w:val="860"/>
    <w:uiPriority w:val="39"/>
    <w:pPr>
      <w:ind w:left="800"/>
    </w:pPr>
  </w:style>
  <w:style w:type="character" w:styleId="860" w:customStyle="1">
    <w:name w:val="Оглавление 5 Знак"/>
    <w:link w:val="859"/>
  </w:style>
  <w:style w:type="paragraph" w:styleId="861">
    <w:name w:val="Subtitle"/>
    <w:next w:val="823"/>
    <w:link w:val="862"/>
    <w:uiPriority w:val="11"/>
    <w:qFormat/>
    <w:rPr>
      <w:i/>
      <w:color w:val="616161"/>
    </w:rPr>
  </w:style>
  <w:style w:type="character" w:styleId="862" w:customStyle="1">
    <w:name w:val="Подзаголовок Знак"/>
    <w:link w:val="861"/>
    <w:rPr>
      <w:rFonts w:ascii="XO Thames" w:hAnsi="XO Thames"/>
      <w:i/>
      <w:color w:val="616161"/>
      <w:sz w:val="24"/>
    </w:rPr>
  </w:style>
  <w:style w:type="paragraph" w:styleId="863" w:customStyle="1">
    <w:name w:val="toc 10"/>
    <w:next w:val="823"/>
    <w:link w:val="864"/>
    <w:uiPriority w:val="39"/>
    <w:pPr>
      <w:ind w:left="1800"/>
    </w:pPr>
  </w:style>
  <w:style w:type="character" w:styleId="864" w:customStyle="1">
    <w:name w:val="toc 10"/>
    <w:link w:val="863"/>
  </w:style>
  <w:style w:type="paragraph" w:styleId="865">
    <w:name w:val="Title"/>
    <w:next w:val="823"/>
    <w:link w:val="866"/>
    <w:uiPriority w:val="10"/>
    <w:qFormat/>
    <w:rPr>
      <w:b/>
      <w:sz w:val="52"/>
    </w:rPr>
  </w:style>
  <w:style w:type="character" w:styleId="866" w:customStyle="1">
    <w:name w:val="Заголовок Знак"/>
    <w:link w:val="865"/>
    <w:rPr>
      <w:rFonts w:ascii="XO Thames" w:hAnsi="XO Thames"/>
      <w:b/>
      <w:sz w:val="52"/>
    </w:rPr>
  </w:style>
  <w:style w:type="character" w:styleId="867" w:customStyle="1">
    <w:name w:val="Заголовок 4 Знак"/>
    <w:link w:val="827"/>
    <w:rPr>
      <w:rFonts w:ascii="XO Thames" w:hAnsi="XO Thames"/>
      <w:b/>
      <w:color w:val="595959"/>
      <w:sz w:val="26"/>
    </w:rPr>
  </w:style>
  <w:style w:type="character" w:styleId="868" w:customStyle="1">
    <w:name w:val="Заголовок 2 Знак"/>
    <w:link w:val="825"/>
    <w:rPr>
      <w:rFonts w:ascii="XO Thames" w:hAnsi="XO Thames"/>
      <w:b/>
      <w:color w:val="00a0ff"/>
      <w:sz w:val="26"/>
    </w:rPr>
  </w:style>
  <w:style w:type="character" w:styleId="869">
    <w:name w:val="Strong"/>
    <w:basedOn w:val="829"/>
    <w:uiPriority w:val="22"/>
    <w:qFormat/>
    <w:rPr>
      <w:b/>
      <w:bCs/>
    </w:rPr>
  </w:style>
  <w:style w:type="paragraph" w:styleId="870">
    <w:name w:val="Balloon Text"/>
    <w:basedOn w:val="823"/>
    <w:link w:val="87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829"/>
    <w:link w:val="870"/>
    <w:uiPriority w:val="99"/>
    <w:semiHidden/>
    <w:rPr>
      <w:rFonts w:ascii="Segoe UI" w:hAnsi="Segoe UI" w:cs="Segoe UI"/>
      <w:sz w:val="18"/>
      <w:szCs w:val="18"/>
    </w:rPr>
  </w:style>
  <w:style w:type="paragraph" w:styleId="872">
    <w:name w:val="Normal (Web)"/>
    <w:basedOn w:val="823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open-service/spetsialnye-proekty/vmeste-s-geroyam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Зоя Михайловна</dc:creator>
  <cp:lastModifiedBy>zvskaredina</cp:lastModifiedBy>
  <cp:revision>18</cp:revision>
  <dcterms:created xsi:type="dcterms:W3CDTF">2025-05-14T04:15:00Z</dcterms:created>
  <dcterms:modified xsi:type="dcterms:W3CDTF">2025-06-18T05:44:19Z</dcterms:modified>
</cp:coreProperties>
</file>