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spacing w:before="0" w:after="0"/>
        <w:widowControl/>
        <w:rPr>
          <w:strike w:val="0"/>
          <w:highlight w:val="yellow"/>
          <w:u w:val="none"/>
        </w:rPr>
      </w:pPr>
      <w:r>
        <w:rPr>
          <w:strike w:val="0"/>
          <w:highlight w:val="none"/>
          <w:u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602799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trike w:val="0"/>
          <w:highlight w:val="none"/>
          <w:u w:val="none"/>
        </w:rPr>
      </w:r>
    </w:p>
    <w:p>
      <w:pPr>
        <w:ind w:left="0" w:right="0" w:firstLine="0"/>
        <w:jc w:val="center"/>
        <w:spacing w:before="0" w:after="0"/>
        <w:widowControl/>
        <w:rPr>
          <w:rFonts w:ascii="Tinos" w:hAnsi="Tinos" w:cs="Tinos"/>
          <w:b/>
          <w:bCs/>
          <w:strike w:val="0"/>
          <w:sz w:val="28"/>
          <w:szCs w:val="28"/>
          <w:highlight w:val="white"/>
          <w:u w:val="none"/>
        </w:rPr>
      </w:pPr>
      <w:r>
        <w:rPr>
          <w:rFonts w:ascii="Tinos" w:hAnsi="Tinos" w:eastAsia="Tinos" w:cs="Tinos"/>
          <w:b/>
          <w:bCs/>
          <w:strike w:val="0"/>
          <w:sz w:val="28"/>
          <w:szCs w:val="28"/>
          <w:highlight w:val="white"/>
          <w:u w:val="none"/>
        </w:rPr>
      </w:r>
      <w:r>
        <w:rPr>
          <w:rFonts w:ascii="Tinos" w:hAnsi="Tinos" w:eastAsia="Tinos" w:cs="Tinos"/>
          <w:b/>
          <w:bCs/>
          <w:strike w:val="0"/>
          <w:sz w:val="28"/>
          <w:szCs w:val="28"/>
          <w:highlight w:val="white"/>
          <w:u w:val="none"/>
        </w:rPr>
        <w:t xml:space="preserve">Реализация закона о "гаражной амнистии" в округе на 1 апреля 2025 года</w:t>
      </w:r>
      <w:r>
        <w:rPr>
          <w:rFonts w:ascii="Tinos" w:hAnsi="Tinos" w:eastAsia="Tinos" w:cs="Tinos"/>
          <w:b/>
          <w:bCs/>
          <w:strike w:val="0"/>
          <w:sz w:val="28"/>
          <w:szCs w:val="28"/>
          <w:highlight w:val="white"/>
          <w:u w:val="none"/>
        </w:rPr>
      </w:r>
      <w:r>
        <w:rPr>
          <w:rFonts w:ascii="Tinos" w:hAnsi="Tinos" w:cs="Tinos"/>
          <w:b/>
          <w:bCs/>
          <w:strike w:val="0"/>
          <w:sz w:val="28"/>
          <w:szCs w:val="28"/>
          <w:highlight w:val="white"/>
          <w:u w:val="none"/>
        </w:rPr>
      </w:r>
    </w:p>
    <w:p>
      <w:pPr>
        <w:ind w:left="0" w:right="0" w:firstLine="708"/>
        <w:jc w:val="both"/>
        <w:spacing w:before="0" w:after="0" w:line="240" w:lineRule="auto"/>
        <w:widowControl/>
        <w:rPr>
          <w:rFonts w:ascii="Tinos" w:hAnsi="Tinos" w:cs="Tinos"/>
          <w:strike w:val="0"/>
          <w:sz w:val="28"/>
          <w:szCs w:val="28"/>
          <w:highlight w:val="white"/>
          <w:u w:val="none"/>
        </w:rPr>
      </w:pPr>
      <w:r>
        <w:rPr>
          <w:rFonts w:ascii="Tinos" w:hAnsi="Tinos" w:eastAsia="Tinos" w:cs="Tinos"/>
          <w:strike w:val="0"/>
          <w:sz w:val="28"/>
          <w:szCs w:val="28"/>
          <w:highlight w:val="white"/>
          <w:u w:val="none"/>
        </w:rPr>
        <w:t xml:space="preserve">По сведениям начальника отдела </w:t>
      </w:r>
      <w:r>
        <w:rPr>
          <w:rFonts w:ascii="Tinos" w:hAnsi="Tinos" w:eastAsia="Tinos" w:cs="Tinos"/>
          <w:strike w:val="0"/>
          <w:sz w:val="28"/>
          <w:szCs w:val="28"/>
          <w:highlight w:val="white"/>
          <w:u w:val="none"/>
        </w:rPr>
        <w:t xml:space="preserve">ведения ЕГРН, повышения качества данных ЕГРН Управления Росреестра по Ямало-Ненецкому автономному округу</w:t>
      </w:r>
      <w:r>
        <w:rPr>
          <w:rFonts w:ascii="Tinos" w:hAnsi="Tinos" w:eastAsia="Tinos" w:cs="Tinos"/>
          <w:strike w:val="0"/>
          <w:sz w:val="28"/>
          <w:szCs w:val="28"/>
          <w:highlight w:val="white"/>
          <w:u w:val="none"/>
        </w:rPr>
        <w:t xml:space="preserve"> </w:t>
      </w:r>
      <w:r>
        <w:rPr>
          <w:rFonts w:ascii="Tinos" w:hAnsi="Tinos" w:eastAsia="Tinos" w:cs="Tinos"/>
          <w:b/>
          <w:bCs/>
          <w:strike w:val="0"/>
          <w:sz w:val="28"/>
          <w:szCs w:val="28"/>
          <w:highlight w:val="white"/>
          <w:u w:val="none"/>
        </w:rPr>
        <w:t xml:space="preserve">Анны Поздняковой</w:t>
      </w:r>
      <w:r>
        <w:rPr>
          <w:rFonts w:ascii="Tinos" w:hAnsi="Tinos" w:eastAsia="Tinos" w:cs="Tinos"/>
          <w:strike w:val="0"/>
          <w:sz w:val="28"/>
          <w:szCs w:val="28"/>
          <w:highlight w:val="white"/>
          <w:u w:val="none"/>
        </w:rPr>
        <w:t xml:space="preserve">: «П</w:t>
      </w:r>
      <w:r>
        <w:rPr>
          <w:rFonts w:ascii="Tinos" w:hAnsi="Tinos" w:eastAsia="Tinos" w:cs="Tinos"/>
          <w:strike w:val="0"/>
          <w:sz w:val="28"/>
          <w:szCs w:val="28"/>
          <w:highlight w:val="white"/>
          <w:u w:val="none"/>
        </w:rPr>
        <w:t xml:space="preserve">очти з</w:t>
      </w:r>
      <w:r>
        <w:rPr>
          <w:rFonts w:ascii="Tinos" w:hAnsi="Tinos" w:eastAsia="Tinos" w:cs="Tinos"/>
          <w:strike w:val="0"/>
          <w:sz w:val="28"/>
          <w:szCs w:val="28"/>
          <w:highlight w:val="white"/>
          <w:u w:val="none"/>
        </w:rPr>
        <w:t xml:space="preserve">а четыре года действия </w:t>
      </w:r>
      <w:r>
        <w:rPr>
          <w:rFonts w:ascii="Tinos" w:hAnsi="Tinos" w:eastAsia="Tinos" w:cs="Tinos"/>
          <w:strike w:val="0"/>
          <w:sz w:val="28"/>
          <w:szCs w:val="28"/>
          <w:highlight w:val="white"/>
          <w:u w:val="none"/>
        </w:rPr>
        <w:t xml:space="preserve">Закона о «гаражной амнистии»</w:t>
      </w:r>
      <w:r/>
      <w:r>
        <w:rPr>
          <w:rFonts w:ascii="Tinos" w:hAnsi="Tinos" w:eastAsia="Tinos" w:cs="Tinos"/>
          <w:strike w:val="0"/>
          <w:sz w:val="28"/>
          <w:szCs w:val="28"/>
          <w:highlight w:val="white"/>
          <w:u w:val="none"/>
        </w:rPr>
        <w:t xml:space="preserve"> жители Ямало-Ненецкого автономного округа получили </w:t>
        <w:br/>
        <w:t xml:space="preserve">1 746 земельных участков в собственность бесплатно, площадь которых составила 142 894 кв. м. На 1 апреля текущего года Управлением </w:t>
      </w:r>
      <w:r>
        <w:rPr>
          <w:rFonts w:ascii="Tinos" w:hAnsi="Tinos" w:eastAsia="Tinos" w:cs="Tinos"/>
          <w:strike w:val="0"/>
          <w:sz w:val="28"/>
          <w:szCs w:val="28"/>
          <w:highlight w:val="white"/>
          <w:u w:val="none"/>
        </w:rPr>
        <w:t xml:space="preserve">осуществлены государственный кадастровый учет и (или) государственная регистрация прав в отношении </w:t>
      </w:r>
      <w:r>
        <w:rPr>
          <w:rFonts w:ascii="Tinos" w:hAnsi="Tinos" w:eastAsia="Tinos" w:cs="Tinos"/>
          <w:strike w:val="0"/>
          <w:sz w:val="28"/>
          <w:szCs w:val="28"/>
          <w:highlight w:val="white"/>
          <w:u w:val="none"/>
        </w:rPr>
        <w:t xml:space="preserve">1256 гаражей».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trike w:val="0"/>
          <w:sz w:val="28"/>
          <w:szCs w:val="28"/>
          <w:highlight w:val="white"/>
          <w:u w:val="none"/>
        </w:rPr>
      </w:r>
    </w:p>
    <w:p>
      <w:pPr>
        <w:ind w:left="0" w:right="0" w:firstLine="708"/>
        <w:jc w:val="both"/>
        <w:spacing w:before="0" w:after="0" w:line="240" w:lineRule="auto"/>
        <w:widowControl/>
        <w:rPr>
          <w:rFonts w:ascii="Tinos" w:hAnsi="Tinos" w:cs="Tinos"/>
          <w:strike w:val="0"/>
          <w:sz w:val="28"/>
          <w:szCs w:val="28"/>
          <w:highlight w:val="white"/>
          <w:u w:val="none"/>
        </w:rPr>
      </w:pPr>
      <w:r>
        <w:rPr>
          <w:rFonts w:ascii="Tinos" w:hAnsi="Tinos" w:eastAsia="Tinos" w:cs="Tinos"/>
          <w:strike w:val="0"/>
          <w:sz w:val="28"/>
          <w:szCs w:val="28"/>
          <w:highlight w:val="white"/>
          <w:u w:val="none"/>
        </w:rPr>
        <w:t xml:space="preserve">Напомним: </w:t>
      </w:r>
      <w:r>
        <w:rPr>
          <w:rFonts w:ascii="Tinos" w:hAnsi="Tinos" w:eastAsia="Tinos" w:cs="Tinos"/>
          <w:strike w:val="0"/>
          <w:sz w:val="28"/>
          <w:szCs w:val="28"/>
          <w:highlight w:val="white"/>
          <w:u w:val="none"/>
        </w:rPr>
        <w:t xml:space="preserve">Закон о «гаражной амнистии» (№79-ФЗ «О внесении изменений в отдельные законодательные акты Российской Федерации»)</w:t>
      </w:r>
      <w:r>
        <w:rPr>
          <w:rFonts w:ascii="Tinos" w:hAnsi="Tinos" w:eastAsia="Tinos" w:cs="Tinos"/>
          <w:strike w:val="0"/>
          <w:sz w:val="28"/>
          <w:szCs w:val="28"/>
          <w:highlight w:val="white"/>
          <w:u w:val="none"/>
        </w:rPr>
        <w:t xml:space="preserve"> действует до 1 сентября 2026 года. </w:t>
      </w:r>
      <w:r>
        <w:rPr>
          <w:rFonts w:ascii="Tinos" w:hAnsi="Tinos" w:eastAsia="Tinos" w:cs="Tinos"/>
          <w:strike w:val="0"/>
          <w:sz w:val="28"/>
          <w:szCs w:val="28"/>
          <w:highlight w:val="white"/>
          <w:u w:val="none"/>
        </w:rPr>
      </w:r>
      <w:r>
        <w:rPr>
          <w:rFonts w:ascii="Tinos" w:hAnsi="Tinos" w:cs="Tinos"/>
          <w:strike w:val="0"/>
          <w:sz w:val="28"/>
          <w:szCs w:val="28"/>
          <w:highlight w:val="white"/>
          <w:u w:val="none"/>
        </w:rPr>
      </w:r>
    </w:p>
    <w:p>
      <w:pPr>
        <w:pStyle w:val="846"/>
        <w:ind w:firstLine="708"/>
        <w:jc w:val="both"/>
        <w:spacing w:line="240" w:lineRule="auto"/>
        <w:rPr>
          <w:rFonts w:ascii="Tinos" w:hAnsi="Tinos" w:cs="Tinos"/>
          <w:b w:val="0"/>
          <w:bCs w:val="0"/>
          <w:sz w:val="28"/>
          <w:szCs w:val="28"/>
          <w:highlight w:val="whit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В случае обращения исполнительного органа государственной власти или органа местного самоуправления за государственной регистрацией прав собственности на гараж государственная пошлина на основании подпункта 4 пу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нкта 1 статьи 333.35 НК РФ уплачиваться </w:t>
      </w:r>
      <w:r>
        <w:rPr>
          <w:rFonts w:ascii="Tinos" w:hAnsi="Tinos" w:eastAsia="Tinos" w:cs="Tinos"/>
          <w:b/>
          <w:bCs/>
          <w:sz w:val="28"/>
          <w:szCs w:val="28"/>
          <w:highlight w:val="white"/>
        </w:rPr>
        <w:t xml:space="preserve">не должна.</w:t>
      </w:r>
      <w:r>
        <w:rPr>
          <w:rFonts w:ascii="Tinos" w:hAnsi="Tinos" w:eastAsia="Tinos" w:cs="Tinos"/>
          <w:b/>
          <w:bCs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Если же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обращается сам собственник гаража, то необходимо будет уплатить госпошлину.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</w:r>
      <w:r>
        <w:rPr>
          <w:rFonts w:ascii="Tinos" w:hAnsi="Tinos" w:cs="Tinos"/>
          <w:b w:val="0"/>
          <w:bCs w:val="0"/>
          <w:sz w:val="28"/>
          <w:szCs w:val="28"/>
          <w:highlight w:val="white"/>
        </w:rPr>
      </w:r>
    </w:p>
    <w:p>
      <w:pPr>
        <w:pStyle w:val="846"/>
        <w:ind w:firstLine="708"/>
        <w:jc w:val="both"/>
        <w:spacing w:line="240" w:lineRule="auto"/>
        <w:rPr>
          <w:rFonts w:ascii="Tinos" w:hAnsi="Tinos" w:cs="Tinos"/>
          <w:b w:val="0"/>
          <w:bCs w:val="0"/>
          <w:sz w:val="28"/>
          <w:szCs w:val="28"/>
          <w:highlight w:val="whit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Практика на Ямале показывает, что в основном документы подают на учетно-регистрационные действия органы местного самоуправления в электронном виде,  регистрация по которым  проходит в сокращенные сроки.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</w:r>
      <w:r>
        <w:rPr>
          <w:rFonts w:ascii="Tinos" w:hAnsi="Tinos" w:cs="Tinos"/>
          <w:b w:val="0"/>
          <w:bCs w:val="0"/>
          <w:sz w:val="28"/>
          <w:szCs w:val="28"/>
          <w:highlight w:val="white"/>
        </w:rPr>
      </w:r>
    </w:p>
    <w:p>
      <w:pPr>
        <w:pStyle w:val="837"/>
        <w:spacing w:before="0" w:after="140"/>
        <w:rPr>
          <w:rFonts w:ascii="Tinos" w:hAnsi="Tinos" w:cs="Tinos"/>
          <w:b/>
          <w:bCs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br/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600509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19596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4" cy="6005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472.84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b/>
          <w:bCs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Noto Sans Devanagari">
    <w:panose1 w:val="020B0502040504020204"/>
  </w:font>
  <w:font w:name="OpenSymbol">
    <w:panose1 w:val="05010000000000000000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2"/>
    <w:next w:val="832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2"/>
    <w:next w:val="83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2"/>
    <w:next w:val="832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2"/>
    <w:next w:val="832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2"/>
    <w:next w:val="832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2"/>
    <w:next w:val="832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2"/>
    <w:next w:val="832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character" w:styleId="688">
    <w:name w:val="Caption Char"/>
    <w:link w:val="839"/>
    <w:uiPriority w:val="35"/>
    <w:rPr>
      <w:b/>
      <w:bCs/>
      <w:color w:val="4f81bd" w:themeColor="accent1"/>
      <w:sz w:val="18"/>
      <w:szCs w:val="18"/>
    </w:rPr>
  </w:style>
  <w:style w:type="table" w:styleId="689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9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3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jc w:val="left"/>
      <w:spacing w:before="0" w:after="20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33">
    <w:name w:val="Hyperlink"/>
    <w:rPr>
      <w:color w:val="000080"/>
      <w:u w:val="single"/>
    </w:rPr>
  </w:style>
  <w:style w:type="character" w:styleId="834">
    <w:name w:val="Strong"/>
    <w:qFormat/>
    <w:rPr>
      <w:b/>
      <w:bCs/>
    </w:rPr>
  </w:style>
  <w:style w:type="character" w:styleId="835">
    <w:name w:val="Маркеры"/>
    <w:qFormat/>
    <w:rPr>
      <w:rFonts w:ascii="OpenSymbol" w:hAnsi="OpenSymbol" w:eastAsia="OpenSymbol" w:cs="OpenSymbol"/>
    </w:rPr>
  </w:style>
  <w:style w:type="paragraph" w:styleId="836">
    <w:name w:val="Заголовок"/>
    <w:basedOn w:val="832"/>
    <w:next w:val="837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7">
    <w:name w:val="Body Text"/>
    <w:basedOn w:val="832"/>
    <w:pPr>
      <w:spacing w:before="0" w:after="140" w:line="276" w:lineRule="auto"/>
    </w:pPr>
  </w:style>
  <w:style w:type="paragraph" w:styleId="838">
    <w:name w:val="List"/>
    <w:basedOn w:val="837"/>
    <w:rPr>
      <w:rFonts w:ascii="PT Astra Serif" w:hAnsi="PT Astra Serif" w:cs="Noto Sans Devanagari"/>
    </w:rPr>
  </w:style>
  <w:style w:type="paragraph" w:styleId="839">
    <w:name w:val="Caption"/>
    <w:basedOn w:val="832"/>
    <w:link w:val="688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40">
    <w:name w:val="Указатель"/>
    <w:basedOn w:val="832"/>
    <w:qFormat/>
    <w:pPr>
      <w:suppressLineNumbers/>
    </w:pPr>
    <w:rPr>
      <w:rFonts w:ascii="PT Astra Serif" w:hAnsi="PT Astra Serif" w:cs="Noto Sans Devanagari"/>
    </w:rPr>
  </w:style>
  <w:style w:type="paragraph" w:styleId="841">
    <w:name w:val="No Spacing"/>
    <w:basedOn w:val="832"/>
    <w:uiPriority w:val="1"/>
    <w:qFormat/>
    <w:pPr>
      <w:spacing w:before="0" w:after="0" w:line="240" w:lineRule="auto"/>
    </w:pPr>
  </w:style>
  <w:style w:type="paragraph" w:styleId="842">
    <w:name w:val="List Paragraph"/>
    <w:basedOn w:val="832"/>
    <w:uiPriority w:val="34"/>
    <w:qFormat/>
    <w:pPr>
      <w:contextualSpacing/>
      <w:ind w:left="720"/>
      <w:spacing w:before="0" w:after="200"/>
    </w:pPr>
  </w:style>
  <w:style w:type="numbering" w:styleId="843" w:default="1">
    <w:name w:val="No List"/>
    <w:uiPriority w:val="99"/>
    <w:semiHidden/>
    <w:unhideWhenUsed/>
    <w:qFormat/>
  </w:style>
  <w:style w:type="table" w:styleId="84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45" w:default="1">
    <w:name w:val="Default Paragraph Font"/>
    <w:uiPriority w:val="1"/>
    <w:semiHidden/>
    <w:unhideWhenUsed/>
  </w:style>
  <w:style w:type="paragraph" w:styleId="846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zvskaredina</cp:lastModifiedBy>
  <cp:revision>13</cp:revision>
  <dcterms:modified xsi:type="dcterms:W3CDTF">2025-04-09T10:49:46Z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