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65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6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402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61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65"/>
        <w:widowControl w:val="off"/>
        <w:rPr>
          <w:rFonts w:ascii="Liberation Sans" w:hAnsi="Liberation Sans" w:eastAsia="Liberation Sans" w:cs="Liberation Sans"/>
          <w:bCs/>
          <w:i/>
          <w:highlight w:val="none"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27.03.2025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eastAsia="Liberation Sans" w:cs="Liberation Sans"/>
          <w:bCs/>
          <w:i/>
          <w:highlight w:val="none"/>
        </w:rPr>
      </w:r>
      <w:r>
        <w:rPr>
          <w:rFonts w:ascii="Liberation Sans" w:hAnsi="Liberation Sans" w:eastAsia="Liberation Sans" w:cs="Liberation Sans"/>
          <w:bCs/>
          <w:i/>
          <w:highlight w:val="none"/>
        </w:rPr>
      </w:r>
    </w:p>
    <w:p>
      <w:pPr>
        <w:pStyle w:val="965"/>
        <w:widowControl w:val="off"/>
        <w:rPr>
          <w:rFonts w:ascii="Liberation Sans" w:hAnsi="Liberation Sans" w:eastAsia="Liberation Sans" w:cs="Liberation Sans"/>
          <w:bCs/>
          <w:i/>
        </w:rPr>
      </w:pPr>
      <w:r>
        <w:rPr>
          <w:rFonts w:ascii="Liberation Sans" w:hAnsi="Liberation Sans" w:eastAsia="Liberation Sans" w:cs="Liberation Sans"/>
          <w:i/>
          <w:highlight w:val="none"/>
        </w:rPr>
      </w:r>
      <w:r>
        <w:rPr>
          <w:rFonts w:ascii="Liberation Sans" w:hAnsi="Liberation Sans" w:eastAsia="Liberation Sans" w:cs="Liberation Sans"/>
          <w:bCs/>
          <w:i/>
        </w:rPr>
      </w:r>
      <w:r>
        <w:rPr>
          <w:rFonts w:ascii="Liberation Sans" w:hAnsi="Liberation Sans" w:eastAsia="Liberation Sans" w:cs="Liberation Sans"/>
          <w:bCs/>
          <w:i/>
        </w:rPr>
      </w:r>
    </w:p>
    <w:p>
      <w:pPr>
        <w:pStyle w:val="965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Об отчете о деятельности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65"/>
        <w:jc w:val="center"/>
        <w:spacing w:after="0" w:afterAutospacing="0" w:line="240" w:lineRule="auto"/>
        <w:widowControl w:val="off"/>
        <w:rPr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Контрольно-счетной</w:t>
      </w:r>
      <w:r>
        <w:rPr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</w:rPr>
        <w:t xml:space="preserve">палаты Нового Уренгоя за 202</w:t>
      </w:r>
      <w:r>
        <w:rPr>
          <w:rFonts w:ascii="Liberation Sans" w:hAnsi="Liberation Sans" w:cs="Liberation Sans"/>
          <w:b/>
          <w:sz w:val="28"/>
          <w:szCs w:val="28"/>
        </w:rPr>
        <w:t xml:space="preserve">4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61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61"/>
        <w:contextualSpacing w:val="0"/>
        <w:ind w:firstLine="720"/>
        <w:jc w:val="both"/>
        <w:spacing w:before="0" w:after="0" w:afterAutospacing="0" w:line="240" w:lineRule="auto"/>
        <w:widowControl w:val="off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Заслушав отчёт председателя Контрольно-счетной палаты Нового Уренгоя о результатах деятельности Контрольно-счетной палаты Нового Уренгоя за 20</w:t>
      </w:r>
      <w:r>
        <w:rPr>
          <w:rFonts w:ascii="Liberation Sans" w:hAnsi="Liberation Sans" w:cs="Liberation Sans"/>
          <w:sz w:val="28"/>
          <w:szCs w:val="28"/>
        </w:rPr>
        <w:t xml:space="preserve">2</w:t>
      </w:r>
      <w:r>
        <w:rPr>
          <w:rFonts w:ascii="Liberation Sans" w:hAnsi="Liberation Sans" w:cs="Liberation Sans"/>
          <w:sz w:val="28"/>
          <w:szCs w:val="28"/>
        </w:rPr>
        <w:t xml:space="preserve">4 год, в соответствии со статьей            19 Федерального закона от 07.02.2011 № 6-ФЗ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cs="Liberation Sans"/>
          <w:sz w:val="28"/>
          <w:szCs w:val="28"/>
        </w:rPr>
        <w:t xml:space="preserve">», Положением о Контрольно-счетной пал</w:t>
      </w:r>
      <w:r>
        <w:rPr>
          <w:rFonts w:ascii="Liberation Sans" w:hAnsi="Liberation Sans" w:cs="Liberation Sans"/>
          <w:sz w:val="28"/>
          <w:szCs w:val="28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  <w:t xml:space="preserve">те Нового Уренгоя, утвержденным решением Городской Думы муниципального образования город Новый Уренгой от 29.09.2011 № 128, руководствуясь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Дума города Новый Уренгой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61"/>
        <w:numPr>
          <w:ilvl w:val="0"/>
          <w:numId w:val="35"/>
        </w:numPr>
        <w:ind w:left="0" w:firstLine="709"/>
        <w:jc w:val="both"/>
        <w:spacing w:after="0" w:afterAutospacing="0" w:line="240" w:lineRule="auto"/>
        <w:widowControl w:val="off"/>
        <w:tabs>
          <w:tab w:val="num" w:pos="360" w:leader="none"/>
          <w:tab w:val="left" w:pos="1080" w:leader="none"/>
          <w:tab w:val="clear" w:pos="144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Принять к сведению прилагаемый отчёт о деятельности Контрольно-счетной палаты Нового Уренгоя за 20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год.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1"/>
        <w:numPr>
          <w:ilvl w:val="0"/>
          <w:numId w:val="35"/>
        </w:numPr>
        <w:ind w:left="0" w:firstLine="709"/>
        <w:jc w:val="both"/>
        <w:spacing w:after="0" w:afterAutospacing="0" w:line="240" w:lineRule="auto"/>
        <w:widowControl w:val="off"/>
        <w:tabs>
          <w:tab w:val="num" w:pos="360" w:leader="none"/>
          <w:tab w:val="left" w:pos="1080" w:leader="none"/>
          <w:tab w:val="clear" w:pos="144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auto"/>
          <w:sz w:val="28"/>
          <w:szCs w:val="28"/>
          <w:lang w:eastAsia="ru-RU"/>
        </w:rPr>
        <w:t xml:space="preserve">Разместить настоящее решение в сетевом издании «Импульс Севера» и на официальном сайте Думы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1"/>
        <w:numPr>
          <w:ilvl w:val="0"/>
          <w:numId w:val="35"/>
        </w:numPr>
        <w:ind w:left="0" w:firstLine="709"/>
        <w:jc w:val="both"/>
        <w:spacing w:after="0" w:afterAutospacing="0" w:line="240" w:lineRule="auto"/>
        <w:widowControl w:val="off"/>
        <w:tabs>
          <w:tab w:val="num" w:pos="360" w:leader="none"/>
          <w:tab w:val="left" w:pos="1080" w:leader="none"/>
          <w:tab w:val="clear" w:pos="144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вступает в силу со дня его принятия.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61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127"/>
        <w:gridCol w:w="3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61"/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961"/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  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961"/>
              <w:jc w:val="right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ind w:left="5670" w:right="0" w:hanging="426"/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6236" w:right="0" w:firstLine="0"/>
        <w:jc w:val="left"/>
        <w:pageBreakBefore/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Приложение 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61"/>
        <w:ind w:left="6236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6236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решению </w:t>
      </w:r>
      <w:r>
        <w:rPr>
          <w:rFonts w:ascii="Liberation Sans" w:hAnsi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6236" w:right="0" w:firstLine="0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6236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от 27.03.2025 № 402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1"/>
        <w:ind w:firstLine="708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1"/>
        <w:ind w:firstLine="0"/>
        <w:jc w:val="center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Отчет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деятельности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Контрольно-счетной палаты Нового Уренгоя за 2024 год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pStyle w:val="961"/>
        <w:ind w:left="1701" w:right="1418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contextualSpacing/>
        <w:ind w:left="0" w:right="0" w:firstLine="0"/>
        <w:jc w:val="center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/>
          <w:color w:val="ff0000"/>
          <w:sz w:val="28"/>
          <w:szCs w:val="28"/>
        </w:rPr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</w:rPr>
        <w:t xml:space="preserve">1. Общая часть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2552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9"/>
        <w:ind w:firstLine="709"/>
        <w:jc w:val="both"/>
        <w:spacing w:before="0" w:beforeAutospacing="0"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Ежегодный отчет о деятельности Контрольно-счетной палаты Нового Уренгоя (далее – Отчет)  представляется в Думу города Новый Уренгой (далее – Дума) в соответствии с требованиями ст.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19 Федерального закона от 07.02.2011 № 6-ФЗ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(далее - Федеральный закон № 6-ФЗ) 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Положения о Контрольно-счетной палате Нового Уренгоя,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утвержденного решением Городской Думы муниципального образования город Новый Уренгой                     от 29.09.2011 № 128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(далее – Положение о КСП).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Контрольно-счетная палата Нового Уренгоя (далее - Контрольно-счетная палата)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как орган внешнего муниципального финансового контроля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соответствии с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Бюджетным кодексом Российской Федерации (далее - Бюджетный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кодекс РФ), Федеральным законом № 6-ФЗ, Законом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 30.09.2011 № 101-ЗАО «О некоторых вопросах организации и деятельности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контрольно-счетных органов муниципальных образований в Ямало-Ненецком автономном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округе»,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Уставом 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ородского округа город Новый Уренгой Ямало-Ненецкого автономного округ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Положением о КСП осуществляет: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контроль за законностью и эффективностью использования средств местного бюджета;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 за организацией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исполнения местного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бюджета;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 за соблюдением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установленного порядка управления и распоряжения имуществом,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находящимся в муниципальной собственности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;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экспертизы проектов местного бюджета, проверку и анализ обоснованности его показателей;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внешнюю проверку годового отчета об исполнении местного бюджета;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экспертизы проектов муниципальных правовых актов в части, касающейся расходных обязательств города Новый Уренгой, экспертизы проектов муниципальных правовых актов, приводящих к изменению доходов местного бюджета, а также муниц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ипальных программ (проек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тов муниципальных программ)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90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соответствии с полномочиями,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      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и решением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Думы города Новый Уренгой от 24.10.2024 № 340       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ужд»,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Контрольно-счетная палата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с 20.12.2024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определена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органом, уполномоченным на осуществление контроля в сфере закупок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0"/>
        <w:ind w:firstLine="709"/>
        <w:jc w:val="both"/>
        <w:spacing w:after="0" w:afterAutospacing="0" w:line="240" w:lineRule="auto"/>
        <w:tabs>
          <w:tab w:val="left" w:pos="709" w:leader="none"/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Отчёт содержит инфо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рмацию об основных направлениях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деятельности Контрольно-сч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ё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тной палаты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20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24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году, о провед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ё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нных контрольных и экспертно-аналитических мероприяти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их результатах, о принятых объектами проверок мерах по устранению выявленных нарушений и недостатков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по выполнению рекомендаций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ё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тной палаты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а также приоритетные направления деятельности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2025 году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последующих разделах Отчета более подробно отражена деятельность по реализации задач, определенных законодательством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9"/>
        <w:jc w:val="both"/>
        <w:spacing w:before="0" w:after="0" w:afterAutospacing="0" w:line="240" w:lineRule="auto"/>
        <w:tabs>
          <w:tab w:val="left" w:pos="709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2.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Основные результаты деятельности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Контрольно-счетной палаты за 2024 год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2268" w:firstLine="3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green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Контрольно-счётная палата осуществляла деятельность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основании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плана деятельности на 2024 год, сформированного с учётом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предложений Главы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а также иных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мероприятий в р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амках информационной, организационно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-методической 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прочей деятельности.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Поручения Думы на проведение контрольных мероприятий при формировании плана деятельности на 2024 год в адрес Контрольно-счетной палаты не поступали.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Основные показатели, характеризующие деятельность Контрольно-счетной палаты за период 2022-2024 годов, приведены     в таблице 1.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right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Таблица 1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Основные показатели деятельности КСП за 2022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2024 годы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color w:val="ff0000"/>
          <w:sz w:val="28"/>
          <w:szCs w:val="28"/>
        </w:rPr>
        <w:tab/>
        <w:tab/>
        <w:tab/>
        <w:tab/>
        <w:tab/>
        <w:tab/>
        <w:tab/>
        <w:tab/>
        <w:t xml:space="preserve">                                                           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496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8"/>
        <w:gridCol w:w="5752"/>
        <w:gridCol w:w="992"/>
        <w:gridCol w:w="992"/>
        <w:gridCol w:w="992"/>
      </w:tblGrid>
      <w:tr>
        <w:tblPrEx/>
        <w:trPr>
          <w:trHeight w:val="396"/>
        </w:trPr>
        <w:tc>
          <w:tcPr>
            <w:shd w:val="clear" w:color="ffffff" w:fill="e6eed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6eed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Показатель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6eed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2022 год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6eed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  <w:lang w:val="en-US"/>
              </w:rPr>
              <w:t xml:space="preserve">2023 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  <w:lang w:val="ru-RU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6eed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  <w:lang w:val="ru-RU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131"/>
        </w:trPr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  <w:sz w:val="18"/>
                <w:szCs w:val="1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  <w:sz w:val="18"/>
                <w:szCs w:val="1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  <w:sz w:val="18"/>
                <w:szCs w:val="1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18"/>
                <w:szCs w:val="1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18"/>
                <w:szCs w:val="1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</w:tr>
      <w:tr>
        <w:tblPrEx/>
        <w:trPr>
          <w:trHeight w:val="385"/>
        </w:trPr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Проведено контрольных и экспертно-аналитических мероприятий (с учетом внешней проверки), в том числе: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cddd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Контрольных мероприятий, ед.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Экспертно-аналитических мероприятий, ед.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1.3.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Внешняя проверка отчета об исполнении бюджета и бюджетной отчетности ГРБС, ед.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Охвачено объектов, ед.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Проверено бюджетных и иных средств, млн 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1 086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354,7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420,7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5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51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  <w:sz w:val="20"/>
                <w:szCs w:val="20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t xml:space="preserve">Охвачено бюджетных средств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t xml:space="preserve"> внешней проверкой отчета об исполнении бюджета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17 674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21 029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33 014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51"/>
        </w:trPr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5.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Проверено муниципального имущества стоимостью,              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77,6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56,1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131,8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05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Выявлено нарушений законодательства, млн руб., в том числе: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12,4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27,7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41,3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186"/>
        </w:trPr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6.1.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нецелевое использование бюджетных средств,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1,3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1,6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66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6.2.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неэффективное расходование бюджетных  средств,            млн руб.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0,1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3,7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2,1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  <w:sz w:val="20"/>
                <w:szCs w:val="20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6.3.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нарушения при формировании и исполнении бюджетов, млн руб.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2,2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4,4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7,5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6.4.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нарушение порядка управления и распоряжения  имуществом,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4,0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0,1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6.5.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иные нарушения, млн руб. (нарушения ведения бухгалтерского учета, составления и представления бухгалтерской (финансовой) отчетности; нарушения при осуществлении закупок)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6,1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18,2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30,1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contextualSpacing w:val="0"/>
              <w:ind w:left="0" w:right="0" w:firstLine="0"/>
              <w:jc w:val="center"/>
              <w:spacing w:after="0" w:afterAutospacing="0" w:line="240" w:lineRule="auto"/>
              <w:tabs>
                <w:tab w:val="left" w:pos="0" w:leader="none"/>
                <w:tab w:val="left" w:pos="2324" w:leader="none"/>
              </w:tabs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7.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Объем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выявленных нарушений, подлежащих устранению,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6,5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16,5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39,6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12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8.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Возмещено бюджетных средств, млн руб./ в т.ч. по проверкам прошлых лет, 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0,3/0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0,5/0,2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1,8/0,4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9.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Устранено нарушений иным способом, млн руб./ в т.ч. по проверкам прошлых лет, млн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6,2/32,2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33,1/23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38,5/6,4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10.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Количество направленных представлений, предписаний/  снято с контроля представлений, предписаний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11/14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4/2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6/3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11.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Количество возбужденных дел об административных правонарушениях по материалам контрольных и экспертно-аналитических мероприятий/рассмотрено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соответствующими органами, ед.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1/2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1/1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7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3/2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44"/>
        </w:trPr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12.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iCs/>
                <w:sz w:val="20"/>
                <w:szCs w:val="20"/>
              </w:rPr>
              <w:t xml:space="preserve">Сумма штрафов назначенных/поступивших в бюджет,   тыс.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25/25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5/5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40/20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shd w:val="clear" w:color="ffffff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61"/>
              <w:ind w:left="0" w:right="0" w:firstLine="0"/>
              <w:jc w:val="center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13.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2" w:type="dxa"/>
            <w:vAlign w:val="top"/>
            <w:textDirection w:val="lrTb"/>
            <w:noWrap w:val="false"/>
          </w:tcPr>
          <w:p>
            <w:pPr>
              <w:pStyle w:val="961"/>
              <w:spacing w:after="0" w:afterAutospacing="0" w:line="240" w:lineRule="auto"/>
              <w:tabs>
                <w:tab w:val="left" w:pos="2324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Количество материалов, направленных в органы прокуратуры и иные правоохранительные органы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ffffff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Количество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проведенных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Контрольно-счетной палатой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 и экспертно-аналитических мероприятий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отчетном периоде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сравнению с предыдущим периодом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уменьшилось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6 единиц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составило 30  мероприятий, в том числе: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1"/>
        </w:numPr>
        <w:ind w:left="0" w:firstLine="709"/>
        <w:jc w:val="both"/>
        <w:spacing w:after="0" w:line="240" w:lineRule="auto"/>
        <w:tabs>
          <w:tab w:val="left" w:pos="900" w:leader="none"/>
          <w:tab w:val="left" w:pos="1440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внешняя проверка годового отчета об исполнении местного бюджета и внешние проверки бюджетной отчетности главных распорядителей бюджетных средств за 2023 год – 2 единицы;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1"/>
        </w:numPr>
        <w:ind w:left="0" w:firstLine="709"/>
        <w:jc w:val="both"/>
        <w:spacing w:after="0" w:line="240" w:lineRule="auto"/>
        <w:tabs>
          <w:tab w:val="left" w:pos="900" w:leader="none"/>
          <w:tab w:val="left" w:pos="1440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контрольные  мероприятия – 3 единицы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val="en-U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1"/>
        </w:numPr>
        <w:ind w:left="0" w:firstLine="709"/>
        <w:jc w:val="both"/>
        <w:spacing w:after="0" w:line="240" w:lineRule="auto"/>
        <w:tabs>
          <w:tab w:val="left" w:pos="900" w:leader="none"/>
          <w:tab w:val="left" w:pos="1440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экспертно-аналитические мероприятия – 25 единиц.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81"/>
        <w:spacing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Основную долю мероприятий, проведенных в 2024 году, традиционно составляют экспертно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-аналитические мероприятия.    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9"/>
        <w:ind w:firstLine="709"/>
        <w:jc w:val="both"/>
        <w:spacing w:before="0" w:beforeAutospacing="0"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Проведены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внешние проверки отчета об исполнении бюджета и бюджетной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тчетности ГРБС, контрольные и иные экспертно-аналитические мероприятия 22-х объектов (муниципальные учреждения, органы Администрации города Новый Уренгой, органы местного самоуправления), в аналогичном периоде прошлого года – 19 объектов.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проверенных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средств местного бюджета и иных средств составил 33 435 249 тыс. руб., где: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3"/>
        </w:numPr>
        <w:ind w:left="0" w:firstLine="709"/>
        <w:jc w:val="both"/>
        <w:spacing w:after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объем бюджетных средств,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охваченных внешней проверкой отчета об исполнении бюджета,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33 014 531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тыс. руб.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или  98,7%;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3"/>
        </w:numPr>
        <w:ind w:left="0" w:firstLine="709"/>
        <w:jc w:val="both"/>
        <w:spacing w:after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объем бюджетных средств,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проверенных в ходе контрольных мероприятий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– </w:t>
      </w:r>
      <w:r>
        <w:rPr>
          <w:rFonts w:ascii="Liberation Sans" w:hAnsi="Liberation Sans" w:eastAsia="Liberation Sans" w:cs="Liberation Sans"/>
          <w:b w:val="0"/>
          <w:i w:val="0"/>
          <w:strike w:val="0"/>
          <w:color w:val="000000"/>
          <w:sz w:val="28"/>
          <w:szCs w:val="28"/>
          <w:highlight w:val="white"/>
          <w:u w:val="none"/>
          <w:vertAlign w:val="baseline"/>
        </w:rPr>
        <w:t xml:space="preserve">394 586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тыс. руб. или  1,2%;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3"/>
        </w:numPr>
        <w:ind w:left="0" w:firstLine="709"/>
        <w:jc w:val="both"/>
        <w:spacing w:after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объем иных средств, проверенных в ходе контрольных мероприятий, –  26 132 тыс. руб. или 0,09%.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firstLine="0"/>
        <w:jc w:val="both"/>
        <w:spacing w:after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      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тоимость проверенного муниципального имущества -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             131 883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тыс. руб.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9"/>
        <w:ind w:firstLine="709"/>
        <w:jc w:val="both"/>
        <w:spacing w:before="0" w:beforeAutospacing="0"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По итогам проведенных мероприятий выявлено нарушений и недостатков на сумму 41 387 тыс. руб.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, что составило  0,12%  от общего объема проверенных средств местного бюджета.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Объем выявленных нарушений и недостатков, подлежащих устранению, составил 39 599 тыс. руб.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Устранено финансовых нарушений иным способом в отчетном году – 38 534 тыс. руб., где: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2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32 166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тыс. руб. – устранено финансовых нарушений по мероприятиям, проведенным в отчетном году, или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84,7% финансовых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нарушений, подлежащих устранению;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numPr>
          <w:ilvl w:val="0"/>
          <w:numId w:val="32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6 368 тыс. руб. – устранено финансовых нарушений по мероприятиям прошлых лет.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firstLine="720"/>
        <w:jc w:val="both"/>
        <w:spacing w:after="0" w:line="240" w:lineRule="auto"/>
        <w:tabs>
          <w:tab w:val="left" w:pos="567" w:leader="none"/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Обеспечен возврат средств в бюджеты всех уровней бюджетной системы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Российской Федерации в сумме 1 792 тыс. руб.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езультатам  про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веденных мероприятий за отчетный год в адрес объектов контроля направлено 6 представлений для принятия мер по устранению выявленных нарушений и недостатков, пресечению, устранению и предупреждению нарушений, возмещению причиненного ущерба.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Снято с контроля ввиду полного исполнения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 представления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 снято 5 представлений, из них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3 представления отчетного периода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ввиду наступления срока их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исполнения в 2025 году, 2 представления прошлых отчетных периодов.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firstLine="708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 отчетный период возбуждено 3 дела об административном правонарушении по статье 15.14 КоАП РФ в отношении должностных лиц. В 2024 году назначены штрафы в сумме 40,0 тыс. руб., из которых  20,0 тыс. руб.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уплачены и поступили в местный бюджет.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67"/>
        <w:ind w:left="0" w:firstLine="720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риняты меры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бъектами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контроля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 привлечению должностных лиц, виновных в нарушении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законодательства Российской Федерации, к дисциплинарной ответственности. Всего к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дисциплинарной ответственности привлечено 6 должностных лиц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firstLine="708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 результатах проводимых мероприятий Контрольно-счетная палата  регулярно информировала Главу города Новый Уренгой, Председателя Думы.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Информация, итоговые документы  по результатам контрольных и экспертно-аналитических мероприятий, проводимых Контрольно-счетной палатой, размещены на официальном сайте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Администрации города Новый Уренгой в сети Интернет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разделе «Контрольно-счетная палата».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851" w:right="1559"/>
        <w:jc w:val="center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1"/>
        <w:ind w:left="0" w:right="0" w:firstLine="720"/>
        <w:jc w:val="center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b/>
          <w:bCs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t xml:space="preserve">3.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Экспертно-аналитическая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деятельность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соответствии с требованиями Бюджетного кодекса РФ в рамках проведения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экспертизы проекта местного бюджета Контрольно-счетной палатой подготовлено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заключение на проект решения Думы «О бюджете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2025 год и плановый период 2026 и 2027 годов» (далее – проект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которое направлено в Думу и Главе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З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аключение Контрольно-счетной палаты включает в себя анализ соответствия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проекта бюджета, документов и материалов, представленных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одновременно с ним, Бюджетному кодексу РФ и иным правовым актам, общую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характеристику проекта бюджета, анализ доходов и расходов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анализ формирования расходов на реализацию муниципальных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программ.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результатам экспертно-аналитического мероприятия установлено, что перечень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документов и материалов, представленных одновременно с проектом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соответствует требованиям Бюджетного кодекса РФ, формирование доходной части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бюджета осуществлено с учётом изменений бюджетного и налогового законодательства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ar-SA"/>
        </w:rPr>
        <w:t xml:space="preserve"> Соблюдены ограничения, установленные Бюджетным кодексом РФ.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Проект бюджета сохранил социальную ориентированность.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8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результате Контрольно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-счетная палата рекомендовала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Думе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принять проект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8"/>
        <w:jc w:val="both"/>
        <w:spacing w:after="0" w:line="240" w:lineRule="auto"/>
        <w:widowControl w:val="off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2024 году проведена экспертиза 4 проектов решений Думы о внесении изменений в действующее решение о местном бюджете.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9"/>
        <w:ind w:firstLine="709"/>
        <w:jc w:val="both"/>
        <w:spacing w:before="0" w:beforeAutospacing="0"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Вносимые изменения касались в основном корректировки основных характеристик местного бюджета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, перераспределения прогнозируемой экономии бюджетных средств по отдельным статьям расходов между главными распорядителями бюджетных средств, уточнения объема целевых средств, поступивших из окружного бюджета, выделения и перераспределения бюджетных 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ссигнований на основании обращений главных распорядителей бюджетных средств. В заключениях отражался анализ доходных и расходных статей местного бюджета, указывались замечания и рекомендации по их устранению.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right="-1" w:firstLine="709"/>
        <w:jc w:val="both"/>
        <w:spacing w:after="0" w:line="240" w:lineRule="auto"/>
        <w:tabs>
          <w:tab w:val="left" w:pos="2324" w:leader="none"/>
          <w:tab w:val="left" w:pos="8505" w:leader="none"/>
          <w:tab w:val="left" w:pos="9355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Заключения по результатам таких экспертиз предоставлялись депутатам Думы для ознакомления.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целях осуществления экспертизы проектов муниципальных правовых актов 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части, касающейся расходных обязательств города Новый Уренгой, экспертизы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проектов муниципальных правовых актов, приводящих к изменению доходов местного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бюджета,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Контрольно-счетной палатой в 2024 году проведена экспертиза 7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проектов муниципальных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правовых актов.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результатам финансово-экономической экспертизы проектов муниципальных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программ (изменений в муниципальные программы) Контрольно-счетной палатой подготовлено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13 заключений.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заключениях Контрольно-счетной палаты отражены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12 замечаний и предложений, из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которых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12 учтены при утверждении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проектов муниципальных правовых актов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изменений в муниципальные программы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Контрольно-счетной палатой в соответствии с требованиями статьи 264.4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Бюджетного кодекса РФ, Положения о Контрольно-счетной палате, в целях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реализации полномочий по внешней проверке годового отчета об исполнении местного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экспертно-аналитическое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мероприятие,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необходимое для подготовки заключения на отчёт об исполнении местного бюджета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 2023 год.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2024 году проведена внешняя проверка годового отчёта об исполнении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местного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бюджета за 2023 год, включая внешнюю проверку бюджетной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отчётности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9 главных администраторов бюджетных средств (далее - ГАБС).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left="0" w:right="0" w:firstLine="720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ходе проведения внешней проверки проведена оценка своевременности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представления, достоверности и полноты отчётности ГАБС и отчёта об исполнении местного бюджета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 2023 год, проведён анализ изменений основных характеристик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местного бюджета, анализ исполнения доходной и расходной частей местного бюджета,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анализ реализации муниципальных программ, источников внутреннего финансирования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дефицита местного бюджета.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jc w:val="both"/>
        <w:spacing w:after="0" w:line="240" w:lineRule="auto"/>
        <w:tabs>
          <w:tab w:val="left" w:pos="709" w:leader="none"/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 проведении внешней проверки годового отчет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 об исполнении местного бюджета за 2023 год нарушений, имеющих суммовую оценку, не выявлено.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82"/>
        <w:ind w:firstLine="709"/>
        <w:jc w:val="both"/>
        <w:spacing w:line="240" w:lineRule="auto"/>
        <w:tabs>
          <w:tab w:val="left" w:pos="2324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 проведении внешней проверки бюджетной отчетности ГАБС выявл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ено нарушение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принципа эффективности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результативности использования бюджетных средств, установленного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ст. 34 Бюджетного кодекса РФ, в сумме 78 тыс.руб.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61"/>
        <w:ind w:firstLine="709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  <w:shd w:val="clear" w:color="auto" w:fill="ffffff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Выявленные в ходе внешней проверки и отраженные в заключениях нарушения ГАБС не повлияли на достоверность кассового исполнения бюджета по доходам, расходам, дефициту бюджета. </w:t>
      </w:r>
      <w:r>
        <w:rPr>
          <w:rStyle w:val="98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результатам внешней проверки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отчета об исполнении местного бюджета за 2023 год Контрольно-счетная палата выразила мнение о достоверности бюджетной отчетности.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2268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highlight w:val="green"/>
        </w:rPr>
        <w:t xml:space="preserve">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2268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highlight w:val="none"/>
        </w:rPr>
        <w:t xml:space="preserve">   </w:t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highlight w:val="white"/>
        </w:rPr>
        <w:t xml:space="preserve"> 4. Контрольная деятельность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2268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8"/>
        <w:jc w:val="both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рамках контрольной деятельности Контрольно-счетной палатой проведено 3 контрольных мероприятия,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в том числе: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numPr>
          <w:ilvl w:val="0"/>
          <w:numId w:val="30"/>
        </w:numPr>
        <w:ind w:left="0" w:firstLine="709"/>
        <w:jc w:val="both"/>
        <w:spacing w:after="0" w:line="240" w:lineRule="auto"/>
        <w:tabs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  <w:shd w:val="clear" w:color="auto" w:fill="ffffff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shd w:val="clear" w:color="auto" w:fill="ffffff"/>
        </w:rPr>
        <w:t xml:space="preserve">проверка законности и эффективности использования средств бюджета муниципального образования город Новый Уренгой,  средств, полученных от оказания платных услуг на содержание муниципального  автономного учреждения «Информационное агентство «Импульс Севера»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numPr>
          <w:ilvl w:val="0"/>
          <w:numId w:val="30"/>
        </w:numPr>
        <w:ind w:left="0" w:firstLine="709"/>
        <w:jc w:val="both"/>
        <w:spacing w:after="0" w:line="240" w:lineRule="auto"/>
        <w:tabs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аудит закупок в учреждениях, подведомственных Департаменту культуры, молодежной политики, физической культуры и спорта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numPr>
          <w:ilvl w:val="0"/>
          <w:numId w:val="34"/>
        </w:numPr>
        <w:ind w:left="0" w:firstLine="709"/>
        <w:jc w:val="both"/>
        <w:spacing w:after="0" w:line="240" w:lineRule="auto"/>
        <w:tabs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овместное со Счетной палатой Ямало-Ненецкого автономного округа контрольное мероприятие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роверка эффективности использования средств окружного бюджета на реализацию мероприятий по замене контейнерного парка и приведения мест (площадок) накопления твердых коммунальных отходов в соответствие санитарным нормам и правилам в Ямало-Ненецком автономн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ом округе в 2023 году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7"/>
        <w:ind w:firstLine="709"/>
        <w:jc w:val="both"/>
        <w:spacing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2024 году при проведении контрольных мероприятий проверено использование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бюджетных средств и муниципального имущества в объёме 552 601 тыс. руб.,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охвачено 12 объектов              (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2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 Администрации города Новый Уренгой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, 10 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муниципальных учреждений)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резул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ьтатам контрольных мероприятий в отчётном году выявлено 108 фактов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нарушений на сумму 41 387 тыс. руб.,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устранено с учетом проверок прошлых лет 120 фактов на сумму 40 326 тыс. руб., что представлено в таблице 2.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2410"/>
        <w:jc w:val="right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Таблица 2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/>
        <w:jc w:val="center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Информация по выявленным и устраненным нарушениям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p>
      <w:pPr>
        <w:pStyle w:val="978"/>
        <w:ind w:left="0"/>
        <w:jc w:val="center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по результатам контрольных мероприятий в 2024 году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78"/>
        <w:ind w:left="0"/>
        <w:jc w:val="center"/>
        <w:spacing w:after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Style w:val="817"/>
        <w:tblW w:w="0" w:type="auto"/>
        <w:shd w:val="clear" w:color="e2efd8" w:fill="e2efd8"/>
        <w:tblLayout w:type="fixed"/>
        <w:tblLook w:val="04A0" w:firstRow="1" w:lastRow="0" w:firstColumn="1" w:lastColumn="0" w:noHBand="0" w:noVBand="1"/>
      </w:tblPr>
      <w:tblGrid>
        <w:gridCol w:w="567"/>
        <w:gridCol w:w="4684"/>
        <w:gridCol w:w="992"/>
        <w:gridCol w:w="984"/>
        <w:gridCol w:w="1072"/>
        <w:gridCol w:w="1054"/>
      </w:tblGrid>
      <w:tr>
        <w:tblPrEx/>
        <w:trPr>
          <w:trHeight w:val="253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Наименование нарушений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Выявлено нарушений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Устранено нарушений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390"/>
        </w:trPr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PT Astra Serif" w:cs="PT Astra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PT Astra Serif" w:cs="PT Astra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сумма, тыс.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кол-во, факты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сумма, тыс.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кол-во, факты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199"/>
        </w:trPr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Autospacing="1" w:line="240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r>
          </w:p>
        </w:tc>
      </w:tr>
      <w:tr>
        <w:tblPrEx/>
        <w:trPr>
          <w:trHeight w:val="360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Нецелевое использование бюджетных средств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1 637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center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2214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Нарушения при формировании и исполнении бюджетов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7 526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7870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671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Нарушения ведения бухгалтерского учета, составления и представления бухгалтерской (финансовой) отчетности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28 997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26464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544"/>
        </w:trPr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Нарушения в сфере управления и распоряжения муниципальной собственностью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Неэффективное использование бюджетных средств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2 127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21"/>
        </w:trPr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Иные нарушения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2671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e2efd8" w:fill="e2ef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21"/>
        </w:trPr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left"/>
              <w:spacing w:line="238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Нарушения при осуществлении муниципальных закупок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1 100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54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547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d7e3bc" w:themeColor="accent3" w:themeTint="66" w:fill="d7e3bc" w:themeFill="accent3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i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Всего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i/>
                <w:iCs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41 387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i/>
                <w:iCs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i/>
                <w:iCs/>
                <w:sz w:val="20"/>
                <w:szCs w:val="20"/>
              </w:rPr>
              <w:t xml:space="preserve">40 326</w:t>
            </w:r>
            <w:r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r>
          </w:p>
        </w:tc>
        <w:tc>
          <w:tcPr>
            <w:shd w:val="clear" w:color="ebf1de" w:themeColor="accent3" w:themeTint="33" w:fill="ebf1de" w:themeFill="accent3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i/>
                <w:iCs/>
                <w:sz w:val="20"/>
                <w:szCs w:val="20"/>
              </w:rPr>
              <w:t xml:space="preserve">120</w:t>
            </w:r>
            <w:r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i/>
                <w:sz w:val="20"/>
                <w:szCs w:val="20"/>
              </w:rPr>
            </w:r>
          </w:p>
        </w:tc>
      </w:tr>
    </w:tbl>
    <w:p>
      <w:pPr>
        <w:pStyle w:val="967"/>
        <w:ind w:firstLine="709"/>
        <w:jc w:val="both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Наибольшее количество нарушений, выявленных по итогам проведённых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мероприятий в 2024 году, составили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нарушения при осуществлении муниципальных закупок -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54 факта на сумму            1100 тыс. руб. (50% от общего количества нарушений)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выявлены при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проведении контрольных мероприятий на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9 объектах контроля и связаны в основном с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нарушением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части обоснования выбора объекта (объектов) закупки определения и обоснования НМЦК(Д)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Нецелевое использование бюджетных средств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составило 3% от общего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количества нарушений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связано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  <w:lang w:val="ru-RU"/>
        </w:rPr>
        <w:t xml:space="preserve">неправомерным расходованием средств на оплату труда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  <w:lang w:val="ru-RU"/>
        </w:rPr>
        <w:t xml:space="preserve">(начисления, не связанные с выполнением муниципального задания, оплата труда специалиста, не имеющего требуемого образования) за счет средств субсидий на выполнение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  <w:lang w:val="ru-RU"/>
        </w:rPr>
        <w:t xml:space="preserve">муниципального задания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(3 факта на сумму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 1637 тыс. руб.)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Нарушения при формировании и исполнении бюджетов составили 10% от общего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количества нарушений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связаны в основном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приемкой невыполненных работ или приемкой и оплатой работ по завышенной стоимости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осуществлением авансового платежа сверх размера, установленного нормативным правовым актом по реализации местного бюджета;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неправомерной компенсацией (возмещением) расходов при оплате проезда в отпуск и (или) связанные со служебными командировками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(11 фактов на сумму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7 526 тыс. руб.).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Нарушения установленных единых требований к бюджетному (бухгалтерскому)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учету, в том числе бюджетной, бухгалтерской (финансовой) отчетности, составили 11%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 12 фактов на сумму </w:t>
      </w:r>
      <w:r>
        <w:rPr>
          <w:rFonts w:ascii="Liberation Sans" w:hAnsi="Liberation Sans" w:eastAsia="Liberation Sans" w:cs="Liberation Sans"/>
          <w:b w:val="0"/>
          <w:i w:val="0"/>
          <w:strike w:val="0"/>
          <w:color w:val="000000"/>
          <w:sz w:val="28"/>
          <w:szCs w:val="28"/>
          <w:highlight w:val="white"/>
          <w:u w:val="none"/>
          <w:vertAlign w:val="baseline"/>
        </w:rPr>
        <w:t xml:space="preserve">    28 997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тыс. руб.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 общего количества нарушений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связаны с нарушением требований,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предъявляемых к регистрам бухгалтерского учета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к правилам ведения бюджетного (бухгалтерского) учета.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еэффективное использование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бюджетных средств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составило 7%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 8 фактов на сумму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2127 тыс. руб.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связано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c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 осуществлении закупок в части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недостижения наилучшего результата с использованием определенного объема средств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наличия закупки, имеющей признаки завышения НМЦК, а также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неправомерное использование бюджетных средств на возмещение затрат управляющей организации.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Иные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арушения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составили 19%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 20 фактов без стоимостного выражения) от общего количества нарушений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связаны: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  <w:lang w:val="ru-RU"/>
        </w:rPr>
        <w:t xml:space="preserve">с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несоответствием или отсутствием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муниципальных нормативных правовых актов, регулирующих порядок в части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выполнения муниципальных работ в сфере средств массовой информации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  <w:lang w:val="ru-RU"/>
        </w:rPr>
        <w:t xml:space="preserve">; не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val="ru-RU"/>
        </w:rPr>
        <w:t xml:space="preserve">соответствием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действующему законодательству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положений о закупке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val="ru-RU"/>
        </w:rPr>
        <w:t xml:space="preserve"> учреждений; несоответствием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val="ru-RU"/>
        </w:rPr>
        <w:t xml:space="preserve">произведенных расходов порядку расходования средств, полученных от оказания платных услуг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val="ru-RU"/>
        </w:rPr>
        <w:t xml:space="preserve">; размещением неактуального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Style w:val="984"/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Р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еестра мест накопления ТКО города Новый Уренгой на официальном сайте Администрации 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; непредоставлением управляющими организациями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отчетов о достижении значений показателей результативности использования субсидии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;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отсутствием в Правилах благоустройства города Новый Уренгой установленных требований к элементам сопряжения покрытий, ограждениям, крышам мест (площадок) накопления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ТКО</w:t>
      </w:r>
      <w:r>
        <w:rPr>
          <w:rStyle w:val="984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предусмотренных абзацами 3 - 5 пункта 17.6 Методических рекомендаций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 разработке норм и правил по благоустройству территорий муниципальных образований, утвержденных приказом Минстроя России от 29.12.2021 № 1042/пр</w:t>
      </w:r>
      <w:r>
        <w:rPr>
          <w:rStyle w:val="984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/>
          <w:iCs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о ре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зультатам проведения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  <w:shd w:val="clear" w:color="auto" w:fill="ffffff"/>
        </w:rPr>
        <w:t xml:space="preserve">проверки законности и эффективности использования средств бюджета муниципального образования город Новый Уренгой,  средств, полученных от оказания платных услуг на содержание муниципального  автономного учреждения «Информационное агентство «Импульс Севера»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 w:val="0"/>
          <w:i/>
          <w:iCs/>
          <w:highlight w:val="none"/>
        </w:rPr>
      </w:r>
      <w:r>
        <w:rPr>
          <w:rFonts w:ascii="Liberation Sans" w:hAnsi="Liberation Sans" w:cs="Liberation Sans"/>
          <w:b w:val="0"/>
          <w:bCs w:val="0"/>
          <w:i/>
          <w:iCs/>
          <w:highlight w:val="none"/>
        </w:rPr>
      </w:r>
    </w:p>
    <w:p>
      <w:pPr>
        <w:pStyle w:val="967"/>
        <w:numPr>
          <w:ilvl w:val="0"/>
          <w:numId w:val="4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устранены нарушения порядка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компенсации расходов при оплате проезда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в отпуск и (или) связанные со служебными командировками в общей сумме 76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из них возвращено в местный бюджет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необоснованных расходов 46 тыс. руб., восстановлено неправомерных расходов 2 тыс. руб., подтверждено расходов на 28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устранены нарушения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ведения бухгалтерского учета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 части обеспечения надлежащего учета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себестоимости выполняемых работ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, принятия к бухгалтерскому учету сайта учреждения,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надлежащего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бухгалтерского учета муниципального имуществ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а на сумму                 19 137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возвращены в доход местного бюджета неправомерно использованные бюджетные средства в результате нарушения порядка оплаты труда в сумме 536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none"/>
        </w:rPr>
        <w:t xml:space="preserve">устранен факт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нецелевого использования средств субсидии на выполнение муниципального задания в размере 1103 тыс. руб. путем привлечения руководителя учреждения к административной ответственности по </w:t>
      </w:r>
      <w:hyperlink r:id="rId12" w:tooltip="https://internet.garant.ru/#/document/12125267/entry/1514" w:history="1">
        <w:r>
          <w:rPr>
            <w:rStyle w:val="985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ст. 15.14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КоАП РФ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(назначен штраф 20 тыс. руб.);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5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/>
          <w:i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внесены изменения в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муниципальные нормативные правовые акты в части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 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разработки требований к содержанию муниципальных работ и установлению методики расч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ета показателей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, 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утверждения порядка определения нормативных затрат на выполнение муниципальных работ в сфере средств массовой информации,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утверждения порядка определения нормативных затрат,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определения порядка расчета коэффициента выравнивания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/>
          <w:i/>
          <w:highlight w:val="white"/>
        </w:rPr>
      </w:r>
      <w:r>
        <w:rPr>
          <w:rFonts w:ascii="Liberation Sans" w:hAnsi="Liberation Sans" w:cs="Liberation Sans"/>
          <w:b w:val="0"/>
          <w:bCs/>
          <w:i/>
          <w:highlight w:val="white"/>
        </w:rPr>
      </w:r>
    </w:p>
    <w:p>
      <w:pPr>
        <w:pStyle w:val="967"/>
        <w:numPr>
          <w:ilvl w:val="0"/>
          <w:numId w:val="43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утвержден приказ о проведении служебного расследования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к дисциплинарной ответственности привлечено 4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сотрудника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учреждения.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contextualSpacing w:val="0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По итогам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аудита закупок в учреждениях, подведомственных Департаменту культуры, молодежной политики, физической культуры и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сп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орта Администрации города Новый Уренгой: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967"/>
        <w:numPr>
          <w:ilvl w:val="0"/>
          <w:numId w:val="4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устранены нарушения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ведения бухгалтерского учета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 части обеспечения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надлежащего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бухгалтерского учета муниципального имуществ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а на сумму 4 675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5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возвращены в доход местного бюджета необоснованные расходы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 общей сумме 474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в том числе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допущенные в результате счетной ошибки при расчете НМЦК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повлекшей завышение цены контракта на 20 тыс. руб., и оплата за невыполненные работы в размере 454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6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возвращены в доход учреждения необоснованные расходы, допущенные в результате повторной оплаты услуг, на 12 тыс.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6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осуществлена поставка недостающего товара на сумму 8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7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приведены в соответствие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действующему законодательству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положения о закупке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функции и полномочия сотрудника, ответственного за организацию закупочной деятельности в 3-х учреждениях;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8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приведены в соответствие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действующему законодательству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уставы 2-х учреждений.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ind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/>
          <w:iCs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о результатам проведения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  <w:shd w:val="clear" w:color="auto" w:fill="ffffff"/>
        </w:rPr>
        <w:t xml:space="preserve">проверки 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эфф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ективности использования средств окружного и местного бюджета на реализацию мероприятий по замене контейнерного парка и приведения мест (площадок) накопления твердых коммунальных отходов в соответствие санитарным нормам и правилам в Ямало-Ненецком автономн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ом округе в 2023 год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none"/>
        </w:rPr>
        <w:t xml:space="preserve">у</w:t>
      </w:r>
      <w:r>
        <w:rPr>
          <w:rFonts w:ascii="Liberation Sans" w:hAnsi="Liberation Sans" w:cs="Liberation Sans"/>
          <w:b w:val="0"/>
          <w:bCs w:val="0"/>
          <w:i/>
          <w:iCs/>
          <w:highlight w:val="none"/>
        </w:rPr>
        <w:t xml:space="preserve">:</w:t>
      </w:r>
      <w:r>
        <w:rPr>
          <w:rFonts w:ascii="Liberation Sans" w:hAnsi="Liberation Sans" w:cs="Liberation Sans"/>
          <w:b w:val="0"/>
          <w:bCs w:val="0"/>
          <w:i/>
          <w:iCs/>
          <w:highlight w:val="none"/>
        </w:rPr>
      </w:r>
      <w:r>
        <w:rPr>
          <w:rFonts w:ascii="Liberation Sans" w:hAnsi="Liberation Sans" w:cs="Liberation Sans"/>
          <w:b w:val="0"/>
          <w:bCs w:val="0"/>
          <w:i/>
          <w:iCs/>
          <w:highlight w:val="none"/>
        </w:rPr>
      </w:r>
    </w:p>
    <w:p>
      <w:pPr>
        <w:pStyle w:val="967"/>
        <w:numPr>
          <w:ilvl w:val="0"/>
          <w:numId w:val="37"/>
        </w:numPr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устранены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риск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и для приемки и оплаты работ и материалов по завышенной стоимости за счет бюджетных средств на сумму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        996,5 тыс.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руб.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(за счет средств окружного бюджета - 987,6 тыс. руб., за счет средств местного бюджета - 8,9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).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none"/>
          <w:lang w:eastAsia="ru-RU"/>
        </w:rPr>
        <w:t xml:space="preserve">Произведен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eastAsia="ru-RU"/>
        </w:rPr>
        <w:t xml:space="preserve"> перерасчет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возмещения (компенсации)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eastAsia="ru-RU"/>
        </w:rPr>
        <w:t xml:space="preserve">подрядчику затрат по НДС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white"/>
          <w:lang w:eastAsia="ru-RU"/>
        </w:rPr>
        <w:t xml:space="preserve"> при УСН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в локальных сметах согласно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письму Госстроя от 06.10.2003                  № НЗ-6292/10;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8"/>
          <w:szCs w:val="28"/>
          <w:highlight w:val="none"/>
        </w:rPr>
      </w:r>
    </w:p>
    <w:p>
      <w:pPr>
        <w:pStyle w:val="967"/>
        <w:numPr>
          <w:ilvl w:val="0"/>
          <w:numId w:val="36"/>
        </w:numPr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устранены факты приемки и оплаты невыполненных работ,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результате чего оказано услуг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подрядной организацией (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устройство полов и замена шибера мусоропровода,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замена дверей с деревянных на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металлические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) на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3 751 тыс. руб.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(за счет средств окружного бюджета - 3713 тыс. руб., за счет средств местного бюджета -              38 тыс. руб.)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36"/>
        </w:numPr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устр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анены факты приемки и оплаты невыполненных работ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по устройству бетонного основания из армированно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го бетона или дорожной плиты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путем возврата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денежных средств в бюджет на сумму 300 тыс. руб.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(за счет средств окружного бюджета - 297 тыс. руб., за счет средств местного бюджета - 3 тыс. руб.)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01"/>
        <w:numPr>
          <w:ilvl w:val="0"/>
          <w:numId w:val="36"/>
        </w:numPr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о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беспечено внесение изменений в </w:t>
      </w:r>
      <w:r>
        <w:rPr>
          <w:rStyle w:val="984"/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Р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еестр мест накопления ТКО города Новый Уренгой, сформированный в формате электронной таблицы, размещенный на официальном сайте Администрации города Новый Уренгой </w:t>
      </w:r>
      <w:hyperlink r:id="rId13" w:tooltip="https://nur.yanao.ru/documents/active/279625/" w:history="1">
        <w:r>
          <w:rPr>
            <w:rStyle w:val="943"/>
            <w:rFonts w:ascii="Liberation Sans" w:hAnsi="Liberation Sans" w:eastAsia="Liberation Sans" w:cs="Liberation Sans"/>
            <w:b w:val="0"/>
            <w:bCs w:val="0"/>
            <w:color w:val="000000" w:themeColor="text1"/>
            <w:sz w:val="28"/>
            <w:szCs w:val="28"/>
            <w:highlight w:val="white"/>
            <w:u w:val="none"/>
            <w:shd w:val="clear" w:color="auto" w:fill="ffffff"/>
          </w:rPr>
          <w:t xml:space="preserve">https://nur.yanao.ru/documents/active/279625/</w:t>
        </w:r>
      </w:hyperlink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shd w:val="clear" w:color="auto" w:fill="ffffff"/>
        </w:rPr>
        <w:t xml:space="preserve"> 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следующей части: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актуализирована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ссылка на схему размещения мест (площадок) накопления ТКО;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внесены сведения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об используемом покрытии и площади мест (площадок) накопления ТКО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внесена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информация о собственниках мест (площадок) накопления ТКО (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адрес регистрации по месту жительства, контактные данные для индивидуальных предпринимателей и физических лиц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);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801"/>
        <w:numPr>
          <w:ilvl w:val="0"/>
          <w:numId w:val="36"/>
        </w:numPr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утвержден приказ о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привлечении к дисциплинарной ответственности 1 </w:t>
      </w:r>
      <w:r>
        <w:rPr>
          <w:rStyle w:val="984"/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должностного лица.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967"/>
        <w:contextualSpacing w:val="0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По результа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там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проверки расходования  средств субсидий на финансовое обеспечение выполнения муниципального задания и иные цели, законности использования муниципальной собственности в муниципальном автономном учреждении спортивная школа «Арктика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» (план деятельности на 2023 год):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967"/>
        <w:numPr>
          <w:ilvl w:val="0"/>
          <w:numId w:val="41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устранены нарушения порядка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компенсации расходов при оплате проезда в отпуск и (или) связанные со служебными командировками в общей сумме 186 тыс. руб., из них возвращено в местный бюджет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необоснованных расходов 78 тыс. руб., восстановлено неправомерных расходов 107 тыс. руб.,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выплачено суточных сотруднику 0,7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38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восстановлены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необоснованные расходы в размере               173 тыс. руб.,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оплаченные за услуги досуговых и экскурсионных мероприятий, не подлежащих обеспечению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0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восстановлены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необоснованные расходы, допущенные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 результате нарушения порядка оплаты труда, в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размере 576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39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устранены нарушения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ведения бухгалтерского учета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 в части обеспечения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надлежащего бухгалтерского учета муниципального имуществ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а на сумму 123 тыс. руб.;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39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устранены </w:t>
      </w:r>
      <w:r>
        <w:rPr>
          <w:rFonts w:ascii="Liberation Sans" w:hAnsi="Liberation Sans" w:eastAsia="Liberation Sans" w:cs="Liberation Sans"/>
          <w:b w:val="0"/>
          <w:bCs w:val="0"/>
          <w:i w:val="0"/>
          <w:sz w:val="28"/>
          <w:szCs w:val="28"/>
          <w:highlight w:val="white"/>
        </w:rPr>
        <w:t xml:space="preserve">неправомерные расходы на компенсацию затрат по найму (аренде) жилого помещения на сумму 150 тыс. руб. путем уточнения расходов ПФХД.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Cs/>
          <w:i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По результатам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проверки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 достоверности и полноты ведения учета имущества муниципального образования город Новый Уренгой в Департаменте имущественных и жилищных отношений Администрации города Новый Уренгой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(план деятельности на 2022 год)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Cs/>
          <w:i/>
          <w:sz w:val="28"/>
          <w:szCs w:val="28"/>
          <w:highlight w:val="white"/>
        </w:rPr>
      </w:r>
    </w:p>
    <w:p>
      <w:pPr>
        <w:pStyle w:val="967"/>
        <w:numPr>
          <w:ilvl w:val="0"/>
          <w:numId w:val="42"/>
        </w:numPr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 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устранено 30 фактов нарушений порядка учета и ведения реестра муниципального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имущества (далее – РМИ)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 в том числе внесены в РМИ: сведения о кадастровых номерах объектов недвижимого имущества;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нформация об объектах недвижимого имущества, в отношении которых неверно указаны либо не указаны параметры, характеризующие физические свойства недвижимого имущества, содержащиеся в Едином государственном ре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естре недвижимости;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информация об объектах недвижимого имущества, не включенных в РМИ, сведения о которых содержатся в Едином государственном реестре недвижимости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967"/>
        <w:contextualSpacing w:val="0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По результатам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обследования деятельности специализированной службы по вопросам похоронного дела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(план деятельности на 2023 год)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967"/>
        <w:numPr>
          <w:ilvl w:val="0"/>
          <w:numId w:val="49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устранено 4 факта нарушений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, оформлены в муниципальную собственность и переданы специализированной службе  объекты недвижимого имущества, необходимые для организации ритуальных услуг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pStyle w:val="967"/>
        <w:numPr>
          <w:ilvl w:val="0"/>
          <w:numId w:val="49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утверждены приказы о составе и 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порядке работы 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комиссии по отводу мест погребения на полузакрытых кладбищах, внутри старых участков;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 о порядке взаимодействия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 с субъектами предпринимательской деятельности</w:t>
      </w:r>
      <w:r>
        <w:rPr>
          <w:rFonts w:ascii="Liberation Sans" w:hAnsi="Liberation Sans" w:eastAsia="Liberation Sans" w:cs="Liberation Sans"/>
          <w:b w:val="0"/>
          <w:bCs/>
          <w:i w:val="0"/>
          <w:iCs w:val="0"/>
          <w:sz w:val="28"/>
          <w:szCs w:val="28"/>
          <w:highlight w:val="white"/>
        </w:rPr>
        <w:t xml:space="preserve"> при отводе мест для погребения.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По итогам совместной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проверки правомерности и эффективности использования бюджетных средств, выделенных на проведение капитального ремонта по объекту «МАДОУ «ДС «Огонек», расположенный по адресу: ЯНАО, г. Новый Уренгой, микрорайон Юбилейный д. 2, корп. 10» (совместно со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Счетной палатой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)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(план деятельности на 2023 год)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801"/>
        <w:numPr>
          <w:ilvl w:val="0"/>
          <w:numId w:val="50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устранено неправомерное использование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средств местного бюджета путем корректировки стоимости ремонта в сторону уменьшения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на 2 521 тыс. руб. 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По итогам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роверки законности и эффективности использования бюджетных средств, направленных на поддержку малого и среднего предпринимательства в муниципальном образовании город Новый Уренгой в 2021 году и истекшем периоде 2022 года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(план деятельности на 2022 год)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801"/>
        <w:numPr>
          <w:ilvl w:val="0"/>
          <w:numId w:val="51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получателями субсидий возвращены в доход бюджета неправомерные расходы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в сумме 358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, допущенные в результате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 н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арушений порядка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и (или) условий предоставления грантов в форме субсидий (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окружной бюджет - 126 тыс. руб.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местный бюджет - 232 тыс. руб.).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 По итогам внешней проверки бюджетной отчетности </w:t>
      </w:r>
      <w:r>
        <w:rPr>
          <w:rFonts w:ascii="Liberation Sans" w:hAnsi="Liberation Sans" w:eastAsia="Liberation Sans" w:cs="Liberation Sans"/>
          <w:bCs/>
          <w:i/>
          <w:iCs/>
          <w:sz w:val="28"/>
          <w:szCs w:val="28"/>
          <w:highlight w:val="white"/>
        </w:rPr>
        <w:t xml:space="preserve">главных администраторов бюджетных средств</w:t>
      </w:r>
      <w:r>
        <w:rPr>
          <w:rFonts w:ascii="Liberation Sans" w:hAnsi="Liberation Sans" w:eastAsia="Liberation Sans" w:cs="Liberation Sans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i/>
          <w:iCs/>
          <w:sz w:val="28"/>
          <w:szCs w:val="28"/>
          <w:highlight w:val="white"/>
        </w:rPr>
        <w:t xml:space="preserve">за 202</w:t>
      </w:r>
      <w:r>
        <w:rPr>
          <w:rFonts w:ascii="Liberation Sans" w:hAnsi="Liberation Sans" w:eastAsia="Liberation Sans" w:cs="Liberation Sans"/>
          <w:bCs/>
          <w:i/>
          <w:iCs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Cs/>
          <w:i/>
          <w:iCs/>
          <w:sz w:val="28"/>
          <w:szCs w:val="28"/>
          <w:highlight w:val="white"/>
        </w:rPr>
        <w:t xml:space="preserve"> год</w:t>
      </w:r>
      <w:r>
        <w:rPr>
          <w:rFonts w:ascii="Liberation Sans" w:hAnsi="Liberation Sans" w:eastAsia="Liberation Sans" w:cs="Liberation Sans"/>
          <w:b w:val="0"/>
          <w:bCs w:val="0"/>
          <w:i/>
          <w:iCs/>
          <w:sz w:val="28"/>
          <w:szCs w:val="28"/>
          <w:highlight w:val="white"/>
        </w:rPr>
        <w:t xml:space="preserve"> (план деятельности на 2023 год)</w:t>
      </w: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801"/>
        <w:numPr>
          <w:ilvl w:val="0"/>
          <w:numId w:val="52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устранено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грубое нарушение правил ведения бухгалтерского учета в сумме 2 652 тыс. руб., выразившееся в искажении формы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сведений по дебиторской и кредиторской задолженности (ф. 0503169)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sz w:val="28"/>
          <w:szCs w:val="28"/>
          <w:highlight w:val="whit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283" w:leader="none"/>
          <w:tab w:val="left" w:pos="992" w:leader="none"/>
        </w:tabs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/>
          <w:i/>
          <w:sz w:val="28"/>
          <w:szCs w:val="28"/>
          <w:highlight w:val="white"/>
        </w:rPr>
      </w:r>
    </w:p>
    <w:p>
      <w:pPr>
        <w:pStyle w:val="978"/>
        <w:ind w:left="850" w:right="851" w:firstLine="0"/>
        <w:jc w:val="center"/>
        <w:spacing w:after="0" w:afterAutospacing="0" w:line="240" w:lineRule="auto"/>
        <w:tabs>
          <w:tab w:val="left" w:pos="0" w:leader="none"/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5.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Правовое, методологическое обеспечение деятельности,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кадровая и организационная работа Контрольно-счетной палаты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1134" w:right="991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green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своей деятельности Контрольно-счетная палата руководствуется Конституцией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Российской Федерации, системой законодательных и иных нормативных правовых актов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Российской Федерации, Ямало-Ненецкого автономного округа, а также муниципальными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нормативными правовыми актами.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 итогам отчетного периода в Контрольно-счетной палате действуют 9 стандартов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внешнего муниципального финансового контроля, 2 стандарта организации деятельности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Контрольно-счетной палаты и 1 методический материал.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Контрольно-счетной палате действует межведомственная система электронного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документооборота и делопроизводства.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Объем документооборота за 2023 год составил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307 документов, из них входящих - 102,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исходящих - 205.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Штатная численность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Контрольно-счетной палаты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утверждена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решением Городской Думы муниципального образования город Новый Уренгой от 29.09.2011 № 128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 Контрольно-счетной палате Нового Уренгоя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количестве 2 единиц: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председател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аудитор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90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связи с наделением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20.12.2024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Контрольно-счетной палаты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полномочием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 осуществление контроля в сфере закупок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решением Думы от 24.10.2024 № 341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 внесении изменений в решение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Городской Думы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Новый Уренгой от 29.09.2011 № 128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штатная численность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увеличена на 3 единицы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en-US"/>
        </w:rPr>
        <w:t xml:space="preserve">В отчетном периоде фактическая численность работников по состоянию на 01.01.2024 составила 2 единицы, на 01.01.2025 -                5 единиц.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Все должностные лица Контрольно-счетной палаты имеют высшее образование.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2024 году дополнительное профессиональное образование по основным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направлениям деятельности получили два должностных лица Контрольно-счетной палаты.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2024 году бюджетные ассигнования на обеспечение деятельности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Контрольно-счетной палаты исполнены в сумме            13 365 тыс. руб.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         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Для обеспечения нужд Контрольно-счетной палаты в отчетном периоде заключено 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исполнено 12 муниципальных контрактов.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Закупки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осуществлялись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соответствии с требованиями Федерального закона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№ 44-ФЗ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shd w:val="clear" w:color="ffffff" w:themeColor="background1" w:fill="ffffff" w:themeFill="background1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  <w:b/>
          <w:bCs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6. Деятельность Контрольно-счетной палаты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978"/>
        <w:ind w:left="0" w:right="0" w:firstLine="720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  <w:b/>
          <w:bCs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по обеспечению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информационной открытости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978"/>
        <w:ind w:left="0" w:right="0" w:firstLine="720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и взаимодействию с другими органами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green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Контрольно-счетная палата при осуществлении своей деятельности взаимодействует с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Думой, Администрацией города Новый Уренгой 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органами Администрации города Новый Уренгой, прокуратурой города Новый Уренгой, иными контрольно-счетными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органами Ямало-Ненецкого автономного округа и муниципальных образований.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отчетном году в рамках взаимодействия в соответствующие органы направлялись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результаты контрольных и экспертно-аналитических мероприятий, а также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заключения на проекты муниципальных правовых актов и муниципальных программ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(изменений в них).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Контрольно-счетная палата принимала участие в деятельности комиссий Думы, в обсуждении вопросов, рассматриваемых на рабочих заседаниях Думы, и других мероприятиях.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Продолжено взаимодействие с Межведомственным Советом при Главе города Новый Уренгой по противодействию коррупции, членом которого является председат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ель Контрольно-счетной палаты. В адрес Межведомственного совета ежеквартально направляется информация о проведенных мероприятиях и выявленных нарушениях.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Руководствуясь положениями Федерального закона № 6-ФЗ, Контрольно-счетная палата неукоснительно соблюдает принцип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рытости и гласности перед населением. О результатах своей деятельности информирует Думу и население, в том числе через </w:t>
      </w:r>
      <w:r>
        <w:rPr>
          <w:rFonts w:ascii="Liberation Sans" w:hAnsi="Liberation Sans" w:eastAsia="Liberation Sans" w:cs="Liberation Sans"/>
          <w:b w:val="0"/>
          <w:bCs w:val="0"/>
          <w:color w:val="auto"/>
          <w:sz w:val="28"/>
          <w:szCs w:val="28"/>
          <w:lang w:eastAsia="ru-RU"/>
        </w:rPr>
        <w:t xml:space="preserve">сетевое издание «Импульс Севера»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официальный сайт Администрации города Новый Уренгой в разделе «Контрольно-счетная палата».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61"/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отчётном периоде Контрольно-счетная палата активно взаимодействовала со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Счетной палатой Ямало-Ненецкого автономного округа, контрольно-счётными органами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муниципальных образований Ямало-Ненецкого автономного округа в рамках взаимного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обмена информацией и опытом. В 2024 году председатель Контрольно-счетной палаты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приняла участие в заседаниях Совета контрольно-счетных органов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after="0" w:afterAutospacing="0" w:line="240" w:lineRule="auto"/>
        <w:tabs>
          <w:tab w:val="left" w:pos="232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отчетном году Контрольно-счетная палата приняла участие в заседании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Общего собрания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Союза муниципальных контрольно-счетных органов РФ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в ходе которого рассмотрены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актуальные вопросы внешнего муниципального финансового контроля и пути развития в современных условиях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С целью решения общих задач и обмена опытом Контрольно-счетная палата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продолжает взаимодействие с Союзом муниципальных контрольно-счётных органов.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отчетном году должностные лица Контрольно-счетной палаты участвовали в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образовательных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мероприятиях,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организованных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Союзом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контрольно-счётных органов в формате видеоконференции.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С целью взаимодействия с органами прокуратуры и иными правоохранительными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органами,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а также с органами местного самоуправления, контрольно-счетными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органами, учреждениями и организациями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Контрольно-счетной палатой заключено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соглашений о взаимодействии.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соответствии с Соглашением о порядке взаимодействия между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прокуратурой города Новый Уренгой и Контрольно-счетной палатой в отчетном году материалы 3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мероприятий направлены в прокуратуру города Новый Уренгой для принятия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мер прокурорского реагирования с целью устранения нарушений действующего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законодательства.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 материалам 3 мероприятий,  направленных в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прокуратуру города Новый Уренгой, по фактам выявленных нарушений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приняты меры прокурорского реагирования,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а именно направлено                      3 представления объектам контроля для устранения нарушений.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0" w:right="0" w:firstLine="720"/>
        <w:jc w:val="both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78"/>
        <w:ind w:left="1134" w:right="709" w:firstLine="0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7.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Основные направления деятельности в 2025 году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1134" w:right="991"/>
        <w:jc w:val="center"/>
        <w:spacing w:after="0" w:afterAutospacing="0" w:line="240" w:lineRule="auto"/>
        <w:tabs>
          <w:tab w:val="left" w:pos="0" w:leader="none"/>
          <w:tab w:val="left" w:pos="1134" w:leader="none"/>
          <w:tab w:val="left" w:pos="232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План деятельности Контрольно-счетной палаты на 2025 год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 внешнему муниципальному финансовому контрол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сформирован в соответствии с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полномочиями и задачами, возложенными на Контрольно-счетную палату Бюджетным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кодексом РФ, Федеральным законом № 6-ФЗ.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78"/>
        <w:ind w:left="0" w:firstLine="709"/>
        <w:jc w:val="both"/>
        <w:spacing w:after="0" w:afterAutospacing="0" w:line="240" w:lineRule="auto"/>
        <w:tabs>
          <w:tab w:val="left" w:pos="993" w:leader="none"/>
          <w:tab w:val="left" w:pos="2324" w:leader="none"/>
        </w:tabs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 исполнение поставленных задач Контрольно-счетной палатой запланировано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провести в 2025 году 6 контрольных и иных экспертно-аналитических мероприятий на основании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предложений Главы города Новый Уренгой, 2 экспертно-аналитических мероприятия по инициативе Контрольно-счетной палаты.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20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color w:val="000000" w:themeColor="text1"/>
          <w:sz w:val="20"/>
          <w:szCs w:val="20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Контрольно-счетной палатой в 2025 году в рамках внешнего муниципального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финансового контроля будут проведены контрольные и экспертно-аналитические мероприятия в целях: контроля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 расходами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компенсацию выпадающих доходов организациям, предоставляющим гражданам, проживающим в жилищном фонде деревянного исполнения 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специализированном жилищном фонде, жилищные услуги по тарифам, не обеспечивающим возмещение издержек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проверки достоверности отражения просроченной дебиторской и кредиторской задолженности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рамках проведения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нешней проверки бюджетной отчетности ГАБС;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проверок расходования средств местного бюджета в сферах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образования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молодежной политики;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аудита эффективности </w:t>
      </w:r>
      <w:r>
        <w:rPr>
          <w:rStyle w:val="987"/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white"/>
        </w:rPr>
        <w:t xml:space="preserve">расходов на организацию подвоза учащихся муниципальных образовательных организаций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аудита эффективности использования земельных ресурсов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Новый Уренгой;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анализ полноты поступлений в местный бюджет платы по договорам на размещение нестационарных торговых объектов.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white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План проведения проверок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при осущест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влении закупок товаров, работ, услуг для нужд заказчиков на 202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5 год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сформирован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 применением риск-ориентированного подхода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отношении                 15 муниципальных заказчиков 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2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 Администрации города Новый Уренгой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, 12 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white"/>
        </w:rPr>
        <w:t xml:space="preserve">муниципальных учреждений, 1 муниципальное унитарное предприятие)</w:t>
      </w: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Univers">
    <w:panose1 w:val="020B0606020202030204"/>
  </w:font>
  <w:font w:name="Calibri">
    <w:panose1 w:val="020F05020202040302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TimesNewRoman">
    <w:panose1 w:val="02020603050405020304"/>
  </w:font>
  <w:font w:name="Times New Roman">
    <w:panose1 w:val="02020603050405020304"/>
  </w:font>
  <w:font w:name="Impact">
    <w:panose1 w:val="020B080603090205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11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3">
    <w:name w:val="Heading 1"/>
    <w:basedOn w:val="961"/>
    <w:next w:val="961"/>
    <w:link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4">
    <w:name w:val="Heading 1 Char"/>
    <w:link w:val="783"/>
    <w:uiPriority w:val="9"/>
    <w:rPr>
      <w:rFonts w:ascii="Arial" w:hAnsi="Arial" w:eastAsia="Arial" w:cs="Arial"/>
      <w:sz w:val="40"/>
      <w:szCs w:val="40"/>
    </w:rPr>
  </w:style>
  <w:style w:type="paragraph" w:styleId="785">
    <w:name w:val="Heading 2"/>
    <w:basedOn w:val="961"/>
    <w:next w:val="961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6">
    <w:name w:val="Heading 2 Char"/>
    <w:link w:val="785"/>
    <w:uiPriority w:val="9"/>
    <w:rPr>
      <w:rFonts w:ascii="Arial" w:hAnsi="Arial" w:eastAsia="Arial" w:cs="Arial"/>
      <w:sz w:val="34"/>
    </w:rPr>
  </w:style>
  <w:style w:type="paragraph" w:styleId="787">
    <w:name w:val="Heading 3"/>
    <w:basedOn w:val="961"/>
    <w:next w:val="961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8">
    <w:name w:val="Heading 3 Char"/>
    <w:link w:val="787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961"/>
    <w:next w:val="961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961"/>
    <w:next w:val="961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961"/>
    <w:next w:val="961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961"/>
    <w:next w:val="961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961"/>
    <w:next w:val="961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961"/>
    <w:next w:val="961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961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before="0" w:after="0" w:line="240" w:lineRule="auto"/>
    </w:pPr>
  </w:style>
  <w:style w:type="paragraph" w:styleId="803">
    <w:name w:val="Title"/>
    <w:basedOn w:val="961"/>
    <w:next w:val="961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>
    <w:name w:val="Title Char"/>
    <w:link w:val="803"/>
    <w:uiPriority w:val="10"/>
    <w:rPr>
      <w:sz w:val="48"/>
      <w:szCs w:val="48"/>
    </w:rPr>
  </w:style>
  <w:style w:type="paragraph" w:styleId="805">
    <w:name w:val="Subtitle"/>
    <w:basedOn w:val="961"/>
    <w:next w:val="961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>
    <w:name w:val="Subtitle Char"/>
    <w:link w:val="805"/>
    <w:uiPriority w:val="11"/>
    <w:rPr>
      <w:sz w:val="24"/>
      <w:szCs w:val="24"/>
    </w:rPr>
  </w:style>
  <w:style w:type="paragraph" w:styleId="807">
    <w:name w:val="Quote"/>
    <w:basedOn w:val="961"/>
    <w:next w:val="961"/>
    <w:link w:val="808"/>
    <w:uiPriority w:val="29"/>
    <w:qFormat/>
    <w:pPr>
      <w:ind w:left="720" w:right="720"/>
    </w:pPr>
    <w:rPr>
      <w:i/>
    </w:rPr>
  </w:style>
  <w:style w:type="character" w:styleId="808">
    <w:name w:val="Quote Char"/>
    <w:link w:val="807"/>
    <w:uiPriority w:val="29"/>
    <w:rPr>
      <w:i/>
    </w:rPr>
  </w:style>
  <w:style w:type="paragraph" w:styleId="809">
    <w:name w:val="Intense Quote"/>
    <w:basedOn w:val="961"/>
    <w:next w:val="961"/>
    <w:link w:val="8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Intense Quote Char"/>
    <w:link w:val="809"/>
    <w:uiPriority w:val="30"/>
    <w:rPr>
      <w:i/>
    </w:rPr>
  </w:style>
  <w:style w:type="paragraph" w:styleId="811">
    <w:name w:val="Header"/>
    <w:basedOn w:val="961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2">
    <w:name w:val="Header Char"/>
    <w:link w:val="811"/>
    <w:uiPriority w:val="99"/>
  </w:style>
  <w:style w:type="paragraph" w:styleId="813">
    <w:name w:val="Footer"/>
    <w:basedOn w:val="961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Footer Char"/>
    <w:link w:val="813"/>
    <w:uiPriority w:val="99"/>
  </w:style>
  <w:style w:type="paragraph" w:styleId="815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>
    <w:name w:val="Caption Char"/>
    <w:basedOn w:val="815"/>
    <w:link w:val="813"/>
    <w:uiPriority w:val="99"/>
  </w:style>
  <w:style w:type="table" w:styleId="8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3">
    <w:name w:val="Hyperlink"/>
    <w:uiPriority w:val="99"/>
    <w:unhideWhenUsed/>
    <w:rPr>
      <w:color w:val="0000ff" w:themeColor="hyperlink"/>
      <w:u w:val="single"/>
    </w:r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next w:val="961"/>
    <w:link w:val="961"/>
    <w:qFormat/>
    <w:rPr>
      <w:sz w:val="28"/>
      <w:szCs w:val="28"/>
      <w:lang w:val="ru-RU" w:eastAsia="ru-RU" w:bidi="ar-SA"/>
    </w:rPr>
  </w:style>
  <w:style w:type="character" w:styleId="962">
    <w:name w:val="Основной шрифт абзаца"/>
    <w:next w:val="962"/>
    <w:link w:val="961"/>
    <w:semiHidden/>
  </w:style>
  <w:style w:type="table" w:styleId="963">
    <w:name w:val="Обычная таблица"/>
    <w:next w:val="963"/>
    <w:link w:val="961"/>
    <w:semiHidden/>
    <w:tblPr/>
  </w:style>
  <w:style w:type="numbering" w:styleId="964">
    <w:name w:val="Нет списка"/>
    <w:next w:val="964"/>
    <w:link w:val="961"/>
    <w:semiHidden/>
  </w:style>
  <w:style w:type="paragraph" w:styleId="965">
    <w:name w:val="Верхний колонтитул"/>
    <w:basedOn w:val="961"/>
    <w:next w:val="965"/>
    <w:link w:val="970"/>
    <w:pPr>
      <w:tabs>
        <w:tab w:val="center" w:pos="4153" w:leader="none"/>
        <w:tab w:val="right" w:pos="8306" w:leader="none"/>
      </w:tabs>
    </w:pPr>
  </w:style>
  <w:style w:type="table" w:styleId="966">
    <w:name w:val="Сетка таблицы"/>
    <w:basedOn w:val="963"/>
    <w:next w:val="966"/>
    <w:link w:val="961"/>
    <w:tblPr/>
  </w:style>
  <w:style w:type="paragraph" w:styleId="967">
    <w:name w:val="ConsPlusNormal"/>
    <w:next w:val="967"/>
    <w:link w:val="9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8">
    <w:name w:val="ConsPlusTitle"/>
    <w:next w:val="968"/>
    <w:link w:val="961"/>
    <w:rPr>
      <w:b/>
      <w:bCs/>
      <w:sz w:val="24"/>
      <w:szCs w:val="24"/>
      <w:lang w:val="ru-RU" w:eastAsia="ru-RU" w:bidi="ar-SA"/>
    </w:rPr>
  </w:style>
  <w:style w:type="paragraph" w:styleId="969">
    <w:name w:val="Знак"/>
    <w:basedOn w:val="961"/>
    <w:next w:val="969"/>
    <w:link w:val="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70">
    <w:name w:val="Верхний колонтитул Знак"/>
    <w:basedOn w:val="962"/>
    <w:next w:val="970"/>
    <w:link w:val="965"/>
    <w:rPr>
      <w:sz w:val="28"/>
      <w:szCs w:val="28"/>
      <w:lang w:val="ru-RU" w:eastAsia="ru-RU" w:bidi="ar-SA"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  <w:style w:type="table" w:styleId="973" w:default="1">
    <w:name w:val="Normal Table"/>
    <w:uiPriority w:val="99"/>
    <w:semiHidden/>
    <w:unhideWhenUsed/>
    <w:tblPr/>
  </w:style>
  <w:style w:type="paragraph" w:styleId="974" w:customStyle="1">
    <w:name w:val="Body Text Indent 2"/>
    <w:basedOn w:val="933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6" w:customStyle="1">
    <w:name w:val="ConsTitle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77" w:customStyle="1">
    <w:name w:val="Bespoke Basic"/>
    <w:basedOn w:val="946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paragraph" w:styleId="978" w:customStyle="1">
    <w:name w:val="Абзац списка,Абзац списка_мой,маркированный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9" w:customStyle="1">
    <w:name w:val="western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Univers" w:hAnsi="Univers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1" w:customStyle="1">
    <w:name w:val="Акты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Заголовок 1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Impact" w:hAnsi="Impact" w:eastAsia="Impact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83" w:customStyle="1">
    <w:name w:val="Основной текст + 12 pt"/>
    <w:rPr>
      <w:rFonts w:ascii="Times New Roman" w:hAnsi="Times New Roman" w:eastAsia="Times New Roman"/>
      <w:color w:val="000000"/>
      <w:spacing w:val="7"/>
      <w:position w:val="0"/>
      <w:sz w:val="24"/>
      <w:szCs w:val="24"/>
      <w:u w:val="none"/>
      <w:lang w:val="ru-RU"/>
    </w:rPr>
  </w:style>
  <w:style w:type="character" w:styleId="984" w:customStyle="1">
    <w:name w:val="docdata"/>
  </w:style>
  <w:style w:type="character" w:styleId="985" w:customStyle="1">
    <w:name w:val="Гиперссылка"/>
    <w:rPr>
      <w:color w:val="0563c1"/>
      <w:u w:val="single"/>
    </w:rPr>
  </w:style>
  <w:style w:type="paragraph" w:styleId="986" w:customStyle="1">
    <w:name w:val="Normal (Web)"/>
    <w:pPr>
      <w:contextualSpacing w:val="0"/>
      <w:ind w:left="0" w:right="0" w:firstLine="0"/>
      <w:jc w:val="left"/>
      <w:keepLines w:val="0"/>
      <w:keepNext w:val="0"/>
      <w:pageBreakBefore w:val="0"/>
      <w:spacing w:before="30" w:beforeAutospacing="0" w:after="3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87" w:customStyle="1">
    <w:name w:val="Строгий"/>
    <w:uiPriority w:val="22"/>
    <w:qFormat/>
    <w:rPr>
      <w:rFonts w:ascii="Verdana" w:hAnsi="Verdana"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Relationship Id="rId11" Type="http://schemas.openxmlformats.org/officeDocument/2006/relationships/oleObject" Target="embeddings/oleObject1.bin"/><Relationship Id="rId12" Type="http://schemas.openxmlformats.org/officeDocument/2006/relationships/hyperlink" Target="https://internet.garant.ru/#/document/12125267/entry/1514" TargetMode="External"/><Relationship Id="rId13" Type="http://schemas.openxmlformats.org/officeDocument/2006/relationships/hyperlink" Target="https://nur.yanao.ru/documents/active/27962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393</cp:revision>
  <dcterms:created xsi:type="dcterms:W3CDTF">2008-11-10T06:13:00Z</dcterms:created>
  <dcterms:modified xsi:type="dcterms:W3CDTF">2025-03-27T11:38:23Z</dcterms:modified>
  <cp:version>786432</cp:version>
</cp:coreProperties>
</file>