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jc w:val="center"/>
        <w:widowControl w:val="off"/>
        <w:rPr>
          <w:rFonts w:ascii="Liberation Sans" w:hAnsi="Liberation Sans" w:cs="Liberation Sans"/>
          <w:highlight w:val="white"/>
        </w:rPr>
      </w:pPr>
      <w:r>
        <w:rPr>
          <w:rFonts w:ascii="Liberation Sans" w:hAnsi="Liberation Sans" w:cs="Liberation Sans"/>
          <w:highlight w:val="white"/>
        </w:rPr>
        <w:object w:dxaOrig="4943" w:dyaOrig="5564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60pt;height:60.10pt;mso-wrap-distance-left:0.00pt;mso-wrap-distance-top:0.00pt;mso-wrap-distance-right:0.00pt;mso-wrap-distance-bottom:0.00pt;" filled="f" stroked="f">
            <v:path textboxrect="0,0,0,0"/>
            <v:imagedata r:id="rId14" o:title=""/>
          </v:shape>
          <o:OLEObject DrawAspect="Content" r:id="rId15" ObjectID="_1525040" ProgID="" ShapeID="_x0000_i0" Type="Embed"/>
        </w:object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tbl>
      <w:tblPr>
        <w:tblW w:w="935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widowControl w:val="off"/>
              <w:tabs>
                <w:tab w:val="clear" w:pos="4677" w:leader="none"/>
                <w:tab w:val="right" w:pos="9213" w:leader="none"/>
                <w:tab w:val="clear" w:pos="9355" w:leader="none"/>
              </w:tabs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  <w:highlight w:val="white"/>
              </w:rPr>
            </w:r>
          </w:p>
          <w:p>
            <w:pPr>
              <w:pStyle w:val="926"/>
              <w:jc w:val="center"/>
              <w:widowControl w:val="off"/>
              <w:tabs>
                <w:tab w:val="clear" w:pos="4677" w:leader="none"/>
                <w:tab w:val="right" w:pos="9213" w:leader="none"/>
                <w:tab w:val="clear" w:pos="9355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4" w:type="dxa"/>
            <w:vAlign w:val="top"/>
            <w:textDirection w:val="lrTb"/>
            <w:noWrap w:val="false"/>
          </w:tcPr>
          <w:p>
            <w:pPr>
              <w:pStyle w:val="926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z w:val="4"/>
                <w:szCs w:val="4"/>
                <w:highlight w:val="white"/>
              </w:rPr>
            </w:r>
          </w:p>
        </w:tc>
      </w:tr>
    </w:tbl>
    <w:p>
      <w:pPr>
        <w:pStyle w:val="767"/>
        <w:jc w:val="center"/>
        <w:widowControl w:val="off"/>
        <w:rPr>
          <w:rFonts w:ascii="Liberation Sans" w:hAnsi="Liberation Sans" w:cs="Liberation Sans"/>
          <w:b/>
          <w:bCs/>
          <w:sz w:val="20"/>
          <w:szCs w:val="20"/>
          <w:highlight w:val="white"/>
        </w:rPr>
      </w:pPr>
      <w:r>
        <w:rPr>
          <w:rFonts w:ascii="Liberation Sans" w:hAnsi="Liberation Sans" w:cs="Liberation Sans"/>
          <w:b/>
          <w:bCs/>
          <w:sz w:val="20"/>
          <w:szCs w:val="20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20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20"/>
          <w:highlight w:val="white"/>
        </w:rPr>
      </w:r>
    </w:p>
    <w:p>
      <w:pPr>
        <w:pStyle w:val="767"/>
        <w:jc w:val="center"/>
        <w:widowControl w:val="off"/>
        <w:tabs>
          <w:tab w:val="clear" w:pos="7143" w:leader="none"/>
          <w:tab w:val="clear" w:pos="14287" w:leader="none"/>
        </w:tabs>
        <w:rPr>
          <w:rFonts w:ascii="Liberation Sans" w:hAnsi="Liberation Sans" w:cs="Liberation Sans"/>
          <w:b/>
          <w:bCs/>
          <w:sz w:val="36"/>
          <w:szCs w:val="36"/>
          <w:highlight w:val="white"/>
        </w:rPr>
      </w:pP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  <w:t xml:space="preserve">РЕШЕНИЕ № 395</w:t>
      </w: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36"/>
          <w:szCs w:val="36"/>
          <w:highlight w:val="white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36"/>
          <w:highlight w:val="white"/>
        </w:rPr>
      </w:pP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  <w:r>
        <w:rPr>
          <w:rFonts w:ascii="Liberation Sans" w:hAnsi="Liberation Sans" w:cs="Liberation Sans"/>
          <w:b/>
          <w:bCs/>
          <w:sz w:val="20"/>
          <w:szCs w:val="36"/>
          <w:highlight w:val="white"/>
        </w:rPr>
      </w:r>
    </w:p>
    <w:p>
      <w:pPr>
        <w:pStyle w:val="767"/>
        <w:widowControl w:val="off"/>
        <w:rPr>
          <w:rFonts w:ascii="Liberation Sans" w:hAnsi="Liberation Sans" w:cs="Liberation Sans"/>
          <w:bCs/>
          <w:i/>
          <w:highlight w:val="white"/>
        </w:rPr>
      </w:pPr>
      <w:r>
        <w:rPr>
          <w:rFonts w:ascii="Liberation Sans" w:hAnsi="Liberation Sans" w:cs="Liberation Sans"/>
          <w:b/>
          <w:bCs/>
          <w:sz w:val="28"/>
          <w:szCs w:val="28"/>
          <w:highlight w:val="none"/>
        </w:rPr>
        <w:t xml:space="preserve">27.03.2025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  <w:t xml:space="preserve">                                                             г. Новый Уренгой</w:t>
      </w:r>
      <w:r>
        <w:rPr>
          <w:rFonts w:ascii="Liberation Sans" w:hAnsi="Liberation Sans" w:cs="Liberation Sans"/>
          <w:bCs/>
          <w:i/>
          <w:highlight w:val="white"/>
        </w:rPr>
      </w:r>
      <w:r>
        <w:rPr>
          <w:rFonts w:ascii="Liberation Sans" w:hAnsi="Liberation Sans" w:cs="Liberation Sans"/>
          <w:bCs/>
          <w:i/>
          <w:highlight w:val="white"/>
        </w:rPr>
      </w:r>
    </w:p>
    <w:p>
      <w:pPr>
        <w:pStyle w:val="767"/>
        <w:widowControl w:val="off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i/>
          <w:sz w:val="28"/>
          <w:szCs w:val="28"/>
          <w:highlight w:val="white"/>
        </w:rPr>
        <w:t xml:space="preserve">  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tbl>
      <w:tblPr>
        <w:tblW w:w="9462" w:type="dxa"/>
        <w:tblLayout w:type="fixed"/>
        <w:tblLook w:val="0000" w:firstRow="0" w:lastRow="0" w:firstColumn="0" w:lastColumn="0" w:noHBand="0" w:noVBand="0"/>
      </w:tblPr>
      <w:tblGrid>
        <w:gridCol w:w="4590"/>
        <w:gridCol w:w="57"/>
        <w:gridCol w:w="4778"/>
        <w:gridCol w:w="38"/>
      </w:tblGrid>
      <w:tr>
        <w:tblPrEx/>
        <w:trPr>
          <w:trHeight w:val="531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62" w:type="dxa"/>
            <w:textDirection w:val="lrTb"/>
            <w:noWrap w:val="false"/>
          </w:tcPr>
          <w:p>
            <w:pPr>
              <w:ind w:firstLine="567"/>
              <w:jc w:val="center"/>
              <w:rPr>
                <w:rFonts w:ascii="Liberation Sans" w:hAnsi="Liberation Sans" w:cs="Liberation Sans"/>
                <w:b/>
                <w:bCs/>
                <w:strike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b/>
                <w:bCs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б утверждении Положения о порядке организации 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br/>
              <w:t xml:space="preserve">и проведения публичных слушаний 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в 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гор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о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д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е</w:t>
            </w:r>
            <w:r>
              <w:rPr>
                <w:rFonts w:ascii="Liberation Sans" w:hAnsi="Liberation Sans" w:cs="Liberation Sans"/>
                <w:b/>
                <w:sz w:val="28"/>
                <w:szCs w:val="28"/>
                <w:highlight w:val="white"/>
              </w:rPr>
              <w:t xml:space="preserve"> Новый Уренгой </w:t>
            </w:r>
            <w:r>
              <w:rPr>
                <w:rFonts w:ascii="Liberation Sans" w:hAnsi="Liberation Sans" w:cs="Liberation Sans"/>
                <w:b/>
                <w:bCs/>
                <w:strike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b/>
                <w:bCs/>
                <w:strike/>
                <w:sz w:val="28"/>
                <w:szCs w:val="28"/>
                <w:highlight w:val="white"/>
              </w:rPr>
            </w:r>
          </w:p>
        </w:tc>
      </w:tr>
    </w:tbl>
    <w:p>
      <w:pPr>
        <w:pStyle w:val="767"/>
        <w:jc w:val="center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67"/>
        <w:jc w:val="center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67"/>
        <w:jc w:val="center"/>
        <w:widowControl w:val="off"/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Федеральн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закон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от 06.10.2003 № 131-ФЗ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«Об общих принципах организации местного самоуправления                        в Российской Федерации», руководствуясь Уставом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городского округа 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 Новый Уренгой Ямало-Ненецкого автономного округа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Дума  города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РЕШИЛА: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Утвердить Положение о порядке организации и проведения публичных слушаний 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Новый Уренгой                                    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согласно приложению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к настоящему решению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Признать утратившими силу решения Городской Думы муниципального образования город Новый Уренгой: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– от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31.03.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20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2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 № 135 «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б утверждении Положения о порядке организации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и проведения публичных слушаний 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в муниципальном образовании гор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д Новый Уренгой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b w:val="0"/>
          <w:bCs w:val="0"/>
          <w:sz w:val="28"/>
          <w:szCs w:val="28"/>
          <w:highlight w:val="white"/>
        </w:rPr>
        <w:t xml:space="preserve">;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от 27.06.2024 № 317 «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внесении изменений в решение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Городской Думы муниципального образования город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31.03.2022 № 135».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b/>
          <w:bCs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Разместить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b/>
          <w:bCs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Решение вступает в силу со дня его официального опубликования.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4"/>
          <w:szCs w:val="24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88"/>
        <w:gridCol w:w="1068"/>
        <w:gridCol w:w="1919"/>
      </w:tblGrid>
      <w:tr>
        <w:tblPrEx/>
        <w:trPr/>
        <w:tc>
          <w:tcPr>
            <w:tcW w:w="63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W w:w="106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  А.А. Колодин</w:t>
            </w: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638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Председатель Думы 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/>
          </w:p>
        </w:tc>
        <w:tc>
          <w:tcPr>
            <w:tcW w:w="1068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</w:tc>
        <w:tc>
          <w:tcPr>
            <w:tcW w:w="1919" w:type="dxa"/>
            <w:textDirection w:val="lrTb"/>
            <w:noWrap w:val="false"/>
          </w:tcPr>
          <w:p>
            <w:pPr>
              <w:jc w:val="both"/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pPr>
            <w:r>
              <w:rPr>
                <w:rFonts w:ascii="Liberation Sans" w:hAnsi="Liberation Sans" w:eastAsia="Calibri" w:cs="Liberation Sans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Liberation Sans" w:hAnsi="Liberation Sans" w:eastAsia="Calibri" w:cs="Liberation Sans"/>
                <w:sz w:val="28"/>
                <w:szCs w:val="28"/>
                <w:highlight w:val="white"/>
              </w:rPr>
              <w:t xml:space="preserve">П.М. Шумова</w:t>
            </w:r>
            <w:r>
              <w:rPr>
                <w:rFonts w:ascii="Liberation Sans" w:hAnsi="Liberation Sans" w:cs="Liberation Sans"/>
                <w:sz w:val="28"/>
                <w:szCs w:val="28"/>
                <w:highlight w:val="white"/>
              </w:rPr>
            </w:r>
            <w:r/>
          </w:p>
        </w:tc>
      </w:tr>
    </w:tbl>
    <w:p>
      <w:pPr>
        <w:pStyle w:val="923"/>
        <w:ind w:firstLine="0"/>
        <w:rPr>
          <w:rFonts w:ascii="Liberation Sans" w:hAnsi="Liberation Sans" w:cs="Liberation Sans"/>
          <w:highlight w:val="white"/>
        </w:rPr>
        <w:sectPr>
          <w:headerReference w:type="default" r:id="rId9"/>
          <w:headerReference w:type="first" r:id="rId10"/>
          <w:footerReference w:type="first" r:id="rId11"/>
          <w:footnotePr/>
          <w:endnotePr/>
          <w:type w:val="nextPage"/>
          <w:pgSz w:w="11907" w:h="16840" w:orient="portrait"/>
          <w:pgMar w:top="963" w:right="851" w:bottom="709" w:left="1701" w:header="182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highlight w:val="white"/>
        </w:rPr>
      </w:r>
      <w:r>
        <w:rPr>
          <w:rFonts w:ascii="Liberation Sans" w:hAnsi="Liberation Sans" w:cs="Liberation Sans"/>
          <w:highlight w:val="white"/>
        </w:rPr>
      </w:r>
    </w:p>
    <w:p>
      <w:pPr>
        <w:ind w:left="6236" w:right="0" w:firstLine="0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Приложение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6236" w:right="0" w:firstLine="0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6236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к решению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Думы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6236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6236" w:right="0" w:firstLine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от  27.03.2025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№ 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395</w:t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Положение о порядке организации и проведения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Новый Уренгой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trike/>
          <w:sz w:val="28"/>
          <w:szCs w:val="28"/>
          <w:highlight w:val="white"/>
        </w:rPr>
      </w:pP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 Общие положения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Настоящее Положение 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порядке организации и проведения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де Новый Уренгой                                    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– Положение) разработано в соответствии с Конституцией Российской Федерации, Федеральным законом от 06.10.2003                        № 131-ФЗ «Об общих принципах организации местного самоуправления в Российской Федерации», Уставом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городского округа 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 Новый Уренгой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Ямало-Ненецкого автономного округа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определяет порядок организации и проведения публичных слушаний на территории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гор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направлен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 реализацию права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население, жители)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 осуществление местного самоуправления посредством участия         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публичных слушаниях.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Действие настоящего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оложени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распространяется                          на порядок проведения публичных слушаний по вопросам регулирования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градостроительной деятельности.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1.2. Публичные слушания проводятся в очной форме,                         а в случаях, предусмотренных настоящим Положением, – в заочной форме.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Организационно-техническое и информационное обеспечение проведения публичных слушаний осуществляет Администрация города Новый Уренгой (далее – Администрация города).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Источником финансирования расходов на проведение публичных слушаний являются средства бюджета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если иное не установлено законодательством Российской Федерации.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 Основные понятия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настоящем Положении используются следующие основные понятия: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форма реализации прав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участие в процессе принятия решений органами местного самоуправления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путем публичного обсуждения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проектов муниципальных правовых актов </w:t>
      </w:r>
      <w:r>
        <w:rPr>
          <w:rFonts w:ascii="Liberation Sans" w:hAnsi="Liberation Sans" w:cs="Liberation Sans"/>
          <w:strike w:val="0"/>
          <w:sz w:val="28"/>
          <w:szCs w:val="28"/>
          <w:highlight w:val="white"/>
        </w:rPr>
        <w:t xml:space="preserve">города </w:t>
      </w:r>
      <w:r>
        <w:rPr>
          <w:rFonts w:ascii="Liberation Sans" w:hAnsi="Liberation Sans" w:cs="Liberation Sans"/>
          <w:strike w:val="0"/>
          <w:sz w:val="28"/>
          <w:szCs w:val="28"/>
          <w:highlight w:val="white"/>
        </w:rPr>
        <w:t xml:space="preserve">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принимаемых по вопросам местного значения (далее – проект муниципального правового акта)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Представитель общественности – физ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ическое лицо, а также орган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изации, ассоциации, группы или иные объединения,                            за исключением лиц, принимающих решение по вопросам публичных слушаний в силу служебных обязанностей, и лиц, представляющих органы государственной власти и местного самоуправления.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специально сформированный орган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местного самоуправления в целях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подготовки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организации проведения публичных слушаний коллегиальный орган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Заключение о результатах публичных слушаний – рекомендации (предложения) для принятия решений органами местного самоуправления,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утвержденн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 Цели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задачи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проведения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проводятся в целях: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Обеспечения гласности и соблюдения интересов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подготовке решений органами местного самоуправления по вопросам местного значения.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Информирования населения и органов местного самоуправления о фактах и существующих мнениях по обсуждаемым вопросам.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Выявления общественного мнения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вопросам, выносимым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Подготовки предложений и рекомендаций для принятия решений органами местного самоуправления по вопросам,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ыносимым на публичные слушания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3.1.5. 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Осуществления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взаимодействия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органов местного самоуправления с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населением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 Задачами публичных слушаний являются: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3.2.1. Доведение до населения полной и точной информации                  о проектах муниципальных правовых актов, выносимых 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3.2.2. Свободное и добровольное обсуждение населением проектов муниципальных правовых актов, выносимых 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3.2.3. Оценка отношения населения к рассматриваемым проектам муниципальных правовых актов,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выносимым 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3.2.4. Выявление предложений и рекомендаций со стороны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принятии наиболее важных решений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органами местного самоуправления.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 Вопросы, выносимые на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слушани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 должны выноситься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Устава городского округа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 Новый Уренгой Ямало-Ненецкого автономного округа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Устав)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а также проект муниципального правового акта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внесении изменений и дополнений   в Устав, кроме случаев, когда в Устав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вносятся изменения в форме точного воспроизведения положений </w:t>
      </w:r>
      <w:hyperlink r:id="rId16" w:tooltip="consultantplus://offline/ref=9F988B74DC23806DE0FFB6A84E0885947C9AFD80502661D41B26A0G5t0F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Конституции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Российской Федерации, федеральных законов, Устава (Основного закона)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автономного округа или законов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Ямало-Ненецкого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автономного округа в целях приведения Устава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соответствие                     с этими нормативными правовыми актами.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бюджета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отчет о его исполнении.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стратегии социально-экономического развития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Вопросы о преобразовани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 исключением случаев, если в соответствии со </w:t>
      </w:r>
      <w:hyperlink r:id="rId17" w:tooltip="Федеральный закон от 06.10.2003 N 131-ФЗ (ред. от 30.12.2015) &quot;Об общих принципах организации местного самоуправления в Российской Федерации&quot; (с изм. и доп., вступ. в силу с 01.01.2016){КонсультантПлюс}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статьей 13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Федерального закона от 06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.10.2003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№ 131-ФЗ «Об общих принципах организации местного самоуправления в Российской Федерации» для преобразования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муниципального образования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ребуется получение согласия населения, выраженного пут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 голосования либо на сходах граждан.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4.2. 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 публичные слушания могут вы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носиться иные проекты муниципальных правовых актов в случаях, предусмотренных законодательством Российской Федерации, а также в случае выдвижения инициативы о проведении публичных слушаний                              в соответствии с настоящим Положением.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4.3. Допускается одновременное проведение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нескольким проектам муниципальных правовых актов, если это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 препятствует всестороннему и полному обсуждению каждого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проекта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му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ниципального правового акта.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 Инициат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ива проведения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инициативой проведения публичных слушаний могут выступать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насел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Дума 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Глава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Глава города)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Инициаторами проведения публичн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ых слушаний от имени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могут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выступать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5.2.1. Инициативная группа граждан в составе не менее трех человек, достигших возраста 18 лет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инициативная группа граждан).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5.2.2. 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Органы территориального общественного самоуправления.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 Назначение публичных слушаний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слушания, проводимые по инициативе населения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или Думы города Новый Уренгой, назначаются решением Думы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слушания, проводимые по инициативе Главы города, назначаются постановлением Администрации города.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решении (постановлении) о назначении публичных слушаний указываются: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6.3.1. Вопросы, выносимые 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Сведения об инициаторах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Состав организационного комитета по проведению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6.4.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состав организационного комитета на паритетных началах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численному составу должны быть включены: депутаты Думы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должностные лица Администрации города, представители общественности, интересы которых затрагиваются при принятии решения. В состав организационного комитета могут быть включены специалисты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выполнения консультационных работ                    по обсу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ждаемым вопросам.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Проект мун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иципального правового акта, для обсужд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ения которого назначены публичные слушания, должен быть размещен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                      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сетевом издании «Импульс Севера»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(далее – сетевое издание)                    и на официальном сайте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Администрации 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(далее – официальный сайт Администрации города) одновременно                с решени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(постановлением)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 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азначении публичных слушаний либо не позднее 5 дней с момента опубликования этого решения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(постановления)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Одновременно с проектом Устава, проектом муницип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ального правового акта о внесении изменений и дополнений в Устав размещению подлежит установленный Думой города Новый Уренгой порядок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учета предложений по проекту Устава, проекту муниципального правового акта о внесении изменений и дополнений    в Устав, а также порядок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участия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граждан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публичных слушаниях, кроме случаев, когда в Устав вносятся изменения в форме точного воспроизведения положений </w:t>
      </w:r>
      <w:hyperlink r:id="rId18" w:tooltip="consultantplus://offline/ref=9F988B74DC23806DE0FFB6A84E0885947C9AFD80502661D41B26A0G5t0F" w:history="1">
        <w:r>
          <w:rPr>
            <w:rFonts w:ascii="Liberation Sans" w:hAnsi="Liberation Sans" w:cs="Liberation Sans"/>
            <w:sz w:val="28"/>
            <w:szCs w:val="28"/>
            <w:highlight w:val="white"/>
          </w:rPr>
          <w:t xml:space="preserve">Конституции</w:t>
        </w:r>
      </w:hyperlink>
      <w:r>
        <w:rPr>
          <w:rFonts w:ascii="Liberation Sans" w:hAnsi="Liberation Sans" w:cs="Liberation Sans"/>
          <w:sz w:val="28"/>
          <w:szCs w:val="28"/>
          <w:highlight w:val="white"/>
        </w:rPr>
        <w:t xml:space="preserve"> Российской Федерации, федеральных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законов, Устава (Основного закона) Ямало-Ненецкого автономного округа или законов Ямало-Ненецкого автономного округа в целях приведения Уста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ва в соответствие с этими нормативными правовыми актами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6.6.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Глава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или Дума города Новый Уренгой, принявшие решение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 назначении публичных слушаний, либо организационный комитет должны заблаговременно, не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позднее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чем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за 7 дней                        до проведения публичных слушаний разместить </w:t>
      </w:r>
      <w:r>
        <w:rPr>
          <w:rFonts w:ascii="Liberation Sans" w:hAnsi="Liberation Sans" w:eastAsia="Liberation Serif" w:cs="Liberation Sans"/>
          <w:sz w:val="28"/>
          <w:szCs w:val="28"/>
          <w:highlight w:val="white"/>
        </w:rPr>
        <w:t xml:space="preserve">в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сетевом издании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         и 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информацию о месте                     и времени их проведения, все необходимые материалы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по рассматриваемому вопросу, включая проекты муниципальных правовых актов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Информация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месте и времени проведения публичных слушаний должн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содержать следующие сведения: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Какой орган проводит публичные слушания и по проекту какого муниципального правового акта.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Дата (даты)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ремя начала и окончания (в час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ах и минутах), 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есто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проведения публичных слушаний в очной форме.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6.7.3. Временной период проведения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заочной форме.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Сроки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способы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подачи предложений и рекомендаций заинтересованных лиц по обсуждаемым вопросам.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Адреса сетевого издания и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на которых размещаются проект муниципального правового акта, выносимый на публичные слушания, адрес места нахождения и адрес электронной почты организационного комитета, иные документы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принятия решения о назначении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инициативе населения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его инициаторы направляют в Думу города Новый Уренгой: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назначении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публичных слушаний                             с указанием темы и обоснованием ее общественной значимости.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подписывается всеми членами инициативной группы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указанием лица, в адрес которого должно быть направлено сообщение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результатах его рассмотрения.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жителей в поддержку назначения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подписями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менее ста жителей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достигших возраста                   18 лет, оформленный согласно приложению к настоящему Положению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кандидатур для включения в состав организационного комитета.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6.8.4. 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Протокол собрания инициативной группы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граждан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                      на котором было принято решение о выдвижении инициативы проведения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Ходатайство о назначении публичных слушаний, внесенное населением, рассматривается Думой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на очередном ее заседании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соответствии с Регламентом Думы города Новый Уренгой.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6.10.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Решение о назначении публичных слушаний принимается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заседании Думы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большинством голосов                     от установленной численности депутатов.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 Подготовка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7.1. Организация и проведение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как в очной,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так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осуществляется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Дума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или Администрация города                  не позднее 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дней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дня принятия решения о назначении публичных слушаний организует проведение первого заседания организационного комитета, на котором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 числа инициаторов публичных слушаний избирают председателя организационного комитета и определяют его полномочия по организации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проведению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проводит следующие мероприятия: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Разрабатывает план работы по подготовке и проведению публичных слушаний, распределяет обязанности среди членов организационного комитета.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перечень должностных лиц, специалистов, организаций и других представителей общественности, приглашаемых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участию в публичных слушаниях в качестве экспертов, и направляет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им официальные обращения с просьбой дать свои предложения                   по вопросам, выносимым на обсуждение.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Содействует участникам публичных слушаний в получении информации, необходимой для подготовки рекомендаций по вопросам публичных слушаний и в представлении информации 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7.3.4. 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ринимает и осуществляет учет поступивших предложений, замечаний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период срока приема предложений и замечаний к проекту муниципального правового акта, указанного в решении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(постановлении)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 назначении публичных слуша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все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заинтересованные жи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тели,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достигшие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18-летнего возраста, имеют право вносить предложения и замечания</w:t>
      </w:r>
      <w:r>
        <w:rPr>
          <w:rFonts w:ascii="Liberation Sans" w:hAnsi="Liberation Sans" w:cs="Liberation Sans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проекту муниципального правового акта, подлежащему обсуждению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публичных слушаниях,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письменной форме, электронно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виде в адрес организационного комитета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посредством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либо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нарочно (лично, c предъявлением документа, удостоверяющего личность гражданина Российской Федерации)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Предложения, замечания, не содержащие информацию                        о заявителе (фамилия, имя, отчество (при наличии), дата рождения, место жительства или адрес электронной почты),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 также не касающиеся предмета публичных слушани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либо содержащие нецензурные либо оскорбительные выражения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либо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поступившие по истечении срока их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приема, рассмотрению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не подл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ежат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Проводит анализ материалов, представленных участниками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перечень конкретных вопросов, выносимых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обсуждение по теме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Составляет список лиц, участвующих в публичных слушаниях, включая состав приглашенных лиц.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8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Регистрирует участников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Назначает ведущего и секретаря публичных слушаний                   из числа членов организационного комитета для ведения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составления протокола.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Определяет докладчиков (содокладчиков)                                  по обсуждаемым вопросам.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7.3.1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Устанавливает порядок выступлений на публичных слушаниях.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Основной формой работы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является заседание. Заседание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правомочно, если на нем присутствует не менее половины                            от установленного числа членов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принимаются открытым голосованием большинством голосов от присутствующих                                 на заседании членов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комитета. Решения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 оформляются протоколом заседания.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7.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вправе создавать рабочие группы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решения конкретных организационных вопросов и привлекать                     к своей деятельности других лиц.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 Участники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8.1.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Участниками публичных слушаний с правом выступления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аргументации своих предложений являются жители, которые внесли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организационный комитет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порядке, предусмотренном           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унктом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7.3.4 настоящего Положения,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свои предложения                         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рекомендации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 обсуждаемым вопросам не позднее чем за 3 дня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 даты проведения публичных слушаний, а также приглашенные лица, депутаты Думы города Новый Уренгой и должностные лица Администрации города.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8.2.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Участниками публичных слушаний без права выступления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публичных слушаниях могут быть все жители, средства массовой информации и другие заинтересованные лица.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 Порядок посещения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жителями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Каждый житель вправе присутствовать и выступать                          на публичных слушаниях, пред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ставлять свои замечания                                и предложения по вынесенному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обсуждение проекту муниципального правового акта, в том числе посредством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Жители, желающие принять участие в публичных слушаниях, обязаны не позднее чем за 1 день до даты проведения публичных слушаний подать письменное заявление в организационный комитет.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Организационный комитет рассматривает поступившие заявления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составляет список желающих принять участие                              в публичных слушаниях согласно поданным заявлениям.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Жители, не подавшие письменные заявления о своем желании принять участие в публичных слушаниях либо подавшие такие заявления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нарушением срока, предусмотренного пунктом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настоящего Положения, допускаются в помещение, являющееся местом проведения публичных слушаний, только при наличии свободных мест.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Если в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публичных слушаниях желает участвовать значительное число граждан, а имеющиеся помещения не позволяют разместить всех участников, организующий публичные слушания орган (должностное лицо) местного самоуправления обязан обеспечить запись желающих выступить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 трансляцию публичных слушаний.                  В зале, где будут они проводиться,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в первую очередь размещаются лица, записавшиеся на выступления.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Информация о проведении трансляции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публичных слушаний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                в режиме реального времени на информационном ресурсе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  в информационно-телекоммуникационной сети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Интернет с указанием адресной ссылки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размещается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9.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Жители допускаются в помещение, являющееся местом проведения публичных слушаний, по предъявлен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документов, удостоверяющих личность.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 Проведение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в 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в очной форме проводятся в форме заседания.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должны проводиться в помещении, соответствующем санитарным нормам.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Перед началом проведения публичных слушаний организационный комитет проводит регистрацию участников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10.3. 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 не допускаются лица, находящиеся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состоянии алкогольного, наркотического или иного опьянения.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10.4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Ведущий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открывает слушания, оглашает тему и перечень вопросов, выносимых на публичные слушания, инициаторов их проведения, предложения организационного комитета по порядку проведения публичных слушаний, представляет секретаря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5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Секретарь ведет протокол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6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Время выступления определяется голосованием участников публичных слушаний исходя из количества выступающих и времени, отведенного для проведения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7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организации прений ведущий публичных слушаний объявляет вопрос, по которому проводится обсуждение,                                и предоставляет слово участникам публичных слушаний с правом выступления для аргументации своих предложений.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10.8. 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окончании выступления участника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правом выступления ведущий публичных слушаний дает возможность иным участникам публичных слушаний задать уточняющие вопросы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позиции и (или) аргументам участника публичных слушаний с правом выступления и дополнительное время для ответов на вопросы.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9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Участники публичных слушаний с правом выступления вправе снять свои предложения и рекомендации и (или) присоединиться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предложениям, выдвинутым другими участниками. Решения об изменении их позиций по обсуждаемому вопросу отражаются в протоколе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выступлений участников публичных слушаний по каждому вопросу повестки публичных слушаний ведущий обращается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участникам с вопросом о возможном изменении их позиций по итогам проведенного обсуждения.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прений по всем вопросам повестки публичных слушаний ведущий предоставляет слово секретарю для уточнения предложений и рекомендаций по обсуждаемым вопросам. Ведущий уточняет произошедшие изменения позиций участников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для внесения их в протокол.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окончании публичных слушаний ведущий напоминает участникам публичных слушаний о возможности внесения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организационный комитет в письменной форме дополнительных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предложений и (или) снятия своих рекомендаций по обсуждаемым вопросам в течение последующих 5 дней и закрывает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10.1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Присутствующие и выступающие на публичных слушаниях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не вправе: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.1. Употреблять в своей речи грубые и оскорбительные выражения, наносящие ущерб чести и достоинству других лиц.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 Допускать необоснованные обвинения в чей-либо адрес.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.3. Использовать заведомо ложную и непроверенную информацию.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.4. Призывать к незаконным действиям, мешать нормальному ходу проведения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bookmarkStart w:id="0" w:name="undefined"/>
      <w:r>
        <w:rPr>
          <w:rFonts w:ascii="Liberation Sans" w:hAnsi="Liberation Sans" w:cs="Liberation Sans"/>
          <w:sz w:val="28"/>
          <w:szCs w:val="28"/>
          <w:highlight w:val="white"/>
        </w:rPr>
      </w:r>
      <w:bookmarkEnd w:id="0"/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 несоблюдении указанных требований они могут быть удалены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из помещения, являющегося местом проведения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Проведение публичных слушаний в заочной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Публичные слушания в заочной форме проводятся                          в случаях отсутствия возможности отло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жить, перенести их на более поздние даты проведения и необходимости принятия (издания) муниципальных правовых актов в сроки, установленные федеральными законами и (или) законами Ямало-Ненецкого автономного округа, при возникновении следующих обстоятельств: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11.1.1. 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ведение режима чрезвычайной ситуации или режима повы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шенной готовности.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11.1.2. 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озникновение угрозы распространения заболевания, представляющего опасность для окружающих, либо введение                       на территории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города Новый Уренгой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огранич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ительных мероприятий (карантина).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Заочная форма проведения публичных слушаний предполагает размещение проекта муниципального правового акта, выносимого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слушания, а также иных документов                       и материалов, связанных с проведением пуб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личных слушаний                        в заочной форме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в электронном виде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сетевом издании                                     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с предоставлением участникам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публичных слушаний возможности направить письменное обращение в адрес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комитета, изложить                            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свои позиции, замечания, предложения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вопросы по проекту муниципального правового акта, выносимого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слушания, и получение ответа на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письменное или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электронное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обращение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Ответ на поступившее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письменное или электронное обращение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 направляется заявителю в письменной форме или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электронной форме (по желанию лица, направившего обращение).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Дополнительно информация о результатах рассмотрения электронного или письменного обращения по проекту муниципального правового акта размещается организационным комитетом                             в электронном виде в тех же разделах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сетевого издания     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и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на которых были размещены материалы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11.3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Предложения, замечания и обращения, не содержащие информацию о заявителе (фамилия, имя, отчество (при наличии), дата рождения, место жительства), не рассматриваются.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Участники публичных слушаний в электронных                                 и письменных обращениях не вправе употреблять грубые                                 и оскорбительные выражения, наносящие ущерб чести и достоинств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 других лиц, допускать необоснованные обвинения в чей-либо адрес, использовать заведомо ложную и непроверенную информацию, призывать к незаконным действиям. Несоблюдение указанных требований влечет оставление указанных обращений без рассмотрения и ответа.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11.5. 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итогам публичных слушаний с учетом поступивших замечаний, предложений участников публичных слушаний по проекту муниципального правового акта, вынесенному на публичные слушания, проводимые в заочной форме, орг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анизационным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комитетом составляется протокол о результатах публичных слушаний в заочной форме.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Обращения, поступившие по истечении срока проведения публичных слушаний, при составлении протокола о результатах публичных слушаний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заочной форме не учитываются.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 Результаты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12.1. 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После окончания публичных слушаний в течение 10 дней организационный комитет составляет протокол.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.2. В протоколе публичных слушаний указываются: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номер протокола и дата заседания;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лиц, выступивших в публичных слушаниях (в том числе приглашенных);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перечень тем и обсуждаемых вопросов;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принятые решения по каждому из обсуждаемых вопросов;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–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поступившие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особые мнения, предложения и замечания лиц, участвующих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публичных слушаниях.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.3.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течение 5 дней после окончания публичных слушаний организационный комитет принимает дополнительные предложения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 заявления о снятии своих рекомендаций участниками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2.4. 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Все дополнительно поступившие предложения и заявления оформляются приложением к протоколу публичных слушаний.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.5.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протоколом публичных слушаний вправе ознакомиться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все заинтересованные лица.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.6.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основании протокола публичных слушаний в срок                      не более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15 дней с момента окончания публичных слушаний организационный комитет подготавливает заключение о результатах публичных слушаний, содержащее рекомендации для принятия решений органами местного самоуправления.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12.7. 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Заключение о результатах публичных слушаний размещается в сетевом изд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.8.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Рекомендации и предложения, принятые на публичных слушаниях, подлежат обязательному рассмотрению и учету при принятии решений органами местного самоуправления по вопросам, выносимым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публичные слушания.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.9.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органов местного самоуправления, принятые                   с учетом результатов публичных слушаний, размещаются в сетевом издании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циальном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2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.10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случае принятия органами местного самоуправления решений, не совпадающих с результатами публичных слушаний,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органы местного самоуправления обязаны размест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ить в сетевом издании 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на официаль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ном сайте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мотивы принятия таких решений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 Заключительные положения</w:t>
      </w:r>
      <w:r>
        <w:rPr>
          <w:rFonts w:ascii="Liberation Sans" w:hAnsi="Liberation Sans" w:cs="Liberation Sans"/>
          <w:sz w:val="28"/>
          <w:szCs w:val="28"/>
          <w:highlight w:val="none"/>
        </w:rPr>
      </w:r>
      <w:r>
        <w:rPr>
          <w:rFonts w:ascii="Liberation Sans" w:hAnsi="Liberation Sans" w:cs="Liberation Sans"/>
          <w:sz w:val="28"/>
          <w:szCs w:val="28"/>
          <w:highlight w:val="none"/>
        </w:rPr>
      </w:r>
    </w:p>
    <w:p>
      <w:pPr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13.1. 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Вопросы, не урегулированные настоящим 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оложением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регулируются в соответствии с федеральными законами,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иными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нормативными правовыми актами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Российской Федерации, законами Ямало-Ненецкого автономного округа,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Уставом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firstLine="680"/>
        <w:jc w:val="both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13.2. 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Для размещения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решения о назначении публичных слушаний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проекта муниципального правового акта, выносимого                    на публичные слушания,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информаци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о времени, месте                                    их проведения, все необходимые материалы по рассматриваемому вопросу,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порядка учета предложений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по проекту муниципального правового акта, а также порядка участия граждан в его обсуждении, обеспечения возможности представления жителями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своих замечаний и предложений по проекту муниципального правового акта, а также для участия жителей в публичных слушаниях </w:t>
      </w:r>
      <w:r>
        <w:rPr>
          <w:rFonts w:ascii="Liberation Sans" w:hAnsi="Liberation Sans" w:cs="Liberation Sans"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 соблюдением тр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ебований об обязательном использовании для таких целей официального сайта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Администрации города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, порядок использования которой для целей настоящего Положения устанавливается Правительством Российской Федерации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.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pStyle w:val="937"/>
        <w:ind w:firstLine="540"/>
        <w:jc w:val="both"/>
        <w:rPr>
          <w:rFonts w:ascii="Liberation Sans" w:hAnsi="Liberation Sans" w:cs="Liberation Sans"/>
          <w:sz w:val="28"/>
          <w:szCs w:val="28"/>
          <w:highlight w:val="white"/>
        </w:rPr>
        <w:sectPr>
          <w:footnotePr/>
          <w:endnotePr/>
          <w:type w:val="nextPage"/>
          <w:pgSz w:w="11906" w:h="16838" w:orient="portrait"/>
          <w:pgMar w:top="851" w:right="851" w:bottom="1134" w:left="1701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0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                      Приложение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                                                 к Положению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о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порядке организации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                                             и проведения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публичных слушани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й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br/>
      </w:r>
      <w:r>
        <w:rPr>
          <w:rFonts w:ascii="Liberation Sans" w:hAnsi="Liberation Sans" w:cs="Liberation Sans"/>
          <w:bCs/>
          <w:sz w:val="28"/>
          <w:szCs w:val="28"/>
          <w:highlight w:val="white"/>
        </w:rPr>
        <w:t xml:space="preserve">                           в 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г</w:t>
      </w:r>
      <w:r>
        <w:rPr>
          <w:rFonts w:ascii="Liberation Sans" w:hAnsi="Liberation Sans" w:cs="Liberation Sans"/>
          <w:b w:val="0"/>
          <w:bCs w:val="0"/>
          <w:strike w:val="0"/>
          <w:sz w:val="28"/>
          <w:szCs w:val="28"/>
          <w:highlight w:val="white"/>
        </w:rPr>
        <w:t xml:space="preserve">ор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д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е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 Н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овый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  <w:t xml:space="preserve">Уренгой 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p>
      <w:pPr>
        <w:ind w:left="5529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strike/>
          <w:sz w:val="28"/>
          <w:szCs w:val="28"/>
          <w:highlight w:val="whit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Список жителей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город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а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Новый Уренгой</w:t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  <w:r>
        <w:rPr>
          <w:rFonts w:ascii="Liberation Sans" w:hAnsi="Liberation Sans" w:cs="Liberation Sans"/>
          <w:strike/>
          <w:sz w:val="28"/>
          <w:szCs w:val="28"/>
          <w:highlight w:val="white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pPr>
      <w:r>
        <w:rPr>
          <w:rFonts w:ascii="Liberation Sans" w:hAnsi="Liberation Sans" w:cs="Liberation Sans"/>
          <w:sz w:val="28"/>
          <w:szCs w:val="28"/>
          <w:highlight w:val="white"/>
        </w:rPr>
        <w:t xml:space="preserve">в поддержку назначения публичных слушаний</w:t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</w:p>
    <w:p>
      <w:pPr>
        <w:jc w:val="center"/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pPr>
      <w:r>
        <w:rPr>
          <w:rFonts w:ascii="Liberation Sans" w:hAnsi="Liberation Sans" w:cs="Liberation Sans"/>
          <w:b w:val="0"/>
          <w:bCs w:val="0"/>
          <w:sz w:val="28"/>
          <w:szCs w:val="28"/>
          <w:highlight w:val="non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  <w:r>
        <w:rPr>
          <w:rFonts w:ascii="Liberation Sans" w:hAnsi="Liberation Sans" w:cs="Liberation Sans"/>
          <w:b w:val="0"/>
          <w:bCs w:val="0"/>
          <w:sz w:val="28"/>
          <w:szCs w:val="28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13"/>
        <w:gridCol w:w="2002"/>
        <w:gridCol w:w="1404"/>
        <w:gridCol w:w="1944"/>
        <w:gridCol w:w="1942"/>
        <w:gridCol w:w="1666"/>
      </w:tblGrid>
      <w:tr>
        <w:tblPrEx/>
        <w:trPr/>
        <w:tc>
          <w:tcPr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№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2002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Ф.И.О. (полностью)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Дата рождения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4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Место регистрации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Контактный телефон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6" w:type="dxa"/>
            <w:vAlign w:val="center"/>
            <w:textDirection w:val="lrTb"/>
            <w:noWrap w:val="false"/>
          </w:tcPr>
          <w:p>
            <w:pPr>
              <w:jc w:val="center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Подпись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613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   1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200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4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2" w:type="dxa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5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  <w:tr>
        <w:tblPrEx/>
        <w:trPr>
          <w:trHeight w:val="20"/>
        </w:trPr>
        <w:tc>
          <w:tcPr>
            <w:tcW w:w="613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jc w:val="both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360" w:lineRule="atLeast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tcW w:w="1942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  <w:tc>
          <w:tcPr>
            <w:shd w:val="clear" w:color="ffffff" w:fill="ffffff"/>
            <w:tcW w:w="1666" w:type="dxa"/>
            <w:textDirection w:val="lrTb"/>
            <w:noWrap w:val="false"/>
          </w:tcPr>
          <w:p>
            <w:pPr>
              <w:jc w:val="both"/>
              <w:spacing w:before="100" w:beforeAutospacing="1" w:after="200" w:afterAutospacing="1" w:line="276" w:lineRule="auto"/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cs="Liberation Sans"/>
                <w:sz w:val="24"/>
                <w:szCs w:val="24"/>
                <w:highlight w:val="white"/>
              </w:rPr>
            </w:r>
          </w:p>
        </w:tc>
      </w:tr>
    </w:tbl>
    <w:p>
      <w:pPr>
        <w:rPr>
          <w:rFonts w:ascii="Liberation Sans" w:hAnsi="Liberation Sans" w:cs="Liberation Sans"/>
          <w:b/>
          <w:bCs/>
          <w:strike/>
          <w:sz w:val="24"/>
          <w:szCs w:val="24"/>
          <w:highlight w:val="white"/>
        </w:rPr>
      </w:pPr>
      <w:r>
        <w:rPr>
          <w:rFonts w:ascii="Liberation Sans" w:hAnsi="Liberation Sans" w:cs="Liberation Sans"/>
          <w:sz w:val="24"/>
          <w:szCs w:val="24"/>
          <w:highlight w:val="white"/>
        </w:rPr>
        <w:t xml:space="preserve"> </w:t>
      </w:r>
      <w:r>
        <w:rPr>
          <w:rFonts w:ascii="Liberation Sans" w:hAnsi="Liberation Sans" w:cs="Liberation Sans"/>
          <w:b/>
          <w:bCs/>
          <w:strike/>
          <w:sz w:val="24"/>
          <w:szCs w:val="24"/>
          <w:highlight w:val="white"/>
        </w:rPr>
      </w:r>
      <w:r>
        <w:rPr>
          <w:rFonts w:ascii="Liberation Sans" w:hAnsi="Liberation Sans" w:cs="Liberation Sans"/>
          <w:b/>
          <w:bCs/>
          <w:strike/>
          <w:sz w:val="24"/>
          <w:szCs w:val="24"/>
          <w:highlight w:val="white"/>
        </w:rPr>
      </w:r>
    </w:p>
    <w:p>
      <w:pPr>
        <w:widowControl w:val="off"/>
        <w:rPr>
          <w:rFonts w:ascii="Liberation Sans" w:hAnsi="Liberation Sans" w:cs="Liberation Sans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                    </w:t>
      </w:r>
      <w:r>
        <w:rPr>
          <w:rFonts w:ascii="Liberation Sans" w:hAnsi="Liberation Sans" w:eastAsia="Liberation Sans" w:cs="Liberation Sans"/>
          <w:sz w:val="28"/>
          <w:szCs w:val="28"/>
          <w:highlight w:val="white"/>
        </w:rPr>
        <w:t xml:space="preserve">    </w:t>
      </w:r>
      <w:r>
        <w:rPr>
          <w:rFonts w:ascii="Liberation Sans" w:hAnsi="Liberation Sans" w:cs="Liberation Sans"/>
          <w:sz w:val="28"/>
          <w:szCs w:val="28"/>
          <w:highlight w:val="white"/>
        </w:rPr>
      </w:r>
      <w:r>
        <w:rPr>
          <w:rFonts w:ascii="Liberation Sans" w:hAnsi="Liberation Sans" w:cs="Liberation Sans"/>
          <w:sz w:val="28"/>
          <w:szCs w:val="28"/>
          <w:highlight w:val="white"/>
        </w:rPr>
      </w:r>
    </w:p>
    <w:sectPr>
      <w:footerReference w:type="default" r:id="rId12"/>
      <w:footerReference w:type="first" r:id="rId13"/>
      <w:footnotePr/>
      <w:endnotePr/>
      <w:type w:val="nextPage"/>
      <w:pgSz w:w="11907" w:h="16840" w:orient="portrait"/>
      <w:pgMar w:top="1134" w:right="850" w:bottom="1134" w:left="1701" w:header="567" w:footer="567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ind w:right="360"/>
      <w:rPr>
        <w:rFonts w:ascii="Tahoma" w:hAnsi="Tahoma" w:cs="Tahoma"/>
        <w:color w:val="808080"/>
        <w:sz w:val="14"/>
        <w:szCs w:val="14"/>
      </w:rPr>
    </w:pPr>
    <w:r>
      <w:rPr>
        <w:rFonts w:ascii="Tahoma" w:hAnsi="Tahoma" w:cs="Tahoma"/>
        <w:color w:val="808080"/>
        <w:sz w:val="14"/>
        <w:szCs w:val="14"/>
      </w:rPr>
    </w:r>
    <w:r>
      <w:rPr>
        <w:rFonts w:ascii="Tahoma" w:hAnsi="Tahoma" w:cs="Tahoma"/>
        <w:color w:val="808080"/>
        <w:sz w:val="14"/>
        <w:szCs w:val="14"/>
      </w:rPr>
    </w:r>
    <w:r>
      <w:rPr>
        <w:rFonts w:ascii="Tahoma" w:hAnsi="Tahoma" w:cs="Tahoma"/>
        <w:color w:val="808080"/>
        <w:sz w:val="14"/>
        <w:szCs w:val="14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  <w:p>
    <w:pPr>
      <w:pStyle w:val="924"/>
      <w:rPr>
        <w:rFonts w:ascii="Liberation Sans" w:hAnsi="Liberation Sans" w:cs="Liberation Sans"/>
      </w:rPr>
    </w:pPr>
    <w:r>
      <w:rPr>
        <w:rFonts w:ascii="Liberation Sans" w:hAnsi="Liberation Sans" w:eastAsia="Liberation Sans" w:cs="Liberation Sans"/>
      </w:rPr>
    </w:r>
    <w:r>
      <w:rPr>
        <w:rFonts w:ascii="Liberation Sans" w:hAnsi="Liberation Sans" w:cs="Liberation Sans"/>
      </w:rPr>
    </w:r>
    <w:r>
      <w:rPr>
        <w:rFonts w:ascii="Liberation Sans" w:hAnsi="Liberation Sans" w:cs="Liberation Sans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  <w:jc w:val="center"/>
      <w:rPr>
        <w:rFonts w:ascii="Liberation Sans" w:hAnsi="Liberation Sans" w:cs="Liberation Sans"/>
        <w:sz w:val="28"/>
        <w:szCs w:val="28"/>
      </w:rPr>
    </w:pPr>
    <w:fldSimple w:instr="PAGE \* MERGEFORMAT"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</w:fldSimple>
    <w:r>
      <w:rPr>
        <w:rFonts w:ascii="Liberation Sans" w:hAnsi="Liberation Sans" w:eastAsia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</w:p>
  <w:p>
    <w:pPr>
      <w:pStyle w:val="7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283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>
        <w:ind w:left="1701" w:hanging="283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38" w:hanging="360"/>
        <w:tabs>
          <w:tab w:val="num" w:pos="213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858" w:hanging="360"/>
        <w:tabs>
          <w:tab w:val="num" w:pos="285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578" w:hanging="180"/>
        <w:tabs>
          <w:tab w:val="num" w:pos="357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298" w:hanging="360"/>
        <w:tabs>
          <w:tab w:val="num" w:pos="429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5018" w:hanging="360"/>
        <w:tabs>
          <w:tab w:val="num" w:pos="501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738" w:hanging="180"/>
        <w:tabs>
          <w:tab w:val="num" w:pos="573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458" w:hanging="360"/>
        <w:tabs>
          <w:tab w:val="num" w:pos="645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7178" w:hanging="360"/>
        <w:tabs>
          <w:tab w:val="num" w:pos="717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898" w:hanging="180"/>
        <w:tabs>
          <w:tab w:val="num" w:pos="7898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1.%1. "/>
      <w:legacy w:legacy="1" w:legacyIndent="0" w:legacySpace="0"/>
      <w:lvlJc w:val="left"/>
      <w:pPr>
        <w:ind w:left="1003" w:hanging="283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45" w:hanging="1005"/>
        <w:tabs>
          <w:tab w:val="num" w:pos="1545" w:leader="none"/>
        </w:tabs>
      </w:pPr>
      <w:rPr>
        <w:rFonts w:ascii="Arial" w:hAnsi="Arial" w:cs="Arial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38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2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4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98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0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4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2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4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6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28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0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2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4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6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886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9">
    <w:name w:val="Heading 1"/>
    <w:basedOn w:val="917"/>
    <w:next w:val="917"/>
    <w:link w:val="74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0">
    <w:name w:val="Heading 1 Char"/>
    <w:link w:val="739"/>
    <w:uiPriority w:val="9"/>
    <w:rPr>
      <w:rFonts w:ascii="Arial" w:hAnsi="Arial" w:eastAsia="Arial" w:cs="Arial"/>
      <w:sz w:val="40"/>
      <w:szCs w:val="40"/>
    </w:rPr>
  </w:style>
  <w:style w:type="paragraph" w:styleId="741">
    <w:name w:val="Heading 2"/>
    <w:basedOn w:val="917"/>
    <w:next w:val="917"/>
    <w:link w:val="7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42">
    <w:name w:val="Heading 2 Char"/>
    <w:link w:val="741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7"/>
    <w:next w:val="917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7"/>
    <w:next w:val="917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7"/>
    <w:next w:val="917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7"/>
    <w:next w:val="917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7"/>
    <w:next w:val="917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7"/>
    <w:next w:val="917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7"/>
    <w:next w:val="917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7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7"/>
    <w:next w:val="917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link w:val="759"/>
    <w:uiPriority w:val="10"/>
    <w:rPr>
      <w:sz w:val="48"/>
      <w:szCs w:val="48"/>
    </w:rPr>
  </w:style>
  <w:style w:type="paragraph" w:styleId="761">
    <w:name w:val="Subtitle"/>
    <w:basedOn w:val="917"/>
    <w:next w:val="917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link w:val="761"/>
    <w:uiPriority w:val="11"/>
    <w:rPr>
      <w:sz w:val="24"/>
      <w:szCs w:val="24"/>
    </w:rPr>
  </w:style>
  <w:style w:type="paragraph" w:styleId="763">
    <w:name w:val="Quote"/>
    <w:basedOn w:val="917"/>
    <w:next w:val="917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7"/>
    <w:next w:val="917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paragraph" w:styleId="767">
    <w:name w:val="Header"/>
    <w:basedOn w:val="917"/>
    <w:link w:val="7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8">
    <w:name w:val="Header Char"/>
    <w:link w:val="767"/>
    <w:uiPriority w:val="99"/>
  </w:style>
  <w:style w:type="paragraph" w:styleId="769">
    <w:name w:val="Footer"/>
    <w:basedOn w:val="917"/>
    <w:link w:val="7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0">
    <w:name w:val="Footer Char"/>
    <w:link w:val="769"/>
    <w:uiPriority w:val="99"/>
  </w:style>
  <w:style w:type="paragraph" w:styleId="771">
    <w:name w:val="Caption"/>
    <w:basedOn w:val="917"/>
    <w:next w:val="9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769"/>
    <w:uiPriority w:val="99"/>
  </w:style>
  <w:style w:type="table" w:styleId="77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9">
    <w:name w:val="Hyperlink"/>
    <w:uiPriority w:val="99"/>
    <w:unhideWhenUsed/>
    <w:rPr>
      <w:color w:val="0000ff" w:themeColor="hyperlink"/>
      <w:u w:val="single"/>
    </w:rPr>
  </w:style>
  <w:style w:type="paragraph" w:styleId="900">
    <w:name w:val="footnote text"/>
    <w:basedOn w:val="917"/>
    <w:link w:val="901"/>
    <w:uiPriority w:val="99"/>
    <w:semiHidden/>
    <w:unhideWhenUsed/>
    <w:pPr>
      <w:spacing w:after="40" w:line="240" w:lineRule="auto"/>
    </w:pPr>
    <w:rPr>
      <w:sz w:val="18"/>
    </w:rPr>
  </w:style>
  <w:style w:type="character" w:styleId="901">
    <w:name w:val="Footnote Text Char"/>
    <w:link w:val="900"/>
    <w:uiPriority w:val="99"/>
    <w:rPr>
      <w:sz w:val="18"/>
    </w:rPr>
  </w:style>
  <w:style w:type="character" w:styleId="902">
    <w:name w:val="footnote reference"/>
    <w:uiPriority w:val="99"/>
    <w:unhideWhenUsed/>
    <w:rPr>
      <w:vertAlign w:val="superscript"/>
    </w:rPr>
  </w:style>
  <w:style w:type="paragraph" w:styleId="903">
    <w:name w:val="endnote text"/>
    <w:basedOn w:val="917"/>
    <w:link w:val="904"/>
    <w:uiPriority w:val="99"/>
    <w:semiHidden/>
    <w:unhideWhenUsed/>
    <w:pPr>
      <w:spacing w:after="0" w:line="240" w:lineRule="auto"/>
    </w:pPr>
    <w:rPr>
      <w:sz w:val="20"/>
    </w:rPr>
  </w:style>
  <w:style w:type="character" w:styleId="904">
    <w:name w:val="Endnote Text Char"/>
    <w:link w:val="903"/>
    <w:uiPriority w:val="99"/>
    <w:rPr>
      <w:sz w:val="20"/>
    </w:rPr>
  </w:style>
  <w:style w:type="character" w:styleId="905">
    <w:name w:val="endnote reference"/>
    <w:uiPriority w:val="99"/>
    <w:semiHidden/>
    <w:unhideWhenUsed/>
    <w:rPr>
      <w:vertAlign w:val="superscript"/>
    </w:rPr>
  </w:style>
  <w:style w:type="paragraph" w:styleId="906">
    <w:name w:val="toc 1"/>
    <w:basedOn w:val="917"/>
    <w:next w:val="917"/>
    <w:uiPriority w:val="39"/>
    <w:unhideWhenUsed/>
    <w:pPr>
      <w:ind w:left="0" w:right="0" w:firstLine="0"/>
      <w:spacing w:after="57"/>
    </w:pPr>
  </w:style>
  <w:style w:type="paragraph" w:styleId="907">
    <w:name w:val="toc 2"/>
    <w:basedOn w:val="917"/>
    <w:next w:val="917"/>
    <w:uiPriority w:val="39"/>
    <w:unhideWhenUsed/>
    <w:pPr>
      <w:ind w:left="283" w:right="0" w:firstLine="0"/>
      <w:spacing w:after="57"/>
    </w:pPr>
  </w:style>
  <w:style w:type="paragraph" w:styleId="908">
    <w:name w:val="toc 3"/>
    <w:basedOn w:val="917"/>
    <w:next w:val="917"/>
    <w:uiPriority w:val="39"/>
    <w:unhideWhenUsed/>
    <w:pPr>
      <w:ind w:left="567" w:right="0" w:firstLine="0"/>
      <w:spacing w:after="57"/>
    </w:pPr>
  </w:style>
  <w:style w:type="paragraph" w:styleId="909">
    <w:name w:val="toc 4"/>
    <w:basedOn w:val="917"/>
    <w:next w:val="917"/>
    <w:uiPriority w:val="39"/>
    <w:unhideWhenUsed/>
    <w:pPr>
      <w:ind w:left="850" w:right="0" w:firstLine="0"/>
      <w:spacing w:after="57"/>
    </w:pPr>
  </w:style>
  <w:style w:type="paragraph" w:styleId="910">
    <w:name w:val="toc 5"/>
    <w:basedOn w:val="917"/>
    <w:next w:val="917"/>
    <w:uiPriority w:val="39"/>
    <w:unhideWhenUsed/>
    <w:pPr>
      <w:ind w:left="1134" w:right="0" w:firstLine="0"/>
      <w:spacing w:after="57"/>
    </w:pPr>
  </w:style>
  <w:style w:type="paragraph" w:styleId="911">
    <w:name w:val="toc 6"/>
    <w:basedOn w:val="917"/>
    <w:next w:val="917"/>
    <w:uiPriority w:val="39"/>
    <w:unhideWhenUsed/>
    <w:pPr>
      <w:ind w:left="1417" w:right="0" w:firstLine="0"/>
      <w:spacing w:after="57"/>
    </w:pPr>
  </w:style>
  <w:style w:type="paragraph" w:styleId="912">
    <w:name w:val="toc 7"/>
    <w:basedOn w:val="917"/>
    <w:next w:val="917"/>
    <w:uiPriority w:val="39"/>
    <w:unhideWhenUsed/>
    <w:pPr>
      <w:ind w:left="1701" w:right="0" w:firstLine="0"/>
      <w:spacing w:after="57"/>
    </w:pPr>
  </w:style>
  <w:style w:type="paragraph" w:styleId="913">
    <w:name w:val="toc 8"/>
    <w:basedOn w:val="917"/>
    <w:next w:val="917"/>
    <w:uiPriority w:val="39"/>
    <w:unhideWhenUsed/>
    <w:pPr>
      <w:ind w:left="1984" w:right="0" w:firstLine="0"/>
      <w:spacing w:after="57"/>
    </w:pPr>
  </w:style>
  <w:style w:type="paragraph" w:styleId="914">
    <w:name w:val="toc 9"/>
    <w:basedOn w:val="917"/>
    <w:next w:val="917"/>
    <w:uiPriority w:val="39"/>
    <w:unhideWhenUsed/>
    <w:pPr>
      <w:ind w:left="2268" w:right="0" w:firstLine="0"/>
      <w:spacing w:after="57"/>
    </w:pPr>
  </w:style>
  <w:style w:type="paragraph" w:styleId="915">
    <w:name w:val="TOC Heading"/>
    <w:uiPriority w:val="39"/>
    <w:unhideWhenUsed/>
  </w:style>
  <w:style w:type="paragraph" w:styleId="916">
    <w:name w:val="table of figures"/>
    <w:basedOn w:val="917"/>
    <w:next w:val="917"/>
    <w:uiPriority w:val="99"/>
    <w:unhideWhenUsed/>
    <w:pPr>
      <w:spacing w:after="0" w:afterAutospacing="0"/>
    </w:pPr>
  </w:style>
  <w:style w:type="paragraph" w:styleId="917" w:default="1">
    <w:name w:val="Normal"/>
    <w:next w:val="917"/>
    <w:link w:val="917"/>
    <w:qFormat/>
    <w:rPr>
      <w:sz w:val="24"/>
      <w:szCs w:val="24"/>
      <w:lang w:val="ru-RU" w:eastAsia="ru-RU" w:bidi="ar-SA"/>
    </w:rPr>
  </w:style>
  <w:style w:type="character" w:styleId="918">
    <w:name w:val="Основной шрифт абзаца"/>
    <w:next w:val="918"/>
    <w:link w:val="917"/>
    <w:semiHidden/>
  </w:style>
  <w:style w:type="table" w:styleId="919">
    <w:name w:val="Обычная таблица"/>
    <w:next w:val="919"/>
    <w:link w:val="917"/>
    <w:semiHidden/>
    <w:tblPr/>
  </w:style>
  <w:style w:type="numbering" w:styleId="920">
    <w:name w:val="Нет списка"/>
    <w:next w:val="920"/>
    <w:link w:val="917"/>
    <w:semiHidden/>
  </w:style>
  <w:style w:type="paragraph" w:styleId="921">
    <w:name w:val="ConsTitle"/>
    <w:next w:val="921"/>
    <w:link w:val="917"/>
    <w:pPr>
      <w:widowControl w:val="off"/>
    </w:pPr>
    <w:rPr>
      <w:rFonts w:ascii="Arial" w:hAnsi="Arial" w:cs="Arial"/>
      <w:b/>
      <w:bCs/>
      <w:sz w:val="16"/>
      <w:szCs w:val="16"/>
      <w:lang w:val="ru-RU" w:eastAsia="ru-RU" w:bidi="ar-SA"/>
    </w:rPr>
  </w:style>
  <w:style w:type="paragraph" w:styleId="922">
    <w:name w:val="ConsNonformat"/>
    <w:next w:val="922"/>
    <w:link w:val="917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3">
    <w:name w:val="ConsNormal"/>
    <w:next w:val="923"/>
    <w:link w:val="917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24">
    <w:name w:val="Нижний колонтитул"/>
    <w:basedOn w:val="917"/>
    <w:next w:val="924"/>
    <w:link w:val="933"/>
    <w:uiPriority w:val="99"/>
    <w:pPr>
      <w:tabs>
        <w:tab w:val="center" w:pos="4677" w:leader="none"/>
        <w:tab w:val="right" w:pos="9355" w:leader="none"/>
      </w:tabs>
    </w:pPr>
  </w:style>
  <w:style w:type="character" w:styleId="925">
    <w:name w:val="Номер страницы"/>
    <w:basedOn w:val="918"/>
    <w:next w:val="925"/>
    <w:link w:val="917"/>
  </w:style>
  <w:style w:type="paragraph" w:styleId="926">
    <w:name w:val="Верхний колонтитул"/>
    <w:basedOn w:val="917"/>
    <w:next w:val="926"/>
    <w:link w:val="932"/>
    <w:pPr>
      <w:tabs>
        <w:tab w:val="center" w:pos="4677" w:leader="none"/>
        <w:tab w:val="right" w:pos="9355" w:leader="none"/>
      </w:tabs>
    </w:pPr>
  </w:style>
  <w:style w:type="paragraph" w:styleId="927">
    <w:name w:val="Текст выноски"/>
    <w:basedOn w:val="917"/>
    <w:next w:val="927"/>
    <w:link w:val="917"/>
    <w:semiHidden/>
    <w:rPr>
      <w:rFonts w:ascii="Tahoma" w:hAnsi="Tahoma" w:cs="Tahoma"/>
      <w:sz w:val="16"/>
      <w:szCs w:val="16"/>
    </w:rPr>
  </w:style>
  <w:style w:type="paragraph" w:styleId="928">
    <w:name w:val="Основной текст 2"/>
    <w:basedOn w:val="917"/>
    <w:next w:val="928"/>
    <w:link w:val="917"/>
    <w:pPr>
      <w:spacing w:after="120" w:line="480" w:lineRule="auto"/>
    </w:pPr>
  </w:style>
  <w:style w:type="paragraph" w:styleId="929">
    <w:name w:val="Название"/>
    <w:basedOn w:val="917"/>
    <w:next w:val="929"/>
    <w:link w:val="917"/>
    <w:qFormat/>
    <w:pPr>
      <w:jc w:val="center"/>
    </w:pPr>
  </w:style>
  <w:style w:type="paragraph" w:styleId="930">
    <w:name w:val="Цитата"/>
    <w:basedOn w:val="917"/>
    <w:next w:val="930"/>
    <w:link w:val="917"/>
    <w:pPr>
      <w:ind w:left="709" w:right="284"/>
      <w:jc w:val="both"/>
    </w:pPr>
  </w:style>
  <w:style w:type="table" w:styleId="931">
    <w:name w:val="Сетка таблицы"/>
    <w:basedOn w:val="919"/>
    <w:next w:val="931"/>
    <w:link w:val="917"/>
    <w:rPr>
      <w:lang w:bidi="ar-SA"/>
    </w:rPr>
    <w:tblPr/>
  </w:style>
  <w:style w:type="character" w:styleId="932">
    <w:name w:val="Верхний колонтитул Знак1"/>
    <w:basedOn w:val="918"/>
    <w:next w:val="932"/>
    <w:link w:val="926"/>
    <w:rPr>
      <w:sz w:val="24"/>
      <w:szCs w:val="24"/>
    </w:rPr>
  </w:style>
  <w:style w:type="character" w:styleId="933">
    <w:name w:val="Нижний колонтитул Знак"/>
    <w:basedOn w:val="918"/>
    <w:next w:val="933"/>
    <w:link w:val="924"/>
    <w:uiPriority w:val="99"/>
    <w:rPr>
      <w:sz w:val="24"/>
      <w:szCs w:val="24"/>
    </w:rPr>
  </w:style>
  <w:style w:type="character" w:styleId="934" w:default="1">
    <w:name w:val="Default Paragraph Font"/>
    <w:uiPriority w:val="1"/>
    <w:semiHidden/>
    <w:unhideWhenUsed/>
  </w:style>
  <w:style w:type="numbering" w:styleId="935" w:default="1">
    <w:name w:val="No List"/>
    <w:uiPriority w:val="99"/>
    <w:semiHidden/>
    <w:unhideWhenUsed/>
  </w:style>
  <w:style w:type="table" w:styleId="936" w:default="1">
    <w:name w:val="Normal Table"/>
    <w:uiPriority w:val="99"/>
    <w:semiHidden/>
    <w:unhideWhenUsed/>
    <w:tblPr/>
  </w:style>
  <w:style w:type="paragraph" w:styleId="937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emf"/><Relationship Id="rId15" Type="http://schemas.openxmlformats.org/officeDocument/2006/relationships/oleObject" Target="embeddings/oleObject1.bin"/><Relationship Id="rId16" Type="http://schemas.openxmlformats.org/officeDocument/2006/relationships/hyperlink" Target="consultantplus://offline/ref=9F988B74DC23806DE0FFB6A84E0885947C9AFD80502661D41B26A0G5t0F" TargetMode="External"/><Relationship Id="rId17" Type="http://schemas.openxmlformats.org/officeDocument/2006/relationships/hyperlink" Target="consultantplus://offline/ref=FF182FECE2A93C2DA1EDE0E9045F9D0E079271A4B02C4E8BC6D37CD37A32ADD7A79E836EBD5B65F9mDEDM" TargetMode="External"/><Relationship Id="rId18" Type="http://schemas.openxmlformats.org/officeDocument/2006/relationships/hyperlink" Target="consultantplus://offline/ref=9F988B74DC23806DE0FFB6A84E0885947C9AFD80502661D41B26A0G5t0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Центр правовой поддержки МСУ</Company>
  <DocSecurity>0</DocSecurity>
  <HyperlinksChanged>false</HyperlinksChanged>
  <Manager>Центр правовой поддержки МСУ</Manager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правовой поддержки МСУ</dc:title>
  <dc:subject>Центр правовой поддержки МСУ</dc:subject>
  <dc:creator>Центр правовой поддержки МСУ</dc:creator>
  <cp:keywords>Центр правовой поддержки МСУ</cp:keywords>
  <dc:description>Центр правовой поддержки МСУ</dc:description>
  <cp:revision>58</cp:revision>
  <dcterms:created xsi:type="dcterms:W3CDTF">2008-12-19T04:45:00Z</dcterms:created>
  <dcterms:modified xsi:type="dcterms:W3CDTF">2025-03-27T10:43:22Z</dcterms:modified>
  <cp:category>Центр правовой поддержки МСУ</cp:category>
  <cp:version>786432</cp:version>
</cp:coreProperties>
</file>