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eastAsia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Информация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Администрация города Новый Уренгой, по инициативе Главы города Новый Уренгой, проводит публичные слушания по вопросу рассмотрения проекта решения Думы города Новый Уренгой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исполнении бюджета города Новый Уренгой за 2024 год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Публичные слушания для жителей муниципального образования город Новый  Уренгой будут проходить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11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апреля 2025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 год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а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с 17-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15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 до 18-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15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 часов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зале заседаний Администрации города Новый  Уренгой, расположенном по адресу: мкр. Мирный, д. 1/1  (1 подъезд, 1 этаж).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Постановление Администрации города Новый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Уренгой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02 апреля 2025 года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155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«О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назначении публичных слушаний по вопросу рассмотрения проекта решения  Думы города Новый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Уренгой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 исполнении бюджета города Новый Уренгой за 2024 год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проект решения Думы города Новый Уренгой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 исполнении бюджета город Новый Уренгой за 2024 год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размещены в сетевом издании «Импульс Севера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официальном сайте Администрации город Новый Уренгой в информационно-телекоммуникационной сети «Интернет»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hyperlink r:id="rId8" w:tooltip="https://nur.yanao.ru/" w:history="1">
        <w:r>
          <w:rPr>
            <w:rStyle w:val="835"/>
            <w:rFonts w:ascii="Liberation Sans" w:hAnsi="Liberation Sans" w:eastAsia="Liberation Sans" w:cs="Liberation Sans"/>
            <w:color w:val="auto"/>
            <w:sz w:val="28"/>
            <w:szCs w:val="28"/>
            <w:highlight w:val="white"/>
          </w:rPr>
          <w:t xml:space="preserve">https://nur.yanao.ru/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(далее –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официальный сайт города), на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платформе обратной связи федеральной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государственной информационной системы «Единый портал государственных и муниципальных услуг (функций)» (далее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единый портал)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03 апреля 2025 года.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 вышеуказанным проектом решения Думы города Новый Уренгой можно ознакомиться в кабинете 410 Администрации города Новый Уренгой (мкр.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Советский, д. 3 (4 этаж).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4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Заинтересованные лица (жители города), жела</w:t>
      </w:r>
      <w:bookmarkStart w:id="0" w:name="_GoBack"/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ющие принять участие в публичных слушаниях с правом выступления для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аргументации своих предложений, должны внести в письменной форме свои предложения и рекомендации по вопросу, выносимому на публичные слушания, секретарю публичных слушаний в кабинет 410 Администрации города Новый Уренгой (мкр.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Советский, д. 3, этаж 4), либо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en-US"/>
        </w:rPr>
        <w:t xml:space="preserve">на официальный сайт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города, либо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через платформу обратной связи единого портала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 позднее, чем за 3 дня до даты проведения публичных слушаний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(т.е. не позднее 8 апреля 2025 года).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Заинтересованные лица (жители города), желающие принять участие в пу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бличных слушаниях по рассматриваемому вопросу должны не позднее, чем за 1 день до даты проведения публичных слушаний подать письменное заявление секретарю публичных слушаний в 410 кабинет Администрации города Новый Уренгой (мкр.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Советский, д. 3 (4 этаж),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либо через официальный сайт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т.е., последним днём подачи заявок на участие в публичных слушаниях считается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9 апреля 2025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года.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Секретарем публичных слушаний назначена Локтева Нина Николаевна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режим работы: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понедельник - пятница с 08-30 часов до 12-30 часов и с 14-00 часов до 17-12 часов (рабочие дни), адрес: г. Новый Уренгой,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мкр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 Советский, д. 3, 4 этаж, кабинет 410 (Администрация города Новый Уренгой), электронный адрес: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val="en-US"/>
        </w:rPr>
        <w:t xml:space="preserve">d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val="en-US"/>
        </w:rPr>
        <w:t xml:space="preserve">f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@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val="en-US"/>
        </w:rPr>
        <w:t xml:space="preserve">nur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val="en-US"/>
        </w:rPr>
        <w:t xml:space="preserve">yanao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val="en-US"/>
        </w:rPr>
        <w:t xml:space="preserve">ru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Дополнительную информацию по проведению публичных слушаний можно получить по телефону 94-78-31 (Локтева Нина Николаевна).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right"/>
        <w:spacing w:line="240" w:lineRule="atLeast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Организационный комитет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539" w:right="851" w:bottom="794" w:left="12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Наталья Владимировна (LUTSENKONV - Lutsenko.NV)</dc:creator>
  <cp:revision>46</cp:revision>
  <dcterms:created xsi:type="dcterms:W3CDTF">2018-11-13T09:46:00Z</dcterms:created>
  <dcterms:modified xsi:type="dcterms:W3CDTF">2025-04-02T05:46:31Z</dcterms:modified>
</cp:coreProperties>
</file>