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bCs/>
        </w:rPr>
      </w:pPr>
      <w:r>
        <w:rPr>
          <w:b/>
          <w:bCs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67025" cy="100965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625031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867024" cy="1009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25.75pt;height:79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  <w:t xml:space="preserve">Кто освобождается от уплаты государственной пошлины </w:t>
      </w:r>
      <w:r>
        <w:rPr>
          <w:b/>
          <w:bCs/>
        </w:rPr>
        <w:t xml:space="preserve">за кадастровый учет и(или) государственную регистрацию права?</w:t>
      </w:r>
      <w:r>
        <w:rPr>
          <w:b/>
          <w:bCs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r>
        <w:t xml:space="preserve">Управление Росреестра по Ямало-Ненецкому автономному округу информирует, согласно пункту 1 статьи 333.35 Налогового Кодекса Российской Федерации от уплаты государственной пошлины освобождаются :</w:t>
      </w:r>
      <w:r/>
    </w:p>
    <w:p>
      <w:pPr>
        <w:pStyle w:val="846"/>
        <w:numPr>
          <w:ilvl w:val="0"/>
          <w:numId w:val="3"/>
        </w:numPr>
        <w:ind w:left="0" w:right="0" w:firstLine="360"/>
      </w:pPr>
      <w:r>
        <w:t xml:space="preserve">ф</w:t>
      </w:r>
      <w:r>
        <w:t xml:space="preserve">едеральные органы государственной власти, органы государственной власти субъектов Российской Федерации, органы местного самоуправления, органы публичной власти федеральной территории «Сириус» при их обращении за совершением юридически значимых действий, ус</w:t>
      </w:r>
      <w:r>
        <w:t xml:space="preserve">тановленных главой 25.3 НК (подпункт 4 пункта 1 статьи 333.35 НК);</w:t>
      </w:r>
      <w:r/>
    </w:p>
    <w:p>
      <w:pPr>
        <w:pStyle w:val="846"/>
        <w:numPr>
          <w:ilvl w:val="0"/>
          <w:numId w:val="3"/>
        </w:numPr>
        <w:ind w:left="0" w:right="0" w:firstLine="360"/>
      </w:pPr>
      <w:r>
        <w:t xml:space="preserve">Ц</w:t>
      </w:r>
      <w:r>
        <w:t xml:space="preserve">ентральный банк Российской Федерации - при обращении за совершением установленных главой 25.3 НК юридически значимых действий в связи с выполнением им функций, возложенных на него законодательством Российской Федерации (подпункт 5 пункта 1 статьи 333.35 НК</w:t>
      </w:r>
      <w:r>
        <w:t xml:space="preserve">);</w:t>
      </w:r>
      <w:r/>
    </w:p>
    <w:p>
      <w:pPr>
        <w:pStyle w:val="846"/>
        <w:numPr>
          <w:ilvl w:val="0"/>
          <w:numId w:val="3"/>
        </w:numPr>
        <w:ind w:left="0" w:right="0" w:firstLine="360"/>
      </w:pPr>
      <w:r>
        <w:rPr>
          <w:rFonts w:ascii="Roboto" w:hAnsi="Roboto" w:eastAsia="Roboto" w:cs="Roboto"/>
          <w:color w:val="292c2f"/>
          <w:sz w:val="21"/>
        </w:rPr>
        <w:t xml:space="preserve">в</w:t>
      </w:r>
      <w:r>
        <w:rPr>
          <w:rFonts w:ascii="Roboto" w:hAnsi="Roboto" w:eastAsia="Roboto" w:cs="Roboto"/>
          <w:color w:val="292c2f"/>
          <w:sz w:val="21"/>
        </w:rPr>
        <w:t xml:space="preserve">етераны и инвалиды Великой Отечественной войны. В том числе и </w:t>
      </w:r>
      <w:r>
        <w:t xml:space="preserve">ф</w:t>
      </w:r>
      <w:r>
        <w:t xml:space="preserve">изические лица - бывшие узники фашистских концлагерей, гетто и других мест принудительного содержания, созданных немецкими фашистами и их союзниками в период Второй мировой войны, </w:t>
      </w:r>
      <w:r>
        <w:t xml:space="preserve">бывшие военнопленные во время Великой Отечественной войны при их обращении за совершением юридически значимых действий, установленных главой 25.3 НК (подпункт 12 пункта 1 статьи 333.35 НК);</w:t>
      </w:r>
      <w:r/>
    </w:p>
    <w:p>
      <w:pPr>
        <w:ind w:left="1417" w:firstLine="0"/>
      </w:pPr>
      <w:r>
        <w:t xml:space="preserve">Основанием для предоставления льгот физическим лицам, перечисленным в подпункте 12 пункта 1 статьи 333.35 НК, является удостоверение установленного образца.</w:t>
      </w:r>
      <w:r/>
    </w:p>
    <w:p>
      <w:pPr>
        <w:pStyle w:val="846"/>
        <w:numPr>
          <w:ilvl w:val="0"/>
          <w:numId w:val="3"/>
        </w:numPr>
        <w:ind w:left="0" w:right="0" w:firstLine="360"/>
      </w:pPr>
      <w:r>
        <w:rPr>
          <w:u w:val="none"/>
        </w:rPr>
        <w:t xml:space="preserve">малоимущие граждане . </w:t>
      </w:r>
      <w:r>
        <w:rPr>
          <w:u w:val="none"/>
        </w:rPr>
        <w:t xml:space="preserve">Физические лица, признаваемые малоимущими в соответствии с Жилищным кодексом Российской Федерации, -</w:t>
      </w:r>
      <w:r>
        <w:t xml:space="preserve"> за совершение действий, предусмотренных подпунктом 22 пункта 1 статьи 333.33 НК, за исключением государственной регистрации ограничений прав и обременений о</w:t>
      </w:r>
      <w:r>
        <w:t xml:space="preserve">бъектов недвижимости (подпункт 15 пункта 1 статьи 333.35 НК);</w:t>
      </w:r>
      <w:r/>
    </w:p>
    <w:p>
      <w:pPr>
        <w:ind w:left="1417" w:firstLine="0"/>
      </w:pPr>
      <w:r>
        <w:t xml:space="preserve">Основанием для предоставления льготы, предусмотренной подпунктом 15 пункта 1 статьи 333.35 НК, является документ, выданный в установленном порядке.</w:t>
      </w:r>
      <w:r/>
    </w:p>
    <w:p>
      <w:pPr>
        <w:pStyle w:val="846"/>
        <w:numPr>
          <w:ilvl w:val="0"/>
          <w:numId w:val="3"/>
        </w:numPr>
        <w:ind w:left="0" w:right="0" w:firstLine="360"/>
      </w:pPr>
      <w:r>
        <w:rPr>
          <w:u w:val="none"/>
        </w:rPr>
        <w:t xml:space="preserve">граждане,пострадавшие в результате чрезвычайной ситуации. Физические лица, </w:t>
      </w:r>
      <w:r>
        <w:rPr>
          <w:u w:val="none"/>
        </w:rPr>
        <w:t xml:space="preserve">пострадавшие в результате чрезвычайной ситуации-</w:t>
      </w:r>
      <w:r>
        <w:rPr>
          <w:u w:val="none"/>
        </w:rPr>
        <w:t xml:space="preserve"> </w:t>
      </w:r>
      <w:r>
        <w:rPr>
          <w:u w:val="none"/>
        </w:rPr>
        <w:t xml:space="preserve">з</w:t>
      </w:r>
      <w:r>
        <w:rPr>
          <w:u w:val="none"/>
        </w:rPr>
        <w:t xml:space="preserve">а выдачу документа взамен утраченного или пришедшего в негодность вследствие такой чрезв</w:t>
      </w:r>
      <w:r>
        <w:rPr>
          <w:u w:val="none"/>
        </w:rPr>
        <w:t xml:space="preserve">ычайной </w:t>
      </w:r>
      <w:r>
        <w:t xml:space="preserve">ситуации, а также за государственную регистрацию права собственности на жилые помещения или </w:t>
      </w:r>
      <w:r>
        <w:t xml:space="preserve">доли в них, приобретенные ими в связи с реализацией мер социальной поддержки взамен жилых помещений, утраченных ими вследствие такой чрезвычайной ситуации (подпункт 16 пункта 1 статьи 333.35 НК);</w:t>
      </w:r>
      <w:r/>
    </w:p>
    <w:p>
      <w:pPr>
        <w:pStyle w:val="846"/>
        <w:numPr>
          <w:ilvl w:val="0"/>
          <w:numId w:val="3"/>
        </w:numPr>
        <w:ind w:left="0" w:right="0" w:firstLine="360"/>
        <w:rPr>
          <w:u w:val="none"/>
        </w:rPr>
      </w:pPr>
      <w:r>
        <w:rPr>
          <w:strike w:val="0"/>
          <w:u w:val="none"/>
        </w:rPr>
        <w:t xml:space="preserve">физические лица - за государственную регистрацию права собственности на жилые помещения или доли в них, предоставленные им взамен освобожденных жилых </w:t>
      </w:r>
      <w:r>
        <w:rPr>
          <w:strike w:val="0"/>
          <w:u w:val="none"/>
        </w:rPr>
        <w:t xml:space="preserve">по</w:t>
      </w:r>
      <w:r>
        <w:rPr>
          <w:u w:val="none"/>
        </w:rPr>
        <w:t xml:space="preserve">мещений </w:t>
      </w:r>
      <w:r>
        <w:rPr>
          <w:u w:val="none"/>
        </w:rPr>
        <w:t xml:space="preserve">или долей в них в связи с реализацией программы реновации жилищного фонда в городе Москве (подпун</w:t>
      </w:r>
      <w:r>
        <w:rPr>
          <w:u w:val="none"/>
        </w:rPr>
        <w:t xml:space="preserve">кт 17 пункта 1 статьи 333.35 НК);</w:t>
      </w:r>
      <w:r>
        <w:rPr>
          <w:u w:val="none"/>
        </w:rPr>
      </w:r>
      <w:r>
        <w:rPr>
          <w:u w:val="none"/>
        </w:rPr>
      </w:r>
    </w:p>
    <w:p>
      <w:pPr>
        <w:pStyle w:val="846"/>
        <w:numPr>
          <w:ilvl w:val="0"/>
          <w:numId w:val="3"/>
        </w:numPr>
        <w:ind w:left="0" w:right="0" w:firstLine="360"/>
        <w:rPr>
          <w:u w:val="none"/>
        </w:rPr>
      </w:pPr>
      <w:r>
        <w:rPr>
          <w:u w:val="none"/>
        </w:rPr>
        <w:t xml:space="preserve">физические лица - за государственную регистрацию права собственности при наследовании недвижимого имущества, </w:t>
      </w:r>
      <w:r>
        <w:rPr>
          <w:u w:val="none"/>
        </w:rPr>
        <w:t xml:space="preserve">указанного в абзаце третьем пункта 5 статьи 333</w:t>
      </w:r>
      <w:r>
        <w:rPr>
          <w:u w:val="none"/>
        </w:rPr>
        <w:t xml:space="preserve">.</w:t>
      </w:r>
      <w:r>
        <w:rPr>
          <w:u w:val="none"/>
        </w:rPr>
        <w:t xml:space="preserve">38 НК (подпункт 19 пункта 1 статьи 333.35 НК)</w:t>
      </w:r>
      <w:r>
        <w:rPr>
          <w:u w:val="none"/>
        </w:rPr>
      </w:r>
      <w:r>
        <w:rPr>
          <w:u w:val="none"/>
        </w:rPr>
      </w:r>
    </w:p>
    <w:p>
      <w:pPr>
        <w:pStyle w:val="848"/>
        <w:rPr>
          <w:rFonts w:ascii="Helvetica Neue" w:hAnsi="Helvetica Neue" w:cs="Helvetica Neue"/>
          <w:b w:val="0"/>
          <w:i w:val="0"/>
          <w:caps w:val="0"/>
          <w:smallCaps w:val="0"/>
          <w:color w:val="333333"/>
          <w:spacing w:val="0"/>
        </w:rPr>
      </w:pPr>
      <w:r>
        <w:rPr>
          <w:rFonts w:ascii="Helvetica Neue" w:hAnsi="Helvetica Neue" w:cs="Helvetica Neue"/>
          <w:b w:val="0"/>
          <w:i w:val="0"/>
          <w:caps w:val="0"/>
          <w:smallCaps w:val="0"/>
          <w:color w:val="333333"/>
          <w:spacing w:val="0"/>
          <w:sz w:val="21"/>
        </w:rPr>
        <w:t xml:space="preserve">  </w:t>
      </w:r>
      <w:r>
        <w:rPr>
          <w:rFonts w:ascii="Helvetica Neue" w:hAnsi="Helvetica Neue" w:cs="Helvetica Neue"/>
          <w:b w:val="0"/>
          <w:i w:val="0"/>
          <w:caps w:val="0"/>
          <w:smallCaps w:val="0"/>
          <w:color w:val="333333"/>
          <w:spacing w:val="0"/>
          <w:sz w:val="21"/>
        </w:rPr>
        <w:t xml:space="preserve">#РосреестрЯНАО</w:t>
      </w:r>
      <w:r>
        <w:rPr>
          <w:rFonts w:ascii="Helvetica Neue" w:hAnsi="Helvetica Neue" w:cs="Helvetica Neue"/>
          <w:b w:val="0"/>
          <w:i w:val="0"/>
          <w:caps w:val="0"/>
          <w:smallCaps w:val="0"/>
          <w:color w:val="333333"/>
          <w:spacing w:val="0"/>
          <w:sz w:val="21"/>
        </w:rPr>
        <w:t xml:space="preserve"> </w:t>
      </w:r>
      <w:r>
        <w:rPr>
          <w:rFonts w:ascii="Helvetica Neue" w:hAnsi="Helvetica Neue" w:cs="Helvetica Neue"/>
          <w:b w:val="0"/>
          <w:i w:val="0"/>
          <w:caps w:val="0"/>
          <w:smallCaps w:val="0"/>
          <w:color w:val="333333"/>
          <w:spacing w:val="0"/>
          <w:sz w:val="21"/>
        </w:rPr>
        <w:t xml:space="preserve">#Росреестр89 </w:t>
      </w:r>
      <w:r>
        <w:rPr>
          <w:rFonts w:ascii="Helvetica Neue" w:hAnsi="Helvetica Neue" w:cs="Helvetica Neue"/>
          <w:b w:val="0"/>
          <w:i w:val="0"/>
          <w:caps w:val="0"/>
          <w:smallCaps w:val="0"/>
          <w:color w:val="333333"/>
          <w:spacing w:val="0"/>
          <w:sz w:val="21"/>
        </w:rPr>
        <w:t xml:space="preserve">#Салехард #Ямал #НовыйУренгой #госпошлина  #недвижимость  </w:t>
      </w:r>
      <w:r>
        <w:rPr>
          <w:rFonts w:ascii="Helvetica Neue" w:hAnsi="Helvetica Neue" w:cs="Helvetica Neue"/>
          <w:b w:val="0"/>
          <w:i w:val="0"/>
          <w:caps w:val="0"/>
          <w:smallCaps w:val="0"/>
          <w:color w:val="333333"/>
          <w:spacing w:val="0"/>
        </w:rPr>
      </w:r>
      <w:r>
        <w:rPr>
          <w:rFonts w:ascii="Helvetica Neue" w:hAnsi="Helvetica Neue" w:cs="Helvetica Neue"/>
          <w:b w:val="0"/>
          <w:i w:val="0"/>
          <w:caps w:val="0"/>
          <w:smallCaps w:val="0"/>
          <w:color w:val="333333"/>
          <w:spacing w:val="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panose1 w:val="02000603000000000000"/>
  </w:font>
  <w:font w:name="Roboto">
    <w:panose1 w:val="02000000000000000000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2"/>
    <w:next w:val="842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2"/>
    <w:next w:val="842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link w:val="6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link w:val="696"/>
    <w:uiPriority w:val="35"/>
    <w:rPr>
      <w:b/>
      <w:bCs/>
      <w:color w:val="4f81bd" w:themeColor="accent1"/>
      <w:sz w:val="18"/>
      <w:szCs w:val="18"/>
    </w:rPr>
  </w:style>
  <w:style w:type="table" w:styleId="698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8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2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>
    <w:name w:val="No Spacing"/>
    <w:basedOn w:val="842"/>
    <w:uiPriority w:val="1"/>
    <w:qFormat/>
    <w:pPr>
      <w:spacing w:after="0" w:line="240" w:lineRule="auto"/>
    </w:pPr>
  </w:style>
  <w:style w:type="paragraph" w:styleId="846">
    <w:name w:val="List Paragraph"/>
    <w:basedOn w:val="842"/>
    <w:uiPriority w:val="34"/>
    <w:qFormat/>
    <w:pPr>
      <w:contextualSpacing/>
      <w:ind w:left="720"/>
    </w:pPr>
  </w:style>
  <w:style w:type="character" w:styleId="847" w:default="1">
    <w:name w:val="Default Paragraph Font"/>
    <w:uiPriority w:val="1"/>
    <w:semiHidden/>
    <w:unhideWhenUsed/>
  </w:style>
  <w:style w:type="paragraph" w:styleId="848" w:customStyle="1">
    <w:name w:val="First line indent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PT Astra Serif" w:hAnsi="PT Astra Serif" w:eastAsia="Times New Roman" w:cs="PT Astra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zvskaredina</cp:lastModifiedBy>
  <cp:revision>5</cp:revision>
  <dcterms:modified xsi:type="dcterms:W3CDTF">2025-04-04T06:46:01Z</dcterms:modified>
</cp:coreProperties>
</file>