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spacing w:before="0" w:after="0" w:line="240" w:lineRule="auto"/>
        <w:rPr>
          <w:rFonts w:ascii="Times New Roman" w:hAnsi="Times New Roman" w:eastAsia="Times New Roman" w:cs="Times New Roman"/>
          <w:b/>
          <w:color w:val="3d4146"/>
          <w:sz w:val="28"/>
          <w:szCs w:val="28"/>
          <w:lang w:eastAsia="ru-RU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419350" cy="923925"/>
                <wp:effectExtent l="0" t="0" r="0" b="0"/>
                <wp:docPr id="1" name="Рисунок 2" descr="C:\Users\ozakirova\AppData\Local\Microsoft\Windows\INetCache\Content.Word\Основное лого 2 Ямало-Ненецкий АО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C:\Users\ozakirova\AppData\Local\Microsoft\Windows\INetCache\Content.Word\Основное лого 2 Ямало-Ненецкий АО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2419350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90.50pt;height:72.75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3d4146"/>
          <w:sz w:val="28"/>
          <w:szCs w:val="28"/>
          <w:lang w:eastAsia="ru-RU"/>
        </w:rPr>
      </w:r>
    </w:p>
    <w:p>
      <w:pPr>
        <w:pStyle w:val="617"/>
        <w:jc w:val="both"/>
        <w:rPr>
          <w:rFonts w:ascii="Times New Roman" w:hAnsi="Times New Roman" w:cs="Times New Roman"/>
          <w:color w:val="3d4146"/>
          <w:sz w:val="28"/>
          <w:szCs w:val="28"/>
        </w:rPr>
      </w:pPr>
      <w:r>
        <w:rPr>
          <w:rFonts w:ascii="Times New Roman" w:hAnsi="Times New Roman" w:cs="Times New Roman"/>
          <w:color w:val="3d4146"/>
          <w:sz w:val="28"/>
          <w:szCs w:val="28"/>
        </w:rPr>
      </w:r>
      <w:r>
        <w:rPr>
          <w:rFonts w:ascii="Times New Roman" w:hAnsi="Times New Roman" w:cs="Times New Roman"/>
          <w:color w:val="3d4146"/>
          <w:sz w:val="28"/>
          <w:szCs w:val="28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Нотариальное удостоверение договора дарения между гражданами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17"/>
        <w:jc w:val="center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ind w:firstLine="708"/>
        <w:jc w:val="both"/>
        <w:spacing w:before="0"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nos" w:hAnsi="Tinos" w:cs="Times New Roman"/>
          <w:b w:val="0"/>
          <w:bCs w:val="0"/>
          <w:color w:val="000000"/>
          <w:sz w:val="28"/>
          <w:szCs w:val="28"/>
          <w:highlight w:val="white"/>
          <w:shd w:val="clear" w:color="auto" w:fill="ffff00"/>
        </w:rPr>
        <w:t xml:space="preserve">Я</w:t>
      </w:r>
      <w:r>
        <w:rPr>
          <w:rFonts w:ascii="Tinos" w:hAnsi="Tinos" w:cs="Times New Roman"/>
          <w:b w:val="0"/>
          <w:bCs w:val="0"/>
          <w:color w:val="000000"/>
          <w:sz w:val="28"/>
          <w:szCs w:val="28"/>
          <w:highlight w:val="white"/>
          <w:shd w:val="clear" w:color="auto" w:fill="ffff00"/>
        </w:rPr>
        <w:t xml:space="preserve">мальский Росреестр</w:t>
      </w:r>
      <w:r>
        <w:rPr>
          <w:rFonts w:ascii="Tinos" w:hAnsi="Tinos" w:cs="Times New Roman"/>
          <w:b w:val="0"/>
          <w:bCs w:val="0"/>
          <w:color w:val="auto"/>
          <w:sz w:val="28"/>
          <w:szCs w:val="28"/>
        </w:rPr>
        <w:t xml:space="preserve"> информирует, что 13.01.2025 вступил в силу Федеральный закон от 13.12</w:t>
      </w:r>
      <w:r>
        <w:rPr>
          <w:rFonts w:ascii="Tinos" w:hAnsi="Tinos" w:cs="Times New Roman"/>
          <w:b w:val="0"/>
          <w:bCs w:val="0"/>
          <w:color w:val="auto"/>
          <w:sz w:val="28"/>
          <w:szCs w:val="28"/>
        </w:rPr>
        <w:t xml:space="preserve">.2024 № 459-ФЗ «О внесении изменения в статью 574 части второй Гражданского кодекса Российской Федерации», которым устанавливается, что договор дарения недвижимого имущества, заключенный между гражданами, подлежит обязательному нотариальному удостоверению.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17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b w:val="0"/>
          <w:bCs w:val="0"/>
          <w:color w:val="auto"/>
          <w:sz w:val="28"/>
          <w:szCs w:val="28"/>
        </w:rPr>
        <w:tab/>
        <w:t xml:space="preserve">Как прокомментировала заместитель руководителя ведомства Марина Савельева: «</w:t>
      </w:r>
      <w:r>
        <w:rPr>
          <w:rFonts w:ascii="Tinos" w:hAnsi="Tinos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Изменения призваны предупредить возможные злоупотребления со стороны одаряемых, в т.ч. в случаях, когда даритель относится к социально незащищенным слоям населения».</w:t>
      </w:r>
      <w:r>
        <w:rPr>
          <w:rFonts w:ascii="Tinos" w:hAnsi="Tinos"/>
          <w:color w:val="auto"/>
          <w:sz w:val="28"/>
          <w:szCs w:val="28"/>
        </w:rPr>
      </w:r>
    </w:p>
    <w:p>
      <w:pPr>
        <w:pStyle w:val="617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  <w:tab/>
        <w:t xml:space="preserve">Начальн</w:t>
      </w:r>
      <w:r>
        <w:rPr>
          <w:rFonts w:ascii="Tinos" w:hAnsi="Tinos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ик отдела  государственной регистрации недвижимости Управления Светлана Кожевина добавила: «Нотариус  убедится, что даритель и одаряемый действуют добровольно, проверит дееспособность сторон, отсутствие обременений на объект недвижимости и иные юридические</w:t>
      </w:r>
      <w:r>
        <w:rPr>
          <w:rFonts w:ascii="Tinos" w:hAnsi="Tinos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 особенности сделки, а также разъяснит последствия заключения договора дарения и направит  документы в Росреестр в электронном виде, чтобы зарегистрировать переход права собственности на объект. Отмечу, что срок регистрации сделки составит 1 рабочий день».</w:t>
      </w:r>
      <w:r>
        <w:rPr>
          <w:rFonts w:ascii="Tinos" w:hAnsi="Tinos"/>
          <w:color w:val="auto"/>
          <w:sz w:val="28"/>
          <w:szCs w:val="28"/>
        </w:rPr>
      </w:r>
    </w:p>
    <w:p>
      <w:pPr>
        <w:pStyle w:val="617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#РосреестрЯНАО</w:t>
      </w:r>
      <w:r>
        <w:rPr>
          <w:rFonts w:ascii="Tinos" w:hAnsi="Tinos"/>
          <w:color w:val="auto"/>
          <w:sz w:val="28"/>
          <w:szCs w:val="28"/>
        </w:rPr>
      </w:r>
    </w:p>
    <w:p>
      <w:pPr>
        <w:pStyle w:val="617"/>
        <w:jc w:val="both"/>
        <w:rPr>
          <w:rFonts w:ascii="Tinos" w:hAnsi="Tinos"/>
          <w:color w:val="auto"/>
          <w:sz w:val="28"/>
          <w:szCs w:val="28"/>
        </w:rPr>
      </w:pPr>
      <w:r>
        <w:rPr>
          <w:rFonts w:ascii="Tinos" w:hAnsi="Tinos"/>
          <w:b w:val="0"/>
          <w:bCs w:val="0"/>
          <w:i w:val="0"/>
          <w:caps w:val="0"/>
          <w:smallCaps w:val="0"/>
          <w:color w:val="auto"/>
          <w:spacing w:val="0"/>
          <w:sz w:val="28"/>
          <w:szCs w:val="28"/>
        </w:rPr>
        <w:t xml:space="preserve">#РосреестрРазъясняет</w:t>
      </w:r>
      <w:r>
        <w:rPr>
          <w:rFonts w:ascii="Tinos" w:hAnsi="Tinos"/>
          <w:color w:val="auto"/>
          <w:sz w:val="28"/>
          <w:szCs w:val="28"/>
        </w:rPr>
      </w:r>
    </w:p>
    <w:p>
      <w:pPr>
        <w:pStyle w:val="617"/>
        <w:rPr>
          <w:rFonts w:ascii="Tinos" w:hAnsi="Tinos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nos" w:hAnsi="Tinos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r>
      <w:r>
        <w:rPr>
          <w:rFonts w:ascii="Tinos" w:hAnsi="Tinos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617"/>
        <w:rPr>
          <w:rFonts w:ascii="Tinos" w:hAnsi="Tinos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pPr>
      <w:r>
        <w:rPr>
          <w:rFonts w:ascii="Tinos" w:hAnsi="Tinos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r>
      <w:r>
        <w:rPr>
          <w:rFonts w:ascii="Tinos" w:hAnsi="Tinos"/>
          <w:b w:val="0"/>
          <w:bCs/>
          <w:i w:val="0"/>
          <w:caps w:val="0"/>
          <w:smallCaps w:val="0"/>
          <w:color w:val="auto"/>
          <w:spacing w:val="0"/>
          <w:sz w:val="28"/>
          <w:szCs w:val="28"/>
        </w:rPr>
      </w:r>
    </w:p>
    <w:p>
      <w:pPr>
        <w:pStyle w:val="617"/>
        <w:ind w:left="0" w:right="0" w:firstLine="0"/>
        <w:jc w:val="both"/>
        <w:widowControl/>
        <w:rPr>
          <w:b w:val="0"/>
          <w:i w:val="0"/>
          <w:caps w:val="0"/>
          <w:smallCaps w:val="0"/>
          <w:spacing w:val="0"/>
        </w:rPr>
      </w:pPr>
      <w:r>
        <w:rPr>
          <w:rFonts w:ascii="Tinos" w:hAnsi="Tinos"/>
          <w:color w:val="auto"/>
          <w:sz w:val="28"/>
          <w:szCs w:val="28"/>
        </w:rPr>
      </w:r>
      <w:r>
        <w:rPr>
          <w:b w:val="0"/>
          <w:i w:val="0"/>
          <w:caps w:val="0"/>
          <w:smallCaps w:val="0"/>
          <w:spacing w:val="0"/>
        </w:rPr>
      </w:r>
    </w:p>
    <w:p>
      <w:pPr>
        <w:pStyle w:val="617"/>
        <w:ind w:left="0" w:right="0" w:firstLine="0"/>
        <w:jc w:val="both"/>
        <w:widowControl/>
        <w:rPr>
          <w:rFonts w:ascii="PT Sans;serif" w:hAnsi="PT Sans;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</w:pPr>
      <w:r>
        <w:rPr>
          <w:rFonts w:ascii="PT Sans;serif" w:hAnsi="PT Sans;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</w:r>
      <w:r>
        <w:rPr>
          <w:rFonts w:ascii="PT Sans;serif" w:hAnsi="PT Sans;serif"/>
          <w:b w:val="0"/>
          <w:i w:val="0"/>
          <w:caps w:val="0"/>
          <w:smallCaps w:val="0"/>
          <w:color w:val="333333"/>
          <w:spacing w:val="0"/>
          <w:sz w:val="28"/>
          <w:szCs w:val="28"/>
        </w:rPr>
      </w:r>
    </w:p>
    <w:p>
      <w:pPr>
        <w:pStyle w:val="617"/>
        <w:ind w:firstLine="708"/>
        <w:jc w:val="both"/>
        <w:spacing w:before="0" w:after="16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PT Sans;serif" w:hAnsi="PT Sans;serif"/>
          <w:b w:val="0"/>
          <w:i w:val="0"/>
          <w:caps w:val="0"/>
          <w:smallCaps w:val="0"/>
          <w:color w:val="333333"/>
          <w:spacing w:val="0"/>
          <w:sz w:val="30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991" w:bottom="1134" w:left="1560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Sans;serif">
    <w:panose1 w:val="020B0503020203020204"/>
  </w:font>
  <w:font w:name="Tinos">
    <w:panose1 w:val="02020603050405020304"/>
  </w:font>
  <w:font w:name="Times New Roman">
    <w:panose1 w:val="02020603050405020304"/>
  </w:font>
  <w:font w:name="Tahoma">
    <w:panose1 w:val="020B0604030504040204"/>
  </w:font>
  <w:font w:name="Noto Sans Devanagari">
    <w:panose1 w:val="020B0502040504020204"/>
  </w:font>
  <w:font w:name="Segoe UI">
    <w:panose1 w:val="020B05020405040202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character" w:styleId="47">
    <w:name w:val="Caption Char"/>
    <w:basedOn w:val="625"/>
    <w:link w:val="44"/>
    <w:uiPriority w:val="99"/>
  </w:style>
  <w:style w:type="table" w:styleId="48">
    <w:name w:val="Table Grid"/>
    <w:basedOn w:val="62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spacing w:before="0" w:after="160" w:line="259" w:lineRule="auto"/>
      <w:widowControl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character" w:styleId="618" w:default="1">
    <w:name w:val="Default Paragraph Font"/>
    <w:uiPriority w:val="1"/>
    <w:semiHidden/>
    <w:unhideWhenUsed/>
    <w:qFormat/>
  </w:style>
  <w:style w:type="character" w:styleId="619">
    <w:name w:val="Hyperlink"/>
    <w:basedOn w:val="618"/>
    <w:uiPriority w:val="99"/>
    <w:semiHidden/>
    <w:unhideWhenUsed/>
    <w:rPr>
      <w:color w:val="0000ff"/>
      <w:u w:val="single"/>
    </w:rPr>
  </w:style>
  <w:style w:type="character" w:styleId="620" w:customStyle="1">
    <w:name w:val="Текст выноски Знак"/>
    <w:basedOn w:val="618"/>
    <w:link w:val="627"/>
    <w:uiPriority w:val="99"/>
    <w:semiHidden/>
    <w:qFormat/>
    <w:rPr>
      <w:rFonts w:ascii="Segoe UI" w:hAnsi="Segoe UI" w:cs="Segoe UI"/>
      <w:sz w:val="18"/>
      <w:szCs w:val="18"/>
    </w:rPr>
  </w:style>
  <w:style w:type="character" w:styleId="621">
    <w:name w:val="FollowedHyperlink"/>
    <w:basedOn w:val="618"/>
    <w:uiPriority w:val="99"/>
    <w:semiHidden/>
    <w:unhideWhenUsed/>
    <w:rPr>
      <w:color w:val="954f72" w:themeColor="followedHyperlink"/>
      <w:u w:val="single"/>
    </w:rPr>
  </w:style>
  <w:style w:type="paragraph" w:styleId="622">
    <w:name w:val="Заголовок"/>
    <w:basedOn w:val="617"/>
    <w:next w:val="623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623">
    <w:name w:val="Body Text"/>
    <w:basedOn w:val="617"/>
    <w:pPr>
      <w:spacing w:before="0" w:after="140" w:line="276" w:lineRule="auto"/>
    </w:pPr>
  </w:style>
  <w:style w:type="paragraph" w:styleId="624">
    <w:name w:val="List"/>
    <w:basedOn w:val="623"/>
    <w:rPr>
      <w:rFonts w:ascii="PT Astra Serif" w:hAnsi="PT Astra Serif" w:cs="Noto Sans Devanagari"/>
    </w:rPr>
  </w:style>
  <w:style w:type="paragraph" w:styleId="625">
    <w:name w:val="Caption"/>
    <w:basedOn w:val="617"/>
    <w:qFormat/>
    <w:pPr>
      <w:spacing w:before="120" w:after="120"/>
      <w:suppressLineNumbers/>
    </w:pPr>
    <w:rPr>
      <w:rFonts w:ascii="PT Astra Serif" w:hAnsi="PT Astra Serif" w:cs="Noto Sans Devanagari"/>
      <w:i/>
      <w:iCs/>
      <w:sz w:val="24"/>
      <w:szCs w:val="24"/>
    </w:rPr>
  </w:style>
  <w:style w:type="paragraph" w:styleId="626">
    <w:name w:val="Указатель"/>
    <w:basedOn w:val="617"/>
    <w:qFormat/>
    <w:pPr>
      <w:suppressLineNumbers/>
    </w:pPr>
    <w:rPr>
      <w:rFonts w:ascii="PT Astra Serif" w:hAnsi="PT Astra Serif" w:cs="Noto Sans Devanagari"/>
    </w:rPr>
  </w:style>
  <w:style w:type="paragraph" w:styleId="627">
    <w:name w:val="Balloon Text"/>
    <w:basedOn w:val="617"/>
    <w:link w:val="620"/>
    <w:uiPriority w:val="99"/>
    <w:semiHidden/>
    <w:unhideWhenUsed/>
    <w:qFormat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numbering" w:styleId="628" w:default="1">
    <w:name w:val="No List"/>
    <w:uiPriority w:val="99"/>
    <w:semiHidden/>
    <w:unhideWhenUsed/>
    <w:qFormat/>
  </w:style>
  <w:style w:type="table" w:styleId="629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Закирова Ольга Юрьевна</dc:creator>
  <dc:description/>
  <dc:language>ru-RU</dc:language>
  <cp:revision>6</cp:revision>
  <dcterms:created xsi:type="dcterms:W3CDTF">2024-02-08T05:21:00Z</dcterms:created>
  <dcterms:modified xsi:type="dcterms:W3CDTF">2025-01-21T12:13:18Z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