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Список транспортных средств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559"/>
        <w:gridCol w:w="3402"/>
      </w:tblGrid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 п/п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Марка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Цвет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Гос. номер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Месторасположение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559"/>
        <w:gridCol w:w="3402"/>
      </w:tblGrid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 621 ОС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мкр. Мирный 2/2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Газель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зеленый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 027 ВХ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мкр. Мирный, 7/1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сине-зеленый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 569 УР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мкр. Мирный, 4/2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б/н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мкр. Мирный, 4/2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б/н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пр. Ленинградский, 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АУДИ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б/н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Газовиков, 2Д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 416 ВУ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Железнодорожная, 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Mitsubishi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 678 УА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Сибирская, 69 (за домом)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2024-10-11T11:33:11Z</dcterms:modified>
</cp:coreProperties>
</file>