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EB" w:rsidRDefault="0062185E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FF14EB" w:rsidRDefault="0062185E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FF14EB" w:rsidRDefault="0062185E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FF14EB" w:rsidRDefault="0062185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от                      №                </w:t>
      </w:r>
    </w:p>
    <w:p w:rsidR="00FF14EB" w:rsidRDefault="00FF14EB">
      <w:pPr>
        <w:ind w:firstLine="708"/>
        <w:contextualSpacing/>
        <w:jc w:val="center"/>
        <w:rPr>
          <w:rFonts w:ascii="Liberation Sans" w:hAnsi="Liberation Sans"/>
        </w:rPr>
      </w:pPr>
    </w:p>
    <w:p w:rsidR="00FF14EB" w:rsidRDefault="00FF14EB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FF14EB" w:rsidRDefault="0062185E">
      <w:pPr>
        <w:ind w:firstLine="708"/>
        <w:contextualSpacing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Извещение </w:t>
      </w:r>
    </w:p>
    <w:p w:rsidR="00FF14EB" w:rsidRDefault="0062185E">
      <w:pPr>
        <w:contextualSpacing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о проведении электронного аукциона </w:t>
      </w:r>
    </w:p>
    <w:p w:rsidR="00FF14EB" w:rsidRDefault="0062185E">
      <w:pPr>
        <w:ind w:firstLine="708"/>
        <w:contextualSpacing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на право заключения договора аренды</w:t>
      </w:r>
    </w:p>
    <w:p w:rsidR="00FF14EB" w:rsidRDefault="0062185E">
      <w:pPr>
        <w:ind w:firstLine="708"/>
        <w:contextualSpacing/>
        <w:jc w:val="center"/>
        <w:rPr>
          <w:rFonts w:ascii="Liberation Sans" w:hAnsi="Liberation Sans"/>
          <w:b/>
          <w:highlight w:val="yellow"/>
        </w:rPr>
      </w:pPr>
      <w:r>
        <w:rPr>
          <w:rFonts w:ascii="Liberation Sans" w:hAnsi="Liberation Sans"/>
          <w:b/>
        </w:rPr>
        <w:t xml:space="preserve">земельного участка </w:t>
      </w:r>
      <w:r>
        <w:rPr>
          <w:rFonts w:ascii="Liberation Sans" w:hAnsi="Liberation Sans"/>
          <w:b/>
          <w:bCs/>
        </w:rPr>
        <w:t>№ 40-2024/ЭЗ</w:t>
      </w:r>
    </w:p>
    <w:p w:rsidR="00FF14EB" w:rsidRDefault="00FF14EB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FF14EB" w:rsidRDefault="00FF14EB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FF14EB" w:rsidRDefault="0062185E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распоряжения заместителя Главы Администрации города от 22.08.2024 № 1059-рз «О проведении аукциона на право заключения договора аренды земельного участка для размещения (строительства) объекта общественного питания».</w:t>
      </w:r>
    </w:p>
    <w:p w:rsidR="00FF14EB" w:rsidRDefault="0062185E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FF14EB" w:rsidRDefault="0062185E">
      <w:pPr>
        <w:pStyle w:val="afa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Общие положения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</w:rPr>
        <w:t>ДИиЖО</w:t>
      </w:r>
      <w:proofErr w:type="spellEnd"/>
      <w:r>
        <w:rPr>
          <w:rFonts w:ascii="Liberation Sans" w:hAnsi="Liberation Sans"/>
          <w:bCs/>
        </w:rPr>
        <w:t xml:space="preserve">, Организатор аукциона).  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</w:rPr>
        <w:t>Ivan</w:t>
      </w:r>
      <w:r>
        <w:rPr>
          <w:rFonts w:ascii="Liberation Sans" w:hAnsi="Liberation Sans"/>
          <w:bCs/>
          <w:lang w:val="en-US"/>
        </w:rPr>
        <w:t>ts</w:t>
      </w:r>
      <w:proofErr w:type="spellEnd"/>
      <w:r>
        <w:rPr>
          <w:rFonts w:ascii="Liberation Sans" w:hAnsi="Liberation Sans"/>
          <w:bCs/>
        </w:rPr>
        <w:t xml:space="preserve">ova.OI@nur.yanao.ru, </w:t>
      </w:r>
      <w:hyperlink r:id="rId9" w:tooltip="mailto:solovey.vv@nur.yanao.ru" w:history="1">
        <w:r>
          <w:rPr>
            <w:rStyle w:val="af9"/>
            <w:rFonts w:ascii="Liberation Sans" w:hAnsi="Liberation Sans"/>
            <w:bCs/>
          </w:rPr>
          <w:t>solovey.vv@nur.yanao.ru</w:t>
        </w:r>
      </w:hyperlink>
      <w:r>
        <w:rPr>
          <w:rFonts w:ascii="Liberation Sans" w:hAnsi="Liberation Sans"/>
          <w:bCs/>
        </w:rPr>
        <w:t>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9"/>
            <w:rFonts w:ascii="Liberation Sans" w:hAnsi="Liberation Sans"/>
          </w:rPr>
          <w:t>https://utp.sberbank-ast.ru/AP/List/BidList</w:t>
        </w:r>
      </w:hyperlink>
      <w:r>
        <w:rPr>
          <w:rFonts w:ascii="Liberation Sans" w:hAnsi="Liberation Sans"/>
          <w:bCs/>
        </w:rPr>
        <w:t>).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Юридический адрес: 127055, г. Москва,  ул. Новослободская, д. 24, стр. 2. 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Фактический адрес: 119435, г. Москва, Большой Саввинский переулок, дом 12, стр. 9. 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Служба технической поддержки: property@sberbank-ast.ru.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Телефоны:  8 (800) 302-29-99, 8 (495) 787-29-97, 8 (495) 787-29-99,                                         8 (495) 539-59-23. 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Претендент (заявитель) – пользователь торговой секции, подавший заявку на участие в аукционе.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lastRenderedPageBreak/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FF14EB" w:rsidRDefault="00FF14EB">
      <w:pPr>
        <w:pStyle w:val="afa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highlight w:val="white"/>
        </w:rPr>
      </w:pP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>
        <w:rPr>
          <w:rFonts w:ascii="Liberation Sans" w:hAnsi="Liberation Sans"/>
          <w:b/>
          <w:bCs/>
          <w:color w:val="000000"/>
        </w:rPr>
        <w:t>с 14 ч. 00 мин. (время московское) 30.09.2024.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>
        <w:rPr>
          <w:rFonts w:ascii="Liberation Sans" w:hAnsi="Liberation Sans"/>
          <w:b/>
          <w:bCs/>
          <w:color w:val="000000"/>
        </w:rPr>
        <w:t>до 09 ч. 59 мин. (время московское) 12.11.2024</w:t>
      </w:r>
    </w:p>
    <w:p w:rsidR="00FF14EB" w:rsidRDefault="0062185E">
      <w:pPr>
        <w:pStyle w:val="afa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</w:rPr>
        <w:t xml:space="preserve">14.11.2024. </w:t>
      </w:r>
    </w:p>
    <w:p w:rsidR="00FF14EB" w:rsidRDefault="0062185E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>
        <w:rPr>
          <w:rFonts w:ascii="Liberation Sans" w:hAnsi="Liberation Sans"/>
          <w:b/>
          <w:bCs/>
          <w:color w:val="000000"/>
        </w:rPr>
        <w:t xml:space="preserve">в 07 ч. 00 мин. (время московское) 15.11.2024. </w:t>
      </w:r>
    </w:p>
    <w:p w:rsidR="00FF14EB" w:rsidRDefault="00FF14EB">
      <w:pPr>
        <w:pStyle w:val="afa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</w:rPr>
      </w:pPr>
    </w:p>
    <w:p w:rsidR="00FF14EB" w:rsidRDefault="0062185E">
      <w:pPr>
        <w:ind w:firstLine="709"/>
        <w:contextualSpacing/>
        <w:rPr>
          <w:rFonts w:ascii="Liberation Sans" w:hAnsi="Liberation Sans"/>
          <w:bCs/>
        </w:rPr>
      </w:pPr>
      <w:r>
        <w:rPr>
          <w:rFonts w:ascii="Liberation Sans" w:hAnsi="Liberation Sans"/>
        </w:rPr>
        <w:t>На аукцион выставлен 1  лот.</w:t>
      </w:r>
    </w:p>
    <w:p w:rsidR="00FF14EB" w:rsidRDefault="00FF14EB">
      <w:pPr>
        <w:contextualSpacing/>
        <w:rPr>
          <w:rFonts w:ascii="Liberation Sans" w:hAnsi="Liberation Sans"/>
          <w:b/>
          <w:bCs/>
          <w:color w:val="000000"/>
        </w:rPr>
      </w:pPr>
    </w:p>
    <w:p w:rsidR="00FF14EB" w:rsidRDefault="0062185E">
      <w:pPr>
        <w:ind w:firstLine="709"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</w:rPr>
        <w:t>Лот № 1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Кадастровый номер:</w:t>
      </w:r>
      <w:r>
        <w:rPr>
          <w:rFonts w:ascii="Liberation Sans" w:hAnsi="Liberation Sans"/>
        </w:rPr>
        <w:t xml:space="preserve"> 89:11:080201:7204.</w:t>
      </w:r>
    </w:p>
    <w:p w:rsidR="009C3710" w:rsidRDefault="0062185E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Площадь:</w:t>
      </w:r>
      <w:r w:rsidR="009C3710">
        <w:rPr>
          <w:rFonts w:ascii="Liberation Sans" w:hAnsi="Liberation Sans"/>
        </w:rPr>
        <w:t xml:space="preserve"> </w:t>
      </w:r>
      <w:bookmarkStart w:id="0" w:name="_GoBack"/>
      <w:r w:rsidR="009C3710">
        <w:rPr>
          <w:rFonts w:ascii="Liberation Sans" w:hAnsi="Liberation Sans"/>
        </w:rPr>
        <w:t>1 962 кв. м.</w:t>
      </w:r>
      <w:bookmarkEnd w:id="0"/>
    </w:p>
    <w:p w:rsidR="00FF14EB" w:rsidRDefault="0062185E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Местонахождение:</w:t>
      </w:r>
      <w:r>
        <w:rPr>
          <w:rFonts w:ascii="Liberation Sans" w:hAnsi="Liberation Sans"/>
        </w:rPr>
        <w:t xml:space="preserve"> Ямало-Ненецкий автономный округ, г. Новый Уренгой, район </w:t>
      </w:r>
      <w:proofErr w:type="spellStart"/>
      <w:r>
        <w:rPr>
          <w:rFonts w:ascii="Liberation Sans" w:hAnsi="Liberation Sans"/>
        </w:rPr>
        <w:t>Коротчаево</w:t>
      </w:r>
      <w:proofErr w:type="spellEnd"/>
      <w:r>
        <w:rPr>
          <w:rFonts w:ascii="Liberation Sans" w:hAnsi="Liberation Sans"/>
        </w:rPr>
        <w:t xml:space="preserve">.          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Назначение: </w:t>
      </w:r>
      <w:r>
        <w:rPr>
          <w:rFonts w:ascii="Liberation Sans" w:hAnsi="Liberation Sans"/>
        </w:rPr>
        <w:t>для размещения (строительства) объекта общественного питания.</w:t>
      </w:r>
    </w:p>
    <w:p w:rsidR="00FF14EB" w:rsidRDefault="0062185E">
      <w:pPr>
        <w:pStyle w:val="18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>
        <w:rPr>
          <w:rFonts w:ascii="Liberation Sans" w:hAnsi="Liberation Sans"/>
          <w:sz w:val="24"/>
          <w:szCs w:val="24"/>
        </w:rPr>
        <w:t>общественное питание (код 4.6).</w:t>
      </w:r>
    </w:p>
    <w:p w:rsidR="00FF14EB" w:rsidRDefault="0062185E">
      <w:pPr>
        <w:pStyle w:val="18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FF14EB" w:rsidRDefault="0062185E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</w:rPr>
        <w:t xml:space="preserve"> </w:t>
      </w:r>
      <w:r>
        <w:rPr>
          <w:rFonts w:ascii="Liberation Sans" w:hAnsi="Liberation Sans"/>
        </w:rPr>
        <w:t>которые</w:t>
      </w:r>
      <w:r>
        <w:rPr>
          <w:rFonts w:ascii="Liberation Sans" w:hAnsi="Liberation Sans"/>
          <w:spacing w:val="-6"/>
        </w:rPr>
        <w:t xml:space="preserve"> </w:t>
      </w:r>
      <w:r>
        <w:rPr>
          <w:rFonts w:ascii="Liberation Sans" w:hAnsi="Liberation Sans"/>
        </w:rPr>
        <w:t>не</w:t>
      </w:r>
      <w:r>
        <w:rPr>
          <w:rFonts w:ascii="Liberation Sans" w:hAnsi="Liberation Sans"/>
          <w:spacing w:val="-6"/>
        </w:rPr>
        <w:t xml:space="preserve"> </w:t>
      </w:r>
      <w:r>
        <w:rPr>
          <w:rFonts w:ascii="Liberation Sans" w:hAnsi="Liberation Sans"/>
        </w:rPr>
        <w:t>разграничена.</w:t>
      </w:r>
      <w:r>
        <w:rPr>
          <w:rFonts w:ascii="Liberation Sans" w:hAnsi="Liberation Sans"/>
          <w:spacing w:val="-6"/>
        </w:rPr>
        <w:t xml:space="preserve"> </w:t>
      </w:r>
    </w:p>
    <w:p w:rsidR="00FF14EB" w:rsidRDefault="0062185E">
      <w:pPr>
        <w:pStyle w:val="18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>
        <w:rPr>
          <w:rFonts w:ascii="Liberation Sans" w:hAnsi="Liberation Sans"/>
          <w:b/>
          <w:sz w:val="24"/>
          <w:szCs w:val="24"/>
        </w:rPr>
        <w:t>участка</w:t>
      </w:r>
      <w:r>
        <w:rPr>
          <w:rFonts w:ascii="Liberation Sans" w:hAnsi="Liberation Sans"/>
          <w:sz w:val="24"/>
          <w:szCs w:val="24"/>
        </w:rPr>
        <w:t xml:space="preserve"> –  4 года 10 месяцев.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Кадастровая стоимость земельного участка составляет –                      2 422 383,3 руб.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Начальная цена предмета аукциона</w:t>
      </w:r>
      <w:r>
        <w:rPr>
          <w:rFonts w:ascii="Liberation Sans" w:hAnsi="Liberation Sans"/>
        </w:rPr>
        <w:t xml:space="preserve"> (10 % от кадастровой стоимости земельного участка) составляет – 242 238,33 руб. </w:t>
      </w:r>
    </w:p>
    <w:p w:rsidR="00FF14EB" w:rsidRDefault="0062185E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FF14EB" w:rsidRDefault="0062185E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Шаг аукциона</w:t>
      </w:r>
      <w:r>
        <w:rPr>
          <w:rFonts w:ascii="Liberation Sans" w:hAnsi="Liberation Sans"/>
        </w:rPr>
        <w:t xml:space="preserve"> составляет 3% от начальной цены предмета аукциона –  7 267,15 руб. </w:t>
      </w:r>
    </w:p>
    <w:p w:rsidR="00FF14EB" w:rsidRDefault="0062185E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Размер задатка</w:t>
      </w:r>
      <w:r>
        <w:rPr>
          <w:rFonts w:ascii="Liberation Sans" w:hAnsi="Liberation Sans"/>
        </w:rPr>
        <w:t xml:space="preserve"> составляет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20 % от начальной цены предмета аукциона – 48 447,67 руб.</w:t>
      </w:r>
    </w:p>
    <w:p w:rsidR="00FF14EB" w:rsidRDefault="00FF14E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FF14EB" w:rsidRDefault="0062185E">
      <w:pPr>
        <w:pStyle w:val="75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pacing w:val="-6"/>
          <w:sz w:val="24"/>
          <w:szCs w:val="24"/>
        </w:rPr>
        <w:t xml:space="preserve">  </w:t>
      </w:r>
      <w:r>
        <w:rPr>
          <w:rFonts w:ascii="Liberation Sans" w:hAnsi="Liberation Sans"/>
          <w:b/>
          <w:color w:val="000000"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4"/>
          <w:szCs w:val="24"/>
        </w:rPr>
        <w:t xml:space="preserve"> </w:t>
      </w:r>
    </w:p>
    <w:p w:rsidR="00FF14EB" w:rsidRDefault="0062185E">
      <w:pPr>
        <w:pStyle w:val="18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lastRenderedPageBreak/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        № 240, земельный участок расположен в к</w:t>
      </w:r>
      <w:r>
        <w:rPr>
          <w:rFonts w:ascii="Liberation Sans" w:hAnsi="Liberation Sans"/>
          <w:sz w:val="24"/>
          <w:szCs w:val="24"/>
        </w:rPr>
        <w:t xml:space="preserve">оммунально-складской зоне </w:t>
      </w:r>
      <w:r>
        <w:rPr>
          <w:rFonts w:ascii="Liberation Sans" w:hAnsi="Liberation Sans"/>
          <w:color w:val="000000"/>
          <w:sz w:val="24"/>
          <w:szCs w:val="24"/>
        </w:rPr>
        <w:t>(П</w:t>
      </w:r>
      <w:proofErr w:type="gramStart"/>
      <w:r>
        <w:rPr>
          <w:rFonts w:ascii="Liberation Sans" w:hAnsi="Liberation Sans"/>
          <w:color w:val="000000"/>
          <w:sz w:val="24"/>
          <w:szCs w:val="24"/>
        </w:rPr>
        <w:t>2</w:t>
      </w:r>
      <w:proofErr w:type="gramEnd"/>
      <w:r>
        <w:rPr>
          <w:rFonts w:ascii="Liberation Sans" w:hAnsi="Liberation Sans"/>
          <w:color w:val="000000"/>
          <w:sz w:val="24"/>
          <w:szCs w:val="24"/>
        </w:rPr>
        <w:t>). Максимальный процент застройки  в границах земельного участка составляет 70%. Предельное количество этажей – 3.</w:t>
      </w:r>
    </w:p>
    <w:p w:rsidR="00FF14EB" w:rsidRDefault="00FF14EB">
      <w:pPr>
        <w:pStyle w:val="18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FF14EB" w:rsidRDefault="0062185E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4"/>
          <w:szCs w:val="24"/>
          <w:u w:val="single"/>
        </w:rPr>
      </w:pPr>
      <w:r>
        <w:rPr>
          <w:rFonts w:ascii="Liberation Sans" w:hAnsi="Liberation Sans"/>
          <w:b w:val="0"/>
          <w:i w:val="0"/>
          <w:sz w:val="24"/>
          <w:szCs w:val="24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в </w:t>
      </w:r>
      <w:r>
        <w:rPr>
          <w:rFonts w:ascii="Liberation Sans" w:hAnsi="Liberation Sans"/>
          <w:b w:val="0"/>
          <w:sz w:val="24"/>
          <w:szCs w:val="24"/>
          <w:u w:val="single"/>
        </w:rPr>
        <w:t xml:space="preserve">зоне застройки </w:t>
      </w:r>
      <w:r>
        <w:rPr>
          <w:rFonts w:ascii="Liberation Sans" w:hAnsi="Liberation Sans"/>
          <w:color w:val="000000" w:themeColor="text1"/>
          <w:sz w:val="24"/>
          <w:szCs w:val="24"/>
        </w:rPr>
        <w:t>Коммунально-складская зон</w:t>
      </w:r>
      <w:proofErr w:type="gramStart"/>
      <w:r>
        <w:rPr>
          <w:rFonts w:ascii="Liberation Sans" w:hAnsi="Liberation Sans"/>
          <w:color w:val="000000" w:themeColor="text1"/>
          <w:sz w:val="24"/>
          <w:szCs w:val="24"/>
        </w:rPr>
        <w:t>а(</w:t>
      </w:r>
      <w:proofErr w:type="gramEnd"/>
      <w:r>
        <w:rPr>
          <w:rFonts w:ascii="Liberation Sans" w:hAnsi="Liberation Sans"/>
          <w:color w:val="000000" w:themeColor="text1"/>
          <w:sz w:val="24"/>
          <w:szCs w:val="24"/>
        </w:rPr>
        <w:t>П2)</w:t>
      </w:r>
    </w:p>
    <w:p w:rsidR="00FF14EB" w:rsidRDefault="00FF14EB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978"/>
        <w:gridCol w:w="5245"/>
      </w:tblGrid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78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eastAsia="Calibri" w:hAnsi="Liberation Sans"/>
                <w:bCs/>
                <w:color w:val="000000" w:themeColor="text1"/>
                <w:sz w:val="16"/>
                <w:szCs w:val="16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F14EB"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Коммунальное обслуживание (код 3.1)</w:t>
            </w:r>
          </w:p>
        </w:tc>
        <w:tc>
          <w:tcPr>
            <w:tcW w:w="2978" w:type="dxa"/>
          </w:tcPr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</w:t>
            </w:r>
          </w:p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50 %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Деловое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управление (код 4.1)</w:t>
            </w:r>
          </w:p>
        </w:tc>
        <w:tc>
          <w:tcPr>
            <w:tcW w:w="2978" w:type="dxa"/>
          </w:tcPr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ограничения использования земельных участков и объектов </w:t>
            </w:r>
          </w:p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FF14EB">
        <w:trPr>
          <w:cantSplit/>
          <w:trHeight w:val="239"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Склад (код 6.9)</w:t>
            </w:r>
          </w:p>
        </w:tc>
        <w:tc>
          <w:tcPr>
            <w:tcW w:w="2978" w:type="dxa"/>
            <w:vMerge w:val="restart"/>
          </w:tcPr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Учитывать установленные 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  <w:p w:rsidR="00FF14EB" w:rsidRDefault="00FF14EB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- 4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  <w:trHeight w:val="1390"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Производственная деятельность (код 6.0) </w:t>
            </w:r>
          </w:p>
        </w:tc>
        <w:tc>
          <w:tcPr>
            <w:tcW w:w="2978" w:type="dxa"/>
            <w:vMerge/>
          </w:tcPr>
          <w:p w:rsidR="00FF14EB" w:rsidRDefault="00FF14EB">
            <w:pPr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  <w:trHeight w:val="1390"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Улично-дорожная сеть (код 12.0.1)</w:t>
            </w:r>
          </w:p>
        </w:tc>
        <w:tc>
          <w:tcPr>
            <w:tcW w:w="2978" w:type="dxa"/>
            <w:vMerge/>
          </w:tcPr>
          <w:p w:rsidR="00FF14EB" w:rsidRDefault="00FF14EB">
            <w:pPr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pStyle w:val="112"/>
              <w:ind w:left="0"/>
              <w:jc w:val="left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Данный параметр не подлежит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Установлению,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.</w:t>
            </w:r>
          </w:p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Предельное количество этажей - 1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Данный параметр не подлежит установлению 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 xml:space="preserve">Служебные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гаражи (код 4.9)</w:t>
            </w:r>
          </w:p>
        </w:tc>
        <w:tc>
          <w:tcPr>
            <w:tcW w:w="2978" w:type="dxa"/>
            <w:vMerge/>
          </w:tcPr>
          <w:p w:rsidR="00FF14EB" w:rsidRDefault="00FF14EB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Связь (код 6.8)</w:t>
            </w:r>
          </w:p>
        </w:tc>
        <w:tc>
          <w:tcPr>
            <w:tcW w:w="2978" w:type="dxa"/>
            <w:vMerge/>
          </w:tcPr>
          <w:p w:rsidR="00FF14EB" w:rsidRDefault="00FF14EB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- 1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Энергетика (код 6.7)</w:t>
            </w:r>
          </w:p>
        </w:tc>
        <w:tc>
          <w:tcPr>
            <w:tcW w:w="2978" w:type="dxa"/>
            <w:vMerge/>
          </w:tcPr>
          <w:p w:rsidR="00FF14EB" w:rsidRDefault="00FF14EB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Style w:val="FontStyle22"/>
                <w:rFonts w:ascii="Liberation Sans" w:hAnsi="Liberation Sans"/>
                <w:color w:val="000000" w:themeColor="text1"/>
                <w:sz w:val="16"/>
                <w:szCs w:val="16"/>
              </w:rPr>
              <w:t>Приюты для животных (код 3.10.2)</w:t>
            </w:r>
          </w:p>
        </w:tc>
        <w:tc>
          <w:tcPr>
            <w:tcW w:w="2978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  <w:trHeight w:val="239"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Магазины (код 4.4)</w:t>
            </w:r>
          </w:p>
        </w:tc>
        <w:tc>
          <w:tcPr>
            <w:tcW w:w="2978" w:type="dxa"/>
            <w:vMerge w:val="restart"/>
          </w:tcPr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- 4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Общественное питание (код 4.6)</w:t>
            </w:r>
          </w:p>
        </w:tc>
        <w:tc>
          <w:tcPr>
            <w:tcW w:w="2978" w:type="dxa"/>
            <w:vMerge/>
          </w:tcPr>
          <w:p w:rsidR="00FF14EB" w:rsidRDefault="00FF14EB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- 3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Обеспечение внутреннего правопорядка (код 8.3)</w:t>
            </w:r>
          </w:p>
        </w:tc>
        <w:tc>
          <w:tcPr>
            <w:tcW w:w="2978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FF14EB">
        <w:trPr>
          <w:cantSplit/>
          <w:trHeight w:val="239"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lastRenderedPageBreak/>
              <w:t>Объекты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дорожного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сервиса (код 4.9.1)</w:t>
            </w:r>
          </w:p>
        </w:tc>
        <w:tc>
          <w:tcPr>
            <w:tcW w:w="2978" w:type="dxa"/>
            <w:vMerge w:val="restart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ограничения использования земельных участков и объектов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Хранение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автотранспорта (код 2.7.1) </w:t>
            </w:r>
          </w:p>
        </w:tc>
        <w:tc>
          <w:tcPr>
            <w:tcW w:w="2978" w:type="dxa"/>
            <w:vMerge/>
          </w:tcPr>
          <w:p w:rsidR="00FF14EB" w:rsidRDefault="00FF14EB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- 2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Спорт (код 5.1)</w:t>
            </w:r>
          </w:p>
        </w:tc>
        <w:tc>
          <w:tcPr>
            <w:tcW w:w="2978" w:type="dxa"/>
          </w:tcPr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 xml:space="preserve">Не допускается размещение объектов спортивного назначения в санитарно-защитных зонах, установленных в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>предусмотренном</w:t>
            </w:r>
            <w:proofErr w:type="gramEnd"/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FF14EB" w:rsidRDefault="0062185E">
            <w:pPr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  <w:lang w:eastAsia="en-US"/>
              </w:rPr>
              <w:t>действующим законодательством порядке, з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спортивно-оздоровительных</w:t>
            </w:r>
            <w:proofErr w:type="gramEnd"/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сооружений закрытого типа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70 %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Объекты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 xml:space="preserve">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>(торговые центры, торгово-развлекатель-</w:t>
            </w:r>
            <w:proofErr w:type="spellStart"/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>ные</w:t>
            </w:r>
            <w:proofErr w:type="spellEnd"/>
            <w:r>
              <w:rPr>
                <w:rFonts w:ascii="Liberation Sans" w:eastAsia="Calibri" w:hAnsi="Liberation Sans"/>
                <w:color w:val="000000" w:themeColor="text1"/>
                <w:sz w:val="16"/>
                <w:szCs w:val="16"/>
              </w:rPr>
              <w:t xml:space="preserve"> центры (комплексы)) (код 4.2)</w:t>
            </w:r>
          </w:p>
        </w:tc>
        <w:tc>
          <w:tcPr>
            <w:tcW w:w="2978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50 %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Пищевая промышленность (код 6.4)</w:t>
            </w:r>
          </w:p>
        </w:tc>
        <w:tc>
          <w:tcPr>
            <w:tcW w:w="2978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- 3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Водный транспорт (код 7.3)</w:t>
            </w:r>
          </w:p>
        </w:tc>
        <w:tc>
          <w:tcPr>
            <w:tcW w:w="2978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  <w:tr w:rsidR="00FF14EB">
        <w:trPr>
          <w:cantSplit/>
        </w:trPr>
        <w:tc>
          <w:tcPr>
            <w:tcW w:w="1700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>Обеспечение научной деятельности (код 3.9)</w:t>
            </w:r>
          </w:p>
        </w:tc>
        <w:tc>
          <w:tcPr>
            <w:tcW w:w="2978" w:type="dxa"/>
          </w:tcPr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Учитывать установленные ограничения использования земельных участков и объектов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капитального строительства в границах зон с особыми условиями </w:t>
            </w:r>
          </w:p>
          <w:p w:rsidR="00FF14EB" w:rsidRDefault="0062185E">
            <w:pPr>
              <w:pStyle w:val="1a"/>
              <w:widowControl w:val="0"/>
              <w:spacing w:after="0" w:line="240" w:lineRule="auto"/>
              <w:ind w:left="0"/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 территорий</w:t>
            </w:r>
          </w:p>
        </w:tc>
        <w:tc>
          <w:tcPr>
            <w:tcW w:w="5245" w:type="dxa"/>
          </w:tcPr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1 м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Предельное количество этажей - 5 </w:t>
            </w:r>
          </w:p>
          <w:p w:rsidR="00FF14EB" w:rsidRDefault="0062185E">
            <w:pPr>
              <w:tabs>
                <w:tab w:val="left" w:pos="1440"/>
              </w:tabs>
              <w:rPr>
                <w:rFonts w:ascii="Liberation Sans" w:hAnsi="Liberation Sans"/>
                <w:color w:val="000000" w:themeColor="text1"/>
                <w:sz w:val="16"/>
                <w:szCs w:val="16"/>
              </w:rPr>
            </w:pP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>
              <w:rPr>
                <w:rFonts w:ascii="Liberation Sans" w:hAnsi="Liberation Sans"/>
                <w:color w:val="000000" w:themeColor="text1"/>
                <w:sz w:val="16"/>
                <w:szCs w:val="16"/>
              </w:rPr>
              <w:br/>
              <w:t>участка, 60 %</w:t>
            </w:r>
          </w:p>
        </w:tc>
      </w:tr>
    </w:tbl>
    <w:p w:rsidR="00FF14EB" w:rsidRDefault="00FF14EB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</w:p>
    <w:p w:rsidR="00FF14EB" w:rsidRDefault="00FF14EB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</w:p>
    <w:p w:rsidR="00FF14EB" w:rsidRDefault="00FF14EB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</w:p>
    <w:p w:rsidR="00FF14EB" w:rsidRDefault="0062185E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</w:p>
    <w:p w:rsidR="00FF14EB" w:rsidRDefault="0062185E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u w:val="single"/>
        </w:rPr>
      </w:pPr>
      <w:r>
        <w:rPr>
          <w:rFonts w:ascii="Liberation Sans" w:hAnsi="Liberation Sans"/>
          <w:b/>
          <w:u w:val="single"/>
        </w:rPr>
        <w:lastRenderedPageBreak/>
        <w:t>Содержание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ограничения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в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использовании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или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ограничения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права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на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объект</w:t>
      </w:r>
      <w:r>
        <w:rPr>
          <w:rFonts w:ascii="Liberation Sans" w:hAnsi="Liberation Sans"/>
          <w:b/>
          <w:spacing w:val="-6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недвижимости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или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>обременения</w:t>
      </w:r>
      <w:r>
        <w:rPr>
          <w:rFonts w:ascii="Liberation Sans" w:hAnsi="Liberation Sans"/>
          <w:b/>
          <w:spacing w:val="-7"/>
          <w:u w:val="single"/>
        </w:rPr>
        <w:t xml:space="preserve"> </w:t>
      </w:r>
      <w:r>
        <w:rPr>
          <w:rFonts w:ascii="Liberation Sans" w:hAnsi="Liberation Sans"/>
          <w:b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u w:val="single"/>
        </w:rPr>
        <w:t>недвижимости:</w:t>
      </w:r>
      <w:r>
        <w:rPr>
          <w:rFonts w:ascii="Liberation Sans" w:hAnsi="Liberation Sans"/>
          <w:spacing w:val="-6"/>
        </w:rPr>
        <w:t xml:space="preserve">                 </w:t>
      </w:r>
      <w:r>
        <w:rPr>
          <w:rFonts w:ascii="Liberation Sans" w:hAnsi="Liberation Sans"/>
        </w:rPr>
        <w:t xml:space="preserve">     </w:t>
      </w:r>
    </w:p>
    <w:p w:rsidR="00FF14EB" w:rsidRDefault="0062185E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 соответствии с выпиской из Единого государственного реестра  недвижимости об объекте недвижимости 20.09.2024г. № КУВИ-001/2024-235092687: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Сведения о лесах, водных объектах и об иных природных объектах, расположенных в пределах земельного участка: данные отсутствуют.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данные отсутствуют.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игорной зоны: данные отсутствуют.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Сведения о том, что земельный участок расположен в границах особо охраняемой природной территории, Байкальской природной территор</w:t>
      </w:r>
      <w:proofErr w:type="gramStart"/>
      <w:r>
        <w:rPr>
          <w:rFonts w:ascii="Liberation Sans" w:hAnsi="Liberation Sans"/>
          <w:color w:val="000000" w:themeColor="text1"/>
          <w:sz w:val="24"/>
          <w:szCs w:val="24"/>
        </w:rPr>
        <w:t>ии и ее</w:t>
      </w:r>
      <w:proofErr w:type="gramEnd"/>
      <w:r>
        <w:rPr>
          <w:rFonts w:ascii="Liberation Sans" w:hAnsi="Liberation Sans"/>
          <w:color w:val="000000" w:themeColor="text1"/>
          <w:sz w:val="24"/>
          <w:szCs w:val="24"/>
        </w:rPr>
        <w:t xml:space="preserve"> экологических зон, лесопарковом зеленом поясе, охотничьего угодья, лесничества: данные отсутствуют.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Сведения о расположении земельного участка и (или) расположенного на нем объекта недвижимости в границах территории, в отношении которой принято решение о резервировании земель для государственных или муниципальных нужд: данные отсутствуют.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Сведения о результатах проведения государственного земельного надзора: данные отсутствуют.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Сведения о расположении земельного участка в границах территории, в отношении которой утвержден проект межевания территории: данные отсутствуют.</w:t>
      </w:r>
    </w:p>
    <w:p w:rsidR="00FF14EB" w:rsidRDefault="0062185E">
      <w:pPr>
        <w:pStyle w:val="75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 w:themeColor="text1"/>
          <w:sz w:val="24"/>
          <w:szCs w:val="24"/>
        </w:rPr>
        <w:t>Особые отметки:</w:t>
      </w:r>
    </w:p>
    <w:p w:rsidR="00FF14EB" w:rsidRDefault="0062185E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 соответствии с выпиской из Единого государственного реестра  недвижимости об объекте недвижимости 20.09.2024г. № КУВИ-001/2024-235092687:</w:t>
      </w:r>
    </w:p>
    <w:p w:rsidR="00FF14EB" w:rsidRDefault="0062185E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FF14EB" w:rsidRDefault="00FF14EB">
      <w:pPr>
        <w:widowControl w:val="0"/>
        <w:spacing w:before="30"/>
        <w:ind w:firstLine="709"/>
        <w:jc w:val="both"/>
        <w:rPr>
          <w:rFonts w:ascii="Liberation Sans" w:hAnsi="Liberation Sans"/>
        </w:rPr>
      </w:pPr>
    </w:p>
    <w:p w:rsidR="00FF14EB" w:rsidRDefault="0062185E">
      <w:pPr>
        <w:widowControl w:val="0"/>
        <w:spacing w:before="30"/>
        <w:ind w:firstLine="709"/>
        <w:jc w:val="both"/>
        <w:rPr>
          <w:rFonts w:ascii="Liberation Sans" w:hAnsi="Liberation Sans"/>
          <w:highlight w:val="yellow"/>
        </w:rPr>
      </w:pPr>
      <w:r>
        <w:rPr>
          <w:rFonts w:ascii="Liberation Sans" w:hAnsi="Liberation Sans"/>
        </w:rPr>
        <w:t xml:space="preserve">Согласно акту наблюдения за соблюдением обязательных требований  (мониторинг безопасности) от 17.07.2024 № 94,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89:11:080201:7204 не огражден, доступ на его территорию свободен. В границах земельного участка расположены следующие объекты: деревянная постройка (по внешним признакам туалет); отработанные автомобильные шины; </w:t>
      </w:r>
      <w:proofErr w:type="gramStart"/>
      <w:r>
        <w:rPr>
          <w:rFonts w:ascii="Liberation Sans" w:hAnsi="Liberation Sans"/>
        </w:rPr>
        <w:t>строение</w:t>
      </w:r>
      <w:proofErr w:type="gramEnd"/>
      <w:r>
        <w:rPr>
          <w:rFonts w:ascii="Liberation Sans" w:hAnsi="Liberation Sans"/>
        </w:rPr>
        <w:t xml:space="preserve"> выполненное из </w:t>
      </w:r>
      <w:proofErr w:type="spellStart"/>
      <w:r>
        <w:rPr>
          <w:rFonts w:ascii="Liberation Sans" w:hAnsi="Liberation Sans"/>
        </w:rPr>
        <w:t>профнастилов</w:t>
      </w:r>
      <w:proofErr w:type="spellEnd"/>
      <w:r>
        <w:rPr>
          <w:rFonts w:ascii="Liberation Sans" w:hAnsi="Liberation Sans"/>
        </w:rPr>
        <w:t xml:space="preserve">, которое частично находится в границах земельного участка; транспортные средства (3 шт.); натяжной трос, который удерживает информационное табло АЗС (информационное табло АЗС находится за границами земельного участка). Местами на земельном участке прирастают мелкие кустарники, деревья и прочая растительность. По внешним признакам земельный участок не освоен. </w:t>
      </w:r>
    </w:p>
    <w:p w:rsidR="00FF14EB" w:rsidRDefault="0062185E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Санитарное состояние земельного участка находится в удовлетворительном состоянии.</w:t>
      </w:r>
    </w:p>
    <w:p w:rsidR="00FF14EB" w:rsidRDefault="00FF14E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highlight w:val="yellow"/>
        </w:rPr>
      </w:pPr>
    </w:p>
    <w:p w:rsidR="00FF14EB" w:rsidRDefault="0062185E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u w:val="single"/>
        </w:rPr>
      </w:pPr>
      <w:r w:rsidRPr="0062185E">
        <w:rPr>
          <w:rFonts w:ascii="Liberation Sans" w:hAnsi="Liberation Sans" w:cs="Liberation Serif"/>
          <w:b/>
          <w:color w:val="000000"/>
          <w:u w:val="single"/>
        </w:rPr>
        <w:lastRenderedPageBreak/>
        <w:t>Технические условия подключения (технологического присоединения) объекта.</w:t>
      </w:r>
    </w:p>
    <w:p w:rsidR="00FF14EB" w:rsidRDefault="0062185E">
      <w:pPr>
        <w:pStyle w:val="44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Письмом от 18.07.2024 № 89-176-03/01-09/7044 АО «</w:t>
      </w:r>
      <w:proofErr w:type="spellStart"/>
      <w:r>
        <w:rPr>
          <w:rFonts w:ascii="Liberation Sans" w:hAnsi="Liberation Sans"/>
          <w:color w:val="000000"/>
          <w:sz w:val="24"/>
          <w:szCs w:val="24"/>
        </w:rPr>
        <w:t>Уренгойская</w:t>
      </w:r>
      <w:proofErr w:type="spellEnd"/>
      <w:r>
        <w:rPr>
          <w:rFonts w:ascii="Liberation Sans" w:hAnsi="Liberation Sans"/>
          <w:color w:val="000000"/>
          <w:sz w:val="24"/>
          <w:szCs w:val="24"/>
        </w:rPr>
        <w:t xml:space="preserve"> электросетевая компания» сообщено, что подключение объекта </w:t>
      </w:r>
      <w:r>
        <w:rPr>
          <w:rFonts w:ascii="Liberation Sans" w:hAnsi="Liberation Sans"/>
          <w:sz w:val="24"/>
          <w:szCs w:val="24"/>
        </w:rPr>
        <w:t>не</w:t>
      </w:r>
      <w:r>
        <w:rPr>
          <w:rFonts w:ascii="Liberation Sans" w:hAnsi="Liberation Sans"/>
          <w:color w:val="000000"/>
          <w:sz w:val="24"/>
          <w:szCs w:val="24"/>
        </w:rPr>
        <w:t xml:space="preserve">возможно, в связи с отсутствием сетей АО «УЭСК» на земельном участке с кадастровым номером </w:t>
      </w:r>
      <w:r>
        <w:rPr>
          <w:rFonts w:ascii="Liberation Sans" w:hAnsi="Liberation Sans"/>
          <w:sz w:val="24"/>
          <w:szCs w:val="24"/>
        </w:rPr>
        <w:t>89:11:080201:7204</w:t>
      </w:r>
    </w:p>
    <w:p w:rsidR="00FF14EB" w:rsidRDefault="0062185E">
      <w:pPr>
        <w:pStyle w:val="2a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Письмом АО «</w:t>
      </w:r>
      <w:proofErr w:type="spellStart"/>
      <w:r>
        <w:rPr>
          <w:rFonts w:ascii="Liberation Sans" w:hAnsi="Liberation Sans"/>
          <w:color w:val="000000"/>
          <w:sz w:val="24"/>
          <w:szCs w:val="24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4"/>
          <w:szCs w:val="24"/>
        </w:rPr>
        <w:t xml:space="preserve">» от 18.07.2024 № 89-176-03/01-09/7168 сообщено, что  подключение объекта </w:t>
      </w:r>
      <w:r>
        <w:rPr>
          <w:rFonts w:ascii="Liberation Sans" w:hAnsi="Liberation Sans"/>
          <w:sz w:val="24"/>
          <w:szCs w:val="24"/>
        </w:rPr>
        <w:t>не</w:t>
      </w:r>
      <w:r>
        <w:rPr>
          <w:rFonts w:ascii="Liberation Sans" w:hAnsi="Liberation Sans"/>
          <w:color w:val="000000"/>
          <w:sz w:val="24"/>
          <w:szCs w:val="24"/>
        </w:rPr>
        <w:t xml:space="preserve">возможно, в связи с отсутствием централизованных сетей холодного водоснабжения и водоотведения в районе расположения земельного участка с кадастровым номером </w:t>
      </w:r>
      <w:r>
        <w:rPr>
          <w:rFonts w:ascii="Liberation Sans" w:hAnsi="Liberation Sans"/>
          <w:sz w:val="24"/>
          <w:szCs w:val="24"/>
        </w:rPr>
        <w:t>89:11:080201:7204</w:t>
      </w:r>
      <w:r>
        <w:rPr>
          <w:rFonts w:ascii="Liberation Sans" w:hAnsi="Liberation Sans"/>
          <w:color w:val="000000"/>
          <w:sz w:val="24"/>
          <w:szCs w:val="24"/>
        </w:rPr>
        <w:t>.</w:t>
      </w:r>
    </w:p>
    <w:p w:rsidR="00FF14EB" w:rsidRDefault="0062185E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Письмом от 29.07.2024 № </w:t>
      </w:r>
      <w:r>
        <w:rPr>
          <w:rFonts w:ascii="Liberation Sans" w:hAnsi="Liberation Sans"/>
          <w:color w:val="000000"/>
          <w:sz w:val="24"/>
          <w:szCs w:val="24"/>
        </w:rPr>
        <w:t xml:space="preserve">89-176-03/01-09/7346 </w:t>
      </w:r>
      <w:r>
        <w:rPr>
          <w:rFonts w:ascii="Liberation Sans" w:hAnsi="Liberation Sans"/>
          <w:sz w:val="24"/>
          <w:szCs w:val="24"/>
        </w:rPr>
        <w:t xml:space="preserve">АО «Уренгойтеплогенерация-1» сообщает, что подключение невозможно, в связи с   отсутствием инженерных коммуникаций на земельном участке с </w:t>
      </w:r>
      <w:r>
        <w:rPr>
          <w:rFonts w:ascii="Liberation Sans" w:hAnsi="Liberation Sans"/>
          <w:color w:val="000000"/>
          <w:sz w:val="24"/>
          <w:szCs w:val="24"/>
        </w:rPr>
        <w:t xml:space="preserve">кадастровым номером </w:t>
      </w:r>
      <w:r>
        <w:rPr>
          <w:rFonts w:ascii="Liberation Sans" w:hAnsi="Liberation Sans"/>
          <w:sz w:val="24"/>
          <w:szCs w:val="24"/>
        </w:rPr>
        <w:t xml:space="preserve">89:11:080201:7204 </w:t>
      </w:r>
    </w:p>
    <w:p w:rsidR="00FF14EB" w:rsidRDefault="0062185E">
      <w:pPr>
        <w:ind w:firstLine="708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</w:rPr>
        <w:t>Письмом от 24.07.2024 № 89-176-03/01-09/7255 АО «</w:t>
      </w:r>
      <w:proofErr w:type="spellStart"/>
      <w:r>
        <w:rPr>
          <w:rFonts w:ascii="Liberation Sans" w:hAnsi="Liberation Sans"/>
          <w:color w:val="000000"/>
        </w:rPr>
        <w:t>Россети</w:t>
      </w:r>
      <w:proofErr w:type="spellEnd"/>
      <w:r>
        <w:rPr>
          <w:rFonts w:ascii="Liberation Sans" w:hAnsi="Liberation Sans"/>
          <w:color w:val="000000"/>
        </w:rPr>
        <w:t xml:space="preserve"> Тюмень» </w:t>
      </w:r>
      <w:proofErr w:type="gramStart"/>
      <w:r>
        <w:rPr>
          <w:rFonts w:ascii="Liberation Sans" w:hAnsi="Liberation Sans"/>
          <w:color w:val="000000"/>
        </w:rPr>
        <w:t>сообщено</w:t>
      </w:r>
      <w:proofErr w:type="gramEnd"/>
      <w:r>
        <w:rPr>
          <w:rFonts w:ascii="Liberation Sans" w:hAnsi="Liberation Sans"/>
          <w:color w:val="000000"/>
        </w:rPr>
        <w:t xml:space="preserve"> что  подключение объекта </w:t>
      </w:r>
      <w:r>
        <w:rPr>
          <w:rFonts w:ascii="Liberation Sans" w:hAnsi="Liberation Sans"/>
        </w:rPr>
        <w:t>не</w:t>
      </w:r>
      <w:r>
        <w:rPr>
          <w:rFonts w:ascii="Liberation Sans" w:hAnsi="Liberation Sans"/>
          <w:color w:val="000000"/>
        </w:rPr>
        <w:t xml:space="preserve">возможно, в связи с отсутствием электрических сетей и центров питания в районе </w:t>
      </w:r>
      <w:r>
        <w:rPr>
          <w:rFonts w:ascii="Liberation Sans" w:hAnsi="Liberation Sans"/>
        </w:rPr>
        <w:t xml:space="preserve">земельного участка с </w:t>
      </w:r>
      <w:r>
        <w:rPr>
          <w:rFonts w:ascii="Liberation Sans" w:hAnsi="Liberation Sans"/>
          <w:color w:val="000000"/>
        </w:rPr>
        <w:t xml:space="preserve">кадастровым номером </w:t>
      </w:r>
      <w:r>
        <w:rPr>
          <w:rFonts w:ascii="Liberation Sans" w:hAnsi="Liberation Sans"/>
        </w:rPr>
        <w:t>89:11:080201:7204.</w:t>
      </w:r>
    </w:p>
    <w:p w:rsidR="00FF14EB" w:rsidRDefault="0062185E">
      <w:pPr>
        <w:ind w:firstLine="708"/>
        <w:contextualSpacing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Письмом от  АО «Ново-</w:t>
      </w:r>
      <w:proofErr w:type="spellStart"/>
      <w:r>
        <w:rPr>
          <w:rFonts w:ascii="Liberation Sans" w:hAnsi="Liberation Sans"/>
          <w:color w:val="000000"/>
        </w:rPr>
        <w:t>Уренгоймежрайгаз</w:t>
      </w:r>
      <w:proofErr w:type="spellEnd"/>
      <w:r>
        <w:rPr>
          <w:rFonts w:ascii="Liberation Sans" w:hAnsi="Liberation Sans"/>
          <w:color w:val="000000"/>
        </w:rPr>
        <w:t xml:space="preserve">» 18.07.2024 № 89-176-03/01-09/7042 техническая возможность подключения (технологического присоединения) указанного объекта на земельном участке с кадастровым номером 89:11:080201:7204 к сетям газораспределения   на территории МО г. Новый Уренгой в настоящее время имеется. Технологическое присоединение предполагает строительство подводящего газопровода от ближайшей сточки сети газораспределения до земельного участка, что повлечет за собой значительные финансовые затраты. Более точную информацию о протяжённости газопровода до точки </w:t>
      </w:r>
      <w:proofErr w:type="gramStart"/>
      <w:r>
        <w:rPr>
          <w:rFonts w:ascii="Liberation Sans" w:hAnsi="Liberation Sans"/>
          <w:color w:val="000000"/>
        </w:rPr>
        <w:t>подключения</w:t>
      </w:r>
      <w:proofErr w:type="gramEnd"/>
      <w:r>
        <w:rPr>
          <w:rFonts w:ascii="Liberation Sans" w:hAnsi="Liberation Sans"/>
          <w:color w:val="000000"/>
        </w:rPr>
        <w:t xml:space="preserve"> возможно определить после проведения инженерно-геологических изысканий. </w:t>
      </w:r>
    </w:p>
    <w:p w:rsidR="00FF14EB" w:rsidRDefault="0062185E">
      <w:pPr>
        <w:ind w:firstLine="708"/>
        <w:contextualSpacing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Планируемое направление использования  газа: отопление.</w:t>
      </w:r>
    </w:p>
    <w:p w:rsidR="00FF14EB" w:rsidRDefault="0062185E">
      <w:pPr>
        <w:ind w:firstLine="708"/>
        <w:contextualSpacing/>
        <w:jc w:val="both"/>
        <w:rPr>
          <w:rFonts w:ascii="Liberation Sans" w:hAnsi="Liberation Sans"/>
          <w:color w:val="000000"/>
        </w:rPr>
      </w:pPr>
      <w:proofErr w:type="gramStart"/>
      <w:r>
        <w:rPr>
          <w:rFonts w:ascii="Liberation Sans" w:hAnsi="Liberation Sans"/>
          <w:color w:val="000000"/>
        </w:rPr>
        <w:t>Размер платы за подключение (технологическое присоединение) объектов капитального строительства к сетям газораспределения АО «Ново-</w:t>
      </w:r>
      <w:proofErr w:type="spellStart"/>
      <w:r>
        <w:rPr>
          <w:rFonts w:ascii="Liberation Sans" w:hAnsi="Liberation Sans"/>
          <w:color w:val="000000"/>
        </w:rPr>
        <w:t>Уренгоймежрайгаз</w:t>
      </w:r>
      <w:proofErr w:type="spellEnd"/>
      <w:r>
        <w:rPr>
          <w:rFonts w:ascii="Liberation Sans" w:hAnsi="Liberation Sans"/>
          <w:color w:val="000000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</w:rPr>
        <w:t>Уренгоймежрайгаз</w:t>
      </w:r>
      <w:proofErr w:type="spellEnd"/>
      <w:r>
        <w:rPr>
          <w:rFonts w:ascii="Liberation Sans" w:hAnsi="Liberation Sans"/>
          <w:color w:val="000000"/>
        </w:rPr>
        <w:t>»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gorgaz89.ru)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</w:rPr>
        <w:t xml:space="preserve"> (технологическое присоединение) объектов капитального строительства  к сетям газораспределения.</w:t>
      </w:r>
    </w:p>
    <w:p w:rsidR="00FF14EB" w:rsidRDefault="00FF14EB">
      <w:pPr>
        <w:ind w:firstLine="708"/>
        <w:contextualSpacing/>
        <w:jc w:val="both"/>
        <w:rPr>
          <w:rFonts w:ascii="Liberation Sans" w:hAnsi="Liberation Sans"/>
          <w:color w:val="000000"/>
        </w:rPr>
      </w:pPr>
    </w:p>
    <w:p w:rsidR="00FF14EB" w:rsidRDefault="0062185E">
      <w:pPr>
        <w:ind w:firstLine="708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FF14EB" w:rsidRDefault="0062185E">
      <w:pPr>
        <w:ind w:firstLine="708"/>
        <w:contextualSpacing/>
        <w:jc w:val="both"/>
        <w:rPr>
          <w:rFonts w:ascii="Liberation Sans" w:hAnsi="Liberation Sans" w:cs="Liberation Serif"/>
          <w:bCs/>
          <w:color w:val="000000"/>
          <w:highlight w:val="white"/>
        </w:rPr>
      </w:pPr>
      <w:r>
        <w:rPr>
          <w:rFonts w:ascii="Liberation Sans" w:hAnsi="Liberation Sans"/>
          <w:color w:val="000000"/>
        </w:rPr>
        <w:t xml:space="preserve">Полную имеющуюся информацию о ТУ можно получить                                    у организатора аукциона. </w:t>
      </w:r>
    </w:p>
    <w:p w:rsidR="00FF14EB" w:rsidRDefault="0062185E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Порядок подачи заявки для участия в аукционе</w:t>
      </w:r>
    </w:p>
    <w:p w:rsidR="00FF14EB" w:rsidRDefault="0062185E">
      <w:pPr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FF14EB" w:rsidRDefault="0062185E">
      <w:pPr>
        <w:ind w:firstLine="708"/>
        <w:jc w:val="both"/>
        <w:rPr>
          <w:rFonts w:ascii="Liberation Sans" w:hAnsi="Liberation Sans"/>
        </w:rPr>
      </w:pPr>
      <w:bookmarkStart w:id="1" w:name="sub_391211"/>
      <w:r>
        <w:rPr>
          <w:rFonts w:ascii="Liberation Sans" w:hAnsi="Liberation Sans"/>
        </w:rPr>
        <w:lastRenderedPageBreak/>
        <w:t>- заявку на участие в электронном аукционе (Приложение № 2  к аукционной документации);</w:t>
      </w:r>
    </w:p>
    <w:p w:rsidR="00FF14EB" w:rsidRDefault="0062185E">
      <w:pPr>
        <w:ind w:firstLine="708"/>
        <w:jc w:val="both"/>
        <w:rPr>
          <w:rFonts w:ascii="Liberation Sans" w:hAnsi="Liberation Sans"/>
        </w:rPr>
      </w:pPr>
      <w:bookmarkStart w:id="2" w:name="sub_391212"/>
      <w:bookmarkEnd w:id="1"/>
      <w:r>
        <w:rPr>
          <w:rFonts w:ascii="Liberation Sans" w:hAnsi="Liberation Sans"/>
        </w:rPr>
        <w:t>- копии документов, удостоверяющих личность заявителя (для граждан);</w:t>
      </w:r>
    </w:p>
    <w:p w:rsidR="00FF14EB" w:rsidRDefault="0062185E">
      <w:pPr>
        <w:ind w:firstLine="708"/>
        <w:jc w:val="both"/>
        <w:rPr>
          <w:rFonts w:ascii="Liberation Sans" w:hAnsi="Liberation Sans"/>
        </w:rPr>
      </w:pPr>
      <w:bookmarkStart w:id="3" w:name="sub_3912130"/>
      <w:bookmarkEnd w:id="2"/>
      <w:r>
        <w:rPr>
          <w:rFonts w:ascii="Liberation Sans" w:hAnsi="Liberation Sans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</w:rPr>
        <w:t>, если заявителем является иностранное юридическое лицо;</w:t>
      </w:r>
    </w:p>
    <w:p w:rsidR="00FF14EB" w:rsidRDefault="0062185E">
      <w:pPr>
        <w:ind w:firstLine="708"/>
        <w:jc w:val="both"/>
        <w:rPr>
          <w:rFonts w:ascii="Liberation Sans" w:hAnsi="Liberation Sans"/>
        </w:rPr>
      </w:pPr>
      <w:bookmarkStart w:id="4" w:name="sub_3912140"/>
      <w:bookmarkEnd w:id="3"/>
      <w:r>
        <w:rPr>
          <w:rFonts w:ascii="Liberation Sans" w:hAnsi="Liberation Sans"/>
        </w:rPr>
        <w:t>- документы, подтверждающие внесение задатка.</w:t>
      </w:r>
      <w:bookmarkEnd w:id="4"/>
    </w:p>
    <w:p w:rsidR="00FF14EB" w:rsidRDefault="0062185E">
      <w:pPr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>
          <w:rPr>
            <w:rStyle w:val="aff"/>
            <w:rFonts w:ascii="Liberation Sans" w:hAnsi="Liberation Sans"/>
          </w:rPr>
          <w:t>электронной подписью</w:t>
        </w:r>
      </w:hyperlink>
      <w:r>
        <w:rPr>
          <w:rFonts w:ascii="Liberation Sans" w:hAnsi="Liberation Sans"/>
        </w:rPr>
        <w:t xml:space="preserve"> заявителя.</w:t>
      </w:r>
    </w:p>
    <w:p w:rsidR="00FF14EB" w:rsidRDefault="0062185E">
      <w:pPr>
        <w:widowControl w:val="0"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</w:rPr>
        <w:t>ии ау</w:t>
      </w:r>
      <w:proofErr w:type="gramEnd"/>
      <w:r>
        <w:rPr>
          <w:rFonts w:ascii="Liberation Sans" w:hAnsi="Liberation Sans"/>
        </w:rPr>
        <w:t xml:space="preserve">кциона по дату окончания срока приема заявок на электронной площадке: АО «Сбербанк-АСТ» в сети Интернет </w:t>
      </w:r>
      <w:hyperlink r:id="rId12" w:tooltip="https://utp.sberbank-ast.ru/AP/List/BidList" w:history="1">
        <w:r>
          <w:rPr>
            <w:rStyle w:val="af9"/>
            <w:rFonts w:ascii="Liberation Sans" w:hAnsi="Liberation Sans"/>
          </w:rPr>
          <w:t>https://utp.sberbank-ast.ru/AP/List/BidList</w:t>
        </w:r>
      </w:hyperlink>
      <w:r>
        <w:rPr>
          <w:rFonts w:ascii="Liberation Sans" w:hAnsi="Liberation Sans"/>
        </w:rPr>
        <w:t>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</w:rPr>
        <w:t xml:space="preserve"> в случаях: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подачи заявки по истечении установленного срока подачи заявок;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В случае</w:t>
      </w:r>
      <w:proofErr w:type="gramStart"/>
      <w:r>
        <w:rPr>
          <w:rFonts w:ascii="Liberation Sans" w:hAnsi="Liberation Sans" w:cs="Liberation Serif"/>
          <w:color w:val="000000"/>
        </w:rPr>
        <w:t>,</w:t>
      </w:r>
      <w:proofErr w:type="gramEnd"/>
      <w:r>
        <w:rPr>
          <w:rFonts w:ascii="Liberation Sans" w:hAnsi="Liberation Sans" w:cs="Liberation Serif"/>
          <w:color w:val="000000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  <w:color w:val="000000"/>
        </w:rPr>
        <w:t xml:space="preserve"> в  случаях: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</w:rPr>
        <w:t xml:space="preserve"> задатка на дату рассмотрения заявок на участие в аукционе;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F14EB" w:rsidRDefault="0062185E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Отзыв и изменение заявки:</w:t>
      </w:r>
    </w:p>
    <w:p w:rsidR="00FF14EB" w:rsidRDefault="0062185E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</w:rPr>
      </w:pPr>
      <w:r>
        <w:rPr>
          <w:rFonts w:ascii="Liberation Sans" w:hAnsi="Liberation Sans" w:cs="Liberation Serif"/>
          <w:color w:val="000000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</w:t>
      </w:r>
      <w:r>
        <w:rPr>
          <w:rFonts w:ascii="Liberation Sans" w:eastAsia="Calibri" w:hAnsi="Liberation Sans" w:cs="Liberation Serif"/>
          <w:color w:val="000000"/>
        </w:rPr>
        <w:lastRenderedPageBreak/>
        <w:t>подачи новой заявки.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eastAsia="Calibri" w:hAnsi="Liberation Sans" w:cs="Liberation Serif"/>
          <w:color w:val="000000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</w:rPr>
        <w:t>денежных средств, заблокированных на лицевом счете в размере задатка.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</w:rPr>
        <w:t>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FF14EB" w:rsidRDefault="0062185E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Порядок внесения задатка</w:t>
      </w:r>
    </w:p>
    <w:p w:rsidR="00FF14EB" w:rsidRDefault="0062185E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</w:rPr>
      </w:pPr>
      <w:r>
        <w:rPr>
          <w:rFonts w:ascii="Liberation Sans" w:hAnsi="Liberation Sans" w:cs="Liberation Serif"/>
          <w:spacing w:val="-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>
          <w:rPr>
            <w:rStyle w:val="af9"/>
            <w:rFonts w:ascii="Liberation Sans" w:hAnsi="Liberation Sans"/>
          </w:rPr>
          <w:t>https://utp.sberbank-ast.ru/AP/List/BidList</w:t>
        </w:r>
      </w:hyperlink>
      <w:r>
        <w:rPr>
          <w:rFonts w:ascii="Liberation Sans" w:hAnsi="Liberation Sans" w:cs="Liberation Serif"/>
        </w:rPr>
        <w:t>).</w:t>
      </w:r>
      <w:r>
        <w:rPr>
          <w:rFonts w:ascii="Liberation Sans" w:hAnsi="Liberation Sans" w:cs="Liberation Serif"/>
          <w:spacing w:val="-6"/>
        </w:rPr>
        <w:t xml:space="preserve"> </w:t>
      </w:r>
    </w:p>
    <w:p w:rsidR="00FF14EB" w:rsidRDefault="0062185E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lang w:eastAsia="en-US"/>
        </w:rPr>
      </w:pPr>
      <w:r>
        <w:rPr>
          <w:rFonts w:ascii="Liberation Sans" w:hAnsi="Liberation Sans" w:cs="Liberation Serif"/>
          <w:lang w:eastAsia="en-US"/>
        </w:rPr>
        <w:t>Задаток вносится участником аукциона на реквизиты оператора электронной площадки: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bCs/>
          <w:color w:val="000000"/>
        </w:rPr>
        <w:t>ПОЛУЧАТЕЛЬ:</w:t>
      </w:r>
    </w:p>
    <w:p w:rsidR="00FF14EB" w:rsidRDefault="0062185E">
      <w:pPr>
        <w:contextualSpacing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</w:rPr>
        <w:br/>
        <w:t>ИНН: 7707308480 КПП: 770401001</w:t>
      </w:r>
      <w:r>
        <w:rPr>
          <w:rFonts w:ascii="Liberation Sans" w:hAnsi="Liberation Sans" w:cs="Liberation Serif"/>
          <w:color w:val="000000"/>
        </w:rPr>
        <w:br/>
        <w:t>Расчетный счет: 40702810300020038047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</w:rPr>
      </w:pPr>
      <w:r>
        <w:rPr>
          <w:rFonts w:ascii="Liberation Sans" w:hAnsi="Liberation Sans" w:cs="Liberation Serif"/>
          <w:b/>
          <w:bCs/>
          <w:color w:val="000000"/>
        </w:rPr>
        <w:t>БАНК ПОЛУЧАТЕЛЯ:</w:t>
      </w:r>
    </w:p>
    <w:p w:rsidR="00FF14EB" w:rsidRDefault="0062185E">
      <w:pPr>
        <w:contextualSpacing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</w:rPr>
        <w:br/>
        <w:t>БИК: 044525225 Корреспондентский счет: 30101810400000000225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Cs/>
          <w:color w:val="000000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</w:rPr>
        <w:t xml:space="preserve"> </w:t>
      </w:r>
      <w:r>
        <w:rPr>
          <w:rFonts w:ascii="Liberation Sans" w:hAnsi="Liberation Sans" w:cs="Liberation Serif"/>
          <w:i/>
          <w:color w:val="000000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</w:rPr>
        <w:t>ачестве задатка (ИНН плательщика), НДС не облагается».</w:t>
      </w:r>
    </w:p>
    <w:p w:rsidR="00FF14EB" w:rsidRDefault="0062185E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</w:rPr>
      </w:pPr>
      <w:r>
        <w:rPr>
          <w:rFonts w:ascii="Liberation Sans" w:hAnsi="Liberation Sans" w:cs="Liberation Serif"/>
          <w:bCs/>
          <w:color w:val="000000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FF14EB" w:rsidRDefault="0062185E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FF14EB" w:rsidRDefault="0062185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Порядок проведения аукциона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</w:rPr>
        <w:t>УТП АО «Сбербанк–АСТ»</w:t>
      </w:r>
      <w:r>
        <w:rPr>
          <w:rFonts w:ascii="Liberation Sans" w:hAnsi="Liberation Sans" w:cs="Liberation Serif"/>
          <w:color w:val="000000"/>
        </w:rPr>
        <w:t xml:space="preserve">, </w:t>
      </w:r>
      <w:r>
        <w:rPr>
          <w:rFonts w:ascii="Liberation Sans" w:hAnsi="Liberation Sans" w:cs="Liberation Serif"/>
          <w:b/>
          <w:color w:val="000000"/>
        </w:rPr>
        <w:t>состоит из следующих этапов:</w:t>
      </w:r>
    </w:p>
    <w:p w:rsidR="00FF14EB" w:rsidRDefault="0062185E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Размещение Организатором аукциона извещения и аукционной документации в торговой секции.</w:t>
      </w:r>
    </w:p>
    <w:p w:rsidR="00FF14EB" w:rsidRDefault="0062185E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Подача,  изменение, отзыв Претендентами заявки на участие в аукционе.</w:t>
      </w:r>
    </w:p>
    <w:p w:rsidR="00FF14EB" w:rsidRDefault="0062185E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</w:rPr>
        <w:t xml:space="preserve">в электронном аукционе. 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 xml:space="preserve">На основании результатов рассмотрения заявок на участие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</w:t>
      </w:r>
      <w:r>
        <w:rPr>
          <w:rFonts w:ascii="Liberation Sans" w:hAnsi="Liberation Sans" w:cs="Liberation Serif"/>
          <w:color w:val="000000"/>
        </w:rPr>
        <w:lastRenderedPageBreak/>
        <w:t xml:space="preserve">заявителя к участию в аукционе, которое оформляется протоколом </w:t>
      </w:r>
      <w:r>
        <w:rPr>
          <w:rFonts w:ascii="Liberation Sans" w:hAnsi="Liberation Sans"/>
        </w:rPr>
        <w:t>рассмотрения заявок на участие в электронном аукционе.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>
          <w:rPr>
            <w:rStyle w:val="aff"/>
            <w:rFonts w:ascii="Liberation Sans" w:hAnsi="Liberation Sans" w:cs="Times New Roman CYR"/>
          </w:rPr>
          <w:t>электронной подписью</w:t>
        </w:r>
      </w:hyperlink>
      <w:r>
        <w:rPr>
          <w:rFonts w:ascii="Liberation Sans" w:hAnsi="Liberation Sans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>
        <w:rPr>
          <w:rFonts w:ascii="Liberation Sans" w:hAnsi="Liberation San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4.</w:t>
      </w:r>
      <w:r>
        <w:rPr>
          <w:rFonts w:ascii="Liberation Sans" w:hAnsi="Liberation Sans" w:cs="Liberation Serif"/>
          <w:color w:val="000000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Время для подачи предложений о цене определяется в следующем порядке: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</w:rPr>
        <w:t>10 минут</w:t>
      </w:r>
      <w:r>
        <w:rPr>
          <w:rFonts w:ascii="Liberation Sans" w:hAnsi="Liberation Sans" w:cs="Liberation Serif"/>
        </w:rPr>
        <w:t xml:space="preserve"> с момента начала аукциона;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</w:rPr>
        <w:t>на 10 минут</w:t>
      </w:r>
      <w:r>
        <w:rPr>
          <w:rFonts w:ascii="Liberation Sans" w:hAnsi="Liberation Sans" w:cs="Liberation Serif"/>
          <w:color w:val="000000"/>
        </w:rPr>
        <w:t xml:space="preserve"> с момента приема Оператором каждого из таких предложений.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FF14EB" w:rsidRDefault="0062185E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Формирование Оператором журнала хода аукциона: лучших предложений о цене участников.</w:t>
      </w:r>
    </w:p>
    <w:p w:rsidR="00FF14EB" w:rsidRDefault="0062185E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6.</w:t>
      </w:r>
      <w:r>
        <w:rPr>
          <w:rFonts w:ascii="Liberation Sans" w:hAnsi="Liberation Sans" w:cs="Liberation Serif"/>
          <w:color w:val="000000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FF14EB" w:rsidRDefault="0062185E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 w:cs="Calibri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FF14EB" w:rsidRDefault="0062185E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</w:t>
      </w:r>
      <w:r>
        <w:rPr>
          <w:rFonts w:ascii="Liberation Sans" w:hAnsi="Liberation Sans"/>
        </w:rPr>
        <w:lastRenderedPageBreak/>
        <w:t>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F14EB" w:rsidRDefault="0062185E">
      <w:pPr>
        <w:widowControl w:val="0"/>
        <w:ind w:firstLine="708"/>
        <w:contextualSpacing/>
        <w:jc w:val="both"/>
        <w:rPr>
          <w:rFonts w:ascii="Liberation Sans" w:hAnsi="Liberation Sans" w:cs="Calibri"/>
        </w:rPr>
      </w:pPr>
      <w:r>
        <w:rPr>
          <w:rFonts w:ascii="Liberation Sans" w:hAnsi="Liberation Sans" w:cs="Calibri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</w:rPr>
        <w:t xml:space="preserve"> в следующих случаях: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</w:rPr>
        <w:t>которое</w:t>
      </w:r>
      <w:proofErr w:type="gramEnd"/>
      <w:r>
        <w:rPr>
          <w:rFonts w:ascii="Liberation Sans" w:hAnsi="Liberation Sans" w:cs="Liberation Serif"/>
          <w:color w:val="000000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</w:rPr>
        <w:t>ии ау</w:t>
      </w:r>
      <w:proofErr w:type="gramEnd"/>
      <w:r>
        <w:rPr>
          <w:rFonts w:ascii="Liberation Sans" w:hAnsi="Liberation Sans" w:cs="Liberation Serif"/>
          <w:color w:val="000000"/>
        </w:rPr>
        <w:t>кциона несостоявшимся оформляется протоколом о результатах электронного аукциона.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- размещает в открытой части торговой секции протокол о результатах электронного аукциона.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           от заключения указанных договоров, </w:t>
      </w:r>
      <w:r>
        <w:rPr>
          <w:rFonts w:ascii="Liberation Sans" w:hAnsi="Liberation Sans"/>
          <w:b/>
        </w:rPr>
        <w:t>не возвращаются.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сведения о заключении договора и/или протокол  об уклонении от заключения договора.</w:t>
      </w:r>
    </w:p>
    <w:p w:rsidR="00FF14EB" w:rsidRDefault="00621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lastRenderedPageBreak/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   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</w:rPr>
        <w:t xml:space="preserve"> Электронной площадкой АО «Сбербанк-АСТ» </w:t>
      </w:r>
      <w:r>
        <w:rPr>
          <w:rFonts w:ascii="Liberation Sans" w:hAnsi="Liberation Sans"/>
          <w:b/>
        </w:rPr>
        <w:t>не предусмотрено</w:t>
      </w:r>
      <w:r>
        <w:rPr>
          <w:rFonts w:ascii="Liberation Sans" w:hAnsi="Liberation Sans"/>
        </w:rPr>
        <w:t xml:space="preserve"> взимание такой платы, в соответствии с Тарифами торговой секции «Приватизация, аренда и продажа прав».</w:t>
      </w:r>
    </w:p>
    <w:p w:rsidR="00FF14EB" w:rsidRDefault="0062185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Порядок заключения договора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F14EB" w:rsidRDefault="0062185E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FF14EB" w:rsidRDefault="0062185E">
      <w:pPr>
        <w:ind w:firstLine="720"/>
        <w:contextualSpacing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color w:val="000000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FF14EB" w:rsidRDefault="0062185E">
      <w:pPr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В соответствии с п. 13 ст. 39.13 Земельного Кодекса РФ 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>
          <w:rPr>
            <w:rStyle w:val="aff"/>
            <w:rFonts w:ascii="Liberation Sans" w:hAnsi="Liberation Sans" w:cs="Times New Roman CYR"/>
            <w:color w:val="000000" w:themeColor="text1"/>
          </w:rPr>
          <w:t>электронной подписью</w:t>
        </w:r>
      </w:hyperlink>
      <w:r>
        <w:rPr>
          <w:rFonts w:ascii="Liberation Sans" w:hAnsi="Liberation Sans"/>
        </w:rPr>
        <w:t xml:space="preserve"> сторон такого договора.</w:t>
      </w:r>
    </w:p>
    <w:p w:rsidR="00FF14EB" w:rsidRDefault="0062185E">
      <w:pPr>
        <w:ind w:firstLine="720"/>
        <w:contextualSpacing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FF14EB" w:rsidRDefault="0062185E">
      <w:pPr>
        <w:ind w:firstLine="720"/>
        <w:contextualSpacing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Если договор аренды земельного участка в течение тридцати дней    со дня направления победителю аукциона проекта указанного договора    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В случае</w:t>
      </w:r>
      <w:proofErr w:type="gramStart"/>
      <w:r>
        <w:rPr>
          <w:rFonts w:ascii="Liberation Sans" w:hAnsi="Liberation Sans" w:cs="Liberation Serif"/>
          <w:color w:val="000000"/>
        </w:rPr>
        <w:t>,</w:t>
      </w:r>
      <w:proofErr w:type="gramEnd"/>
      <w:r>
        <w:rPr>
          <w:rFonts w:ascii="Liberation Sans" w:hAnsi="Liberation Sans" w:cs="Liberation Serif"/>
          <w:color w:val="00000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FF14EB" w:rsidRDefault="0062185E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  <w:r>
        <w:rPr>
          <w:rFonts w:ascii="Liberation Sans" w:hAnsi="Liberation Sans" w:cs="Liberation Serif"/>
          <w:b/>
        </w:rPr>
        <w:t>Дополнительная информация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>
        <w:rPr>
          <w:rFonts w:ascii="Liberation Sans" w:hAnsi="Liberation Sans" w:cs="Liberation Serif"/>
          <w:color w:val="000000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</w:rPr>
        <w:t>в  информационно-</w:t>
      </w:r>
      <w:r>
        <w:rPr>
          <w:rFonts w:ascii="Liberation Sans" w:hAnsi="Liberation Sans"/>
          <w:color w:val="000000"/>
        </w:rPr>
        <w:lastRenderedPageBreak/>
        <w:t>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highlight w:val="white"/>
        </w:rPr>
        <w:t>https://torgi.gov.ru/new</w:t>
      </w:r>
      <w:r>
        <w:rPr>
          <w:rFonts w:ascii="Liberation Sans" w:hAnsi="Liberation Sans"/>
          <w:color w:val="000000"/>
        </w:rPr>
        <w:t xml:space="preserve">), электронной площадке АО «Сбербанк-АСТ» </w:t>
      </w:r>
      <w:hyperlink r:id="rId16" w:tooltip="http://utp.sberbank-ast.ru" w:history="1">
        <w:r>
          <w:rPr>
            <w:rFonts w:ascii="Liberation Sans" w:hAnsi="Liberation Sans"/>
            <w:color w:val="000000"/>
          </w:rPr>
          <w:t xml:space="preserve"> (utp.sberbank-ast.ru</w:t>
        </w:r>
      </w:hyperlink>
      <w:r>
        <w:rPr>
          <w:rFonts w:ascii="Liberation Sans" w:hAnsi="Liberation Sans"/>
          <w:color w:val="000000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color w:val="000000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</w:rPr>
        <w:t>по</w:t>
      </w:r>
      <w:proofErr w:type="gramEnd"/>
      <w:r>
        <w:rPr>
          <w:rFonts w:ascii="Liberation Sans" w:hAnsi="Liberation Sans" w:cs="Liberation Serif"/>
        </w:rPr>
        <w:t xml:space="preserve"> тел: 93-19-33, 93-19-43.</w:t>
      </w:r>
    </w:p>
    <w:p w:rsidR="00FF14EB" w:rsidRDefault="0062185E">
      <w:pPr>
        <w:widowControl w:val="0"/>
        <w:ind w:firstLine="720"/>
        <w:contextualSpacing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  <w:color w:val="000000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>
        <w:rPr>
          <w:rFonts w:ascii="Liberation Sans" w:hAnsi="Liberation Sans" w:cs="Liberation Serif"/>
          <w:color w:val="000000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</w:rPr>
        <w:t>. При этом условия повторного электронного аукциона могут быть изменены.</w:t>
      </w:r>
    </w:p>
    <w:p w:rsidR="00FF14EB" w:rsidRDefault="0062185E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FF14EB" w:rsidRDefault="00FF14EB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</w:p>
    <w:p w:rsidR="00FF14EB" w:rsidRDefault="00FF14EB">
      <w:pPr>
        <w:contextualSpacing/>
        <w:rPr>
          <w:rFonts w:ascii="Liberation Sans" w:hAnsi="Liberation Sans" w:cs="Liberation Serif"/>
        </w:rPr>
      </w:pPr>
    </w:p>
    <w:sectPr w:rsidR="00FF14EB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F4" w:rsidRDefault="00D40CF4">
      <w:r>
        <w:separator/>
      </w:r>
    </w:p>
  </w:endnote>
  <w:endnote w:type="continuationSeparator" w:id="0">
    <w:p w:rsidR="00D40CF4" w:rsidRDefault="00D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Iosevka Term SS03">
    <w:altName w:val="MT Extra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7454"/>
      <w:docPartObj>
        <w:docPartGallery w:val="Page Numbers (Bottom of Page)"/>
        <w:docPartUnique/>
      </w:docPartObj>
    </w:sdtPr>
    <w:sdtContent>
      <w:p w:rsidR="00D40CF4" w:rsidRDefault="00D40CF4">
        <w:pPr>
          <w:pStyle w:val="3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9C3710">
          <w:rPr>
            <w:noProof/>
          </w:rPr>
          <w:t>2</w:t>
        </w:r>
        <w:r>
          <w:fldChar w:fldCharType="end"/>
        </w:r>
      </w:p>
    </w:sdtContent>
  </w:sdt>
  <w:p w:rsidR="00D40CF4" w:rsidRDefault="00D40CF4"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F4" w:rsidRDefault="00D40CF4">
      <w:r>
        <w:separator/>
      </w:r>
    </w:p>
  </w:footnote>
  <w:footnote w:type="continuationSeparator" w:id="0">
    <w:p w:rsidR="00D40CF4" w:rsidRDefault="00D4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C45"/>
    <w:multiLevelType w:val="hybridMultilevel"/>
    <w:tmpl w:val="67AA7D1C"/>
    <w:lvl w:ilvl="0" w:tplc="0A269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0E5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5EF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AA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9036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DC5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C615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5040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028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E2B"/>
    <w:multiLevelType w:val="hybridMultilevel"/>
    <w:tmpl w:val="0F0C8976"/>
    <w:lvl w:ilvl="0" w:tplc="FC307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A43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52F0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1EA2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92A7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74E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4442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36F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42A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C2431"/>
    <w:multiLevelType w:val="hybridMultilevel"/>
    <w:tmpl w:val="446C6E9E"/>
    <w:lvl w:ilvl="0" w:tplc="18A60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BCB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B6D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8817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5840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B8E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5CA2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CAE1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062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75303"/>
    <w:multiLevelType w:val="hybridMultilevel"/>
    <w:tmpl w:val="E426217E"/>
    <w:lvl w:ilvl="0" w:tplc="5074F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F24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6B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66A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CAB3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21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EC7D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4CA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34A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96F81"/>
    <w:multiLevelType w:val="hybridMultilevel"/>
    <w:tmpl w:val="D7C8924E"/>
    <w:lvl w:ilvl="0" w:tplc="66986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24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5E6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CAB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8ED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F4F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82D6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5454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ACC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044F8"/>
    <w:multiLevelType w:val="hybridMultilevel"/>
    <w:tmpl w:val="2806CF16"/>
    <w:lvl w:ilvl="0" w:tplc="0BB6C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8B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A9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56BC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CE1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A06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74A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DCB0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C44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D3AE8"/>
    <w:multiLevelType w:val="hybridMultilevel"/>
    <w:tmpl w:val="4D0637F0"/>
    <w:lvl w:ilvl="0" w:tplc="6C06A1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B9B8375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3D0181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5B040B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B42AEE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172BCD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BD8348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E58868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9BFCB58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F5B651A"/>
    <w:multiLevelType w:val="hybridMultilevel"/>
    <w:tmpl w:val="C13CC1F4"/>
    <w:lvl w:ilvl="0" w:tplc="3B0CC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62B0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92C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020B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72C9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AEA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E8C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8A78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38F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13EA6"/>
    <w:multiLevelType w:val="hybridMultilevel"/>
    <w:tmpl w:val="66D8D5D4"/>
    <w:lvl w:ilvl="0" w:tplc="CF66F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645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C7B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3E5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CAF3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B86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D23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9035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F07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F73B3"/>
    <w:multiLevelType w:val="hybridMultilevel"/>
    <w:tmpl w:val="CBD657A0"/>
    <w:lvl w:ilvl="0" w:tplc="1BDE7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825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78F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BA59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406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2CE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CA60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E4D3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2C7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87540"/>
    <w:multiLevelType w:val="hybridMultilevel"/>
    <w:tmpl w:val="D9B6C40E"/>
    <w:lvl w:ilvl="0" w:tplc="FD1E34C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EDC60D0">
      <w:start w:val="1"/>
      <w:numFmt w:val="lowerLetter"/>
      <w:lvlText w:val="%2."/>
      <w:lvlJc w:val="left"/>
      <w:pPr>
        <w:ind w:left="1648" w:hanging="360"/>
      </w:pPr>
    </w:lvl>
    <w:lvl w:ilvl="2" w:tplc="99FCFE82">
      <w:start w:val="1"/>
      <w:numFmt w:val="lowerRoman"/>
      <w:lvlText w:val="%3."/>
      <w:lvlJc w:val="right"/>
      <w:pPr>
        <w:ind w:left="2368" w:hanging="180"/>
      </w:pPr>
    </w:lvl>
    <w:lvl w:ilvl="3" w:tplc="8E68C4B6">
      <w:start w:val="1"/>
      <w:numFmt w:val="decimal"/>
      <w:lvlText w:val="%4."/>
      <w:lvlJc w:val="left"/>
      <w:pPr>
        <w:ind w:left="3088" w:hanging="360"/>
      </w:pPr>
    </w:lvl>
    <w:lvl w:ilvl="4" w:tplc="0408FAAA">
      <w:start w:val="1"/>
      <w:numFmt w:val="lowerLetter"/>
      <w:lvlText w:val="%5."/>
      <w:lvlJc w:val="left"/>
      <w:pPr>
        <w:ind w:left="3808" w:hanging="360"/>
      </w:pPr>
    </w:lvl>
    <w:lvl w:ilvl="5" w:tplc="FC0E39FC">
      <w:start w:val="1"/>
      <w:numFmt w:val="lowerRoman"/>
      <w:lvlText w:val="%6."/>
      <w:lvlJc w:val="right"/>
      <w:pPr>
        <w:ind w:left="4528" w:hanging="180"/>
      </w:pPr>
    </w:lvl>
    <w:lvl w:ilvl="6" w:tplc="07140528">
      <w:start w:val="1"/>
      <w:numFmt w:val="decimal"/>
      <w:lvlText w:val="%7."/>
      <w:lvlJc w:val="left"/>
      <w:pPr>
        <w:ind w:left="5248" w:hanging="360"/>
      </w:pPr>
    </w:lvl>
    <w:lvl w:ilvl="7" w:tplc="2DDCCF72">
      <w:start w:val="1"/>
      <w:numFmt w:val="lowerLetter"/>
      <w:lvlText w:val="%8."/>
      <w:lvlJc w:val="left"/>
      <w:pPr>
        <w:ind w:left="5968" w:hanging="360"/>
      </w:pPr>
    </w:lvl>
    <w:lvl w:ilvl="8" w:tplc="F80203C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2213C7"/>
    <w:multiLevelType w:val="hybridMultilevel"/>
    <w:tmpl w:val="CCB828B0"/>
    <w:lvl w:ilvl="0" w:tplc="64E2C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F24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04D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DC88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6E2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149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FE96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6A31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569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71432"/>
    <w:multiLevelType w:val="hybridMultilevel"/>
    <w:tmpl w:val="CFE410FA"/>
    <w:lvl w:ilvl="0" w:tplc="AC26D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E0C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DAA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24D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C461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1E1A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EA23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F23D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A6E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454B9"/>
    <w:multiLevelType w:val="hybridMultilevel"/>
    <w:tmpl w:val="0FA22BB8"/>
    <w:lvl w:ilvl="0" w:tplc="7D12969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7FBA8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03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EC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E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A7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E9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0F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1B29"/>
    <w:multiLevelType w:val="hybridMultilevel"/>
    <w:tmpl w:val="697424C4"/>
    <w:lvl w:ilvl="0" w:tplc="DF902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AEB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7E3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DE27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A04A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A5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8E52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9CF5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666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3256C"/>
    <w:multiLevelType w:val="hybridMultilevel"/>
    <w:tmpl w:val="99DC0EA2"/>
    <w:lvl w:ilvl="0" w:tplc="99F02D8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CB64D2E">
      <w:start w:val="1"/>
      <w:numFmt w:val="lowerLetter"/>
      <w:lvlText w:val="%2."/>
      <w:lvlJc w:val="left"/>
      <w:pPr>
        <w:ind w:left="1648" w:hanging="360"/>
      </w:pPr>
    </w:lvl>
    <w:lvl w:ilvl="2" w:tplc="2B549F1E">
      <w:start w:val="1"/>
      <w:numFmt w:val="lowerRoman"/>
      <w:lvlText w:val="%3."/>
      <w:lvlJc w:val="right"/>
      <w:pPr>
        <w:ind w:left="2368" w:hanging="180"/>
      </w:pPr>
    </w:lvl>
    <w:lvl w:ilvl="3" w:tplc="C18493B8">
      <w:start w:val="1"/>
      <w:numFmt w:val="decimal"/>
      <w:lvlText w:val="%4."/>
      <w:lvlJc w:val="left"/>
      <w:pPr>
        <w:ind w:left="3088" w:hanging="360"/>
      </w:pPr>
    </w:lvl>
    <w:lvl w:ilvl="4" w:tplc="6BF8A9D0">
      <w:start w:val="1"/>
      <w:numFmt w:val="lowerLetter"/>
      <w:lvlText w:val="%5."/>
      <w:lvlJc w:val="left"/>
      <w:pPr>
        <w:ind w:left="3808" w:hanging="360"/>
      </w:pPr>
    </w:lvl>
    <w:lvl w:ilvl="5" w:tplc="44A86380">
      <w:start w:val="1"/>
      <w:numFmt w:val="lowerRoman"/>
      <w:lvlText w:val="%6."/>
      <w:lvlJc w:val="right"/>
      <w:pPr>
        <w:ind w:left="4528" w:hanging="180"/>
      </w:pPr>
    </w:lvl>
    <w:lvl w:ilvl="6" w:tplc="968C1346">
      <w:start w:val="1"/>
      <w:numFmt w:val="decimal"/>
      <w:lvlText w:val="%7."/>
      <w:lvlJc w:val="left"/>
      <w:pPr>
        <w:ind w:left="5248" w:hanging="360"/>
      </w:pPr>
    </w:lvl>
    <w:lvl w:ilvl="7" w:tplc="BEB4A072">
      <w:start w:val="1"/>
      <w:numFmt w:val="lowerLetter"/>
      <w:lvlText w:val="%8."/>
      <w:lvlJc w:val="left"/>
      <w:pPr>
        <w:ind w:left="5968" w:hanging="360"/>
      </w:pPr>
    </w:lvl>
    <w:lvl w:ilvl="8" w:tplc="D2F6D336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FE70F28"/>
    <w:multiLevelType w:val="hybridMultilevel"/>
    <w:tmpl w:val="6EB6BEA0"/>
    <w:lvl w:ilvl="0" w:tplc="A8F068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B56098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DF0B04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C2C66E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910A2E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E6B82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9EC70B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59E2EF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6FDCE37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B"/>
    <w:rsid w:val="0062185E"/>
    <w:rsid w:val="009C3710"/>
    <w:rsid w:val="00D40CF4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6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7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link w:val="25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2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0">
    <w:name w:val="Заголовок 72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Pr>
      <w:rFonts w:ascii="Arial" w:eastAsia="Arial" w:hAnsi="Arial" w:cs="Arial"/>
      <w:sz w:val="40"/>
      <w:szCs w:val="40"/>
    </w:rPr>
  </w:style>
  <w:style w:type="character" w:customStyle="1" w:styleId="26">
    <w:name w:val="Заголовок 2 Знак6"/>
    <w:basedOn w:val="a0"/>
    <w:link w:val="2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70">
    <w:name w:val="Верхний колонтитул Знак7"/>
    <w:basedOn w:val="a0"/>
    <w:link w:val="a3"/>
    <w:uiPriority w:val="99"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8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21">
    <w:name w:val="Заголовок 12"/>
    <w:basedOn w:val="a"/>
    <w:next w:val="a"/>
    <w:link w:val="17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8">
    <w:name w:val="Верхний колонтитул1"/>
    <w:basedOn w:val="a"/>
    <w:link w:val="19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Верхний колонтитул Знак1"/>
    <w:link w:val="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2a">
    <w:name w:val="Верхний колонтитул2"/>
    <w:basedOn w:val="a"/>
    <w:link w:val="af8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8">
    <w:name w:val="Верхний колонтитул Знак"/>
    <w:basedOn w:val="a0"/>
    <w:link w:val="2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Body Text"/>
    <w:basedOn w:val="a"/>
    <w:link w:val="afc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9">
    <w:name w:val="Заголовок 2 Знак"/>
    <w:basedOn w:val="a0"/>
    <w:link w:val="231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аголовок 1 Знак"/>
    <w:basedOn w:val="a0"/>
    <w:link w:val="12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e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a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Верхний колонтитул3"/>
    <w:basedOn w:val="a"/>
    <w:link w:val="2b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b">
    <w:name w:val="Верхний колонтитул Знак2"/>
    <w:basedOn w:val="a0"/>
    <w:link w:val="3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4">
    <w:name w:val="Верхний колонтитул4"/>
    <w:basedOn w:val="a"/>
    <w:link w:val="35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5">
    <w:name w:val="Верхний колонтитул Знак3"/>
    <w:basedOn w:val="a0"/>
    <w:link w:val="4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4">
    <w:name w:val="Верхний колонтитул5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f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ff0">
    <w:name w:val="Текст в заданном формате"/>
    <w:basedOn w:val="a"/>
    <w:qFormat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4">
    <w:name w:val="Верхний колонтитул6"/>
    <w:basedOn w:val="a"/>
    <w:link w:val="45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5">
    <w:name w:val="Верхний колонтитул Знак4"/>
    <w:basedOn w:val="a0"/>
    <w:link w:val="6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1"/>
    <w:uiPriority w:val="9"/>
    <w:rPr>
      <w:rFonts w:ascii="Arial" w:eastAsia="Arial" w:hAnsi="Arial" w:cs="Arial"/>
      <w:b/>
      <w:bCs/>
      <w:lang w:eastAsia="ru-RU"/>
    </w:rPr>
  </w:style>
  <w:style w:type="character" w:customStyle="1" w:styleId="72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1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c">
    <w:name w:val="Нижний колонтитул2"/>
    <w:basedOn w:val="a"/>
    <w:link w:val="aff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f1">
    <w:name w:val="Нижний колонтитул Знак"/>
    <w:basedOn w:val="a0"/>
    <w:link w:val="2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Название объекта2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4">
    <w:name w:val="Верхний колонтитул7"/>
    <w:basedOn w:val="a"/>
    <w:link w:val="55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5">
    <w:name w:val="Верхний колонтитул Знак5"/>
    <w:basedOn w:val="a0"/>
    <w:link w:val="7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customStyle="1" w:styleId="75">
    <w:name w:val="Верхний колонтитул7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</w:style>
  <w:style w:type="paragraph" w:customStyle="1" w:styleId="84">
    <w:name w:val="Верхний колонтитул8"/>
    <w:basedOn w:val="a"/>
    <w:link w:val="6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65">
    <w:name w:val="Верхний колонтитул Знак6"/>
    <w:basedOn w:val="a0"/>
    <w:link w:val="84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ижний колонтитул3"/>
    <w:basedOn w:val="a"/>
    <w:link w:val="1b"/>
    <w:uiPriority w:val="99"/>
    <w:unhideWhenUsed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3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3D9EE-135C-41A2-9786-0FDC1DF3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6108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20</cp:revision>
  <cp:lastPrinted>2024-09-27T04:35:00Z</cp:lastPrinted>
  <dcterms:created xsi:type="dcterms:W3CDTF">2024-08-20T03:47:00Z</dcterms:created>
  <dcterms:modified xsi:type="dcterms:W3CDTF">2024-09-30T06:50:00Z</dcterms:modified>
</cp:coreProperties>
</file>