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от 22.08.2024 № 670</w:t>
      </w:r>
      <w:bookmarkStart w:id="0" w:name="_GoBack"/>
      <w:r>
        <w:rPr>
          <w:u w:val="single"/>
        </w:rPr>
      </w:r>
      <w:bookmarkEnd w:id="0"/>
      <w:r>
        <w:rPr>
          <w:u w:val="single"/>
        </w:rPr>
      </w:r>
      <w:r>
        <w:rPr>
          <w:u w:val="single"/>
        </w:rPr>
      </w:r>
    </w:p>
    <w:p>
      <w:pPr>
        <w:contextualSpacing/>
        <w:ind w:firstLine="708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34</w:t>
      </w:r>
      <w:r>
        <w:rPr>
          <w:rFonts w:ascii="Liberation Sans" w:hAnsi="Liberation Sans"/>
          <w:b/>
          <w:bCs/>
          <w:sz w:val="26"/>
          <w:szCs w:val="26"/>
        </w:rPr>
        <w:t xml:space="preserve">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Сбербанк-АСТ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распоряжения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</w:t>
      </w:r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от 25.06.2024 № 827</w:t>
      </w:r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-рз «О проведении аукциона на право заключения договора аренды земельного участка для строительства многоквартирного жилого дома».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pStyle w:val="897"/>
        <w:contextualSpacing/>
        <w:ind w:right="126" w:firstLine="720"/>
        <w:jc w:val="center"/>
        <w:spacing w:before="0" w:beforeAutospacing="0" w:after="0" w:afterAutospacing="0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</w:r>
      <w:r/>
    </w:p>
    <w:p>
      <w:pPr>
        <w:pStyle w:val="897"/>
        <w:contextualSpacing/>
        <w:ind w:right="126" w:firstLine="720"/>
        <w:jc w:val="center"/>
        <w:spacing w:before="0" w:beforeAutospacing="0" w:after="0" w:afterAutospacing="0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  <w:sz w:val="26"/>
          <w:szCs w:val="26"/>
        </w:rPr>
        <w:t xml:space="preserve">ДИиЖО</w:t>
      </w:r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r>
        <w:rPr>
          <w:rFonts w:ascii="Liberation Sans" w:hAnsi="Liberation Sans"/>
          <w:bCs/>
          <w:sz w:val="26"/>
          <w:szCs w:val="26"/>
        </w:rPr>
        <w:t xml:space="preserve">пр-т</w:t>
      </w:r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dijo@nur.yanao.ru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Ivancova.OI@nur.yanao.ru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0" w:tooltip="mailto:solovey.vv@nur.yanao.ru" w:history="1">
        <w:r>
          <w:rPr>
            <w:rStyle w:val="896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89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</w:t>
      </w:r>
      <w:r>
        <w:rPr>
          <w:rFonts w:ascii="Liberation Sans" w:hAnsi="Liberation Sans"/>
          <w:bCs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Оператор).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bCs/>
          <w:sz w:val="26"/>
          <w:szCs w:val="26"/>
        </w:rPr>
        <w:t xml:space="preserve">Новослободская</w:t>
      </w:r>
      <w:r>
        <w:rPr>
          <w:rFonts w:ascii="Liberation Sans" w:hAnsi="Liberation Sans"/>
          <w:bCs/>
          <w:sz w:val="26"/>
          <w:szCs w:val="26"/>
        </w:rPr>
        <w:t xml:space="preserve">, д. 24, стр. 2. 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r>
        <w:rPr>
          <w:rFonts w:ascii="Liberation Sans" w:hAnsi="Liberation Sans"/>
          <w:bCs/>
          <w:sz w:val="26"/>
          <w:szCs w:val="26"/>
        </w:rPr>
        <w:t xml:space="preserve">property@sberbank-ast.ru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территории муниципального образования город Новый Уренгой.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По результатам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r>
      <w:r/>
    </w:p>
    <w:p>
      <w:pPr>
        <w:pStyle w:val="897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27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.08.2024.</w:t>
      </w:r>
      <w:r/>
    </w:p>
    <w:p>
      <w:pPr>
        <w:pStyle w:val="897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03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</w:t>
      </w:r>
      <w:r/>
    </w:p>
    <w:p>
      <w:pPr>
        <w:pStyle w:val="897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07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  <w:r/>
    </w:p>
    <w:p>
      <w:pPr>
        <w:pStyle w:val="89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08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/>
    </w:p>
    <w:p>
      <w:r/>
      <w:r/>
    </w:p>
    <w:p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</w:t>
      </w:r>
      <w:r/>
    </w:p>
    <w:p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Площадь:</w:t>
      </w:r>
      <w:r>
        <w:rPr>
          <w:rFonts w:ascii="Liberation Sans" w:hAnsi="Liberation Sans"/>
          <w:color w:val="000000"/>
          <w:sz w:val="26"/>
          <w:szCs w:val="26"/>
        </w:rPr>
        <w:t xml:space="preserve"> 7 124</w:t>
      </w:r>
      <w:r>
        <w:rPr>
          <w:rFonts w:ascii="Liberation Sans" w:hAnsi="Liberation Sans"/>
          <w:color w:val="000000"/>
          <w:sz w:val="26"/>
          <w:szCs w:val="26"/>
        </w:rPr>
        <w:t xml:space="preserve"> кв. м.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г, город Новый Уренгой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, 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мкр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. Ягельный.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/>
          <w:color w:val="000000"/>
          <w:sz w:val="26"/>
          <w:szCs w:val="26"/>
        </w:rPr>
        <w:t xml:space="preserve">для строительства многоквартирного жилого дома.</w:t>
      </w:r>
      <w:r/>
    </w:p>
    <w:p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Основной вид разрешенного использования: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среднеэтажная</w:t>
      </w:r>
      <w:r>
        <w:rPr>
          <w:rFonts w:ascii="Liberation Sans" w:hAnsi="Liberation Sans"/>
          <w:color w:val="000000"/>
          <w:sz w:val="26"/>
          <w:szCs w:val="26"/>
        </w:rPr>
        <w:t xml:space="preserve"> жилая застройка (код 2.5).</w:t>
      </w:r>
      <w:r/>
    </w:p>
    <w:p>
      <w:pPr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земли населенных пунктов.</w:t>
      </w:r>
      <w:r/>
    </w:p>
    <w:p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Права на земельный участок: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          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на которые не разграничена.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8 лет 8</w:t>
      </w:r>
      <w:r>
        <w:rPr>
          <w:rFonts w:ascii="Liberation Sans" w:hAnsi="Liberation Sans"/>
          <w:color w:val="000000"/>
          <w:sz w:val="26"/>
          <w:szCs w:val="26"/>
        </w:rPr>
        <w:t xml:space="preserve"> месяцев.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Кадастровая стоимость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</w:t>
      </w:r>
      <w:r>
        <w:rPr>
          <w:rFonts w:ascii="Liberation Sans" w:hAnsi="Liberation Sans"/>
          <w:spacing w:val="-2"/>
          <w:sz w:val="26"/>
          <w:szCs w:val="26"/>
        </w:rPr>
        <w:t xml:space="preserve">35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092</w:t>
      </w:r>
      <w:r>
        <w:rPr>
          <w:rFonts w:ascii="Liberation Sans" w:hAnsi="Liberation Sans"/>
          <w:spacing w:val="-2"/>
          <w:sz w:val="26"/>
          <w:szCs w:val="26"/>
        </w:rPr>
        <w:t xml:space="preserve"> 182,</w:t>
      </w:r>
      <w:r>
        <w:rPr>
          <w:rFonts w:ascii="Liberation Sans" w:hAnsi="Liberation Sans"/>
          <w:spacing w:val="-2"/>
          <w:sz w:val="26"/>
          <w:szCs w:val="26"/>
        </w:rPr>
        <w:t xml:space="preserve">84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руб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(4</w:t>
      </w:r>
      <w:r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 земельного участка) составляет – </w:t>
      </w:r>
      <w:r>
        <w:rPr>
          <w:rFonts w:ascii="Liberation Sans" w:hAnsi="Liberation Sans"/>
          <w:color w:val="000000"/>
          <w:sz w:val="26"/>
          <w:szCs w:val="26"/>
        </w:rPr>
        <w:t xml:space="preserve">1 403 687,31</w:t>
      </w:r>
      <w:r>
        <w:rPr>
          <w:rFonts w:ascii="Liberation Sans" w:hAnsi="Liberation Sans"/>
          <w:color w:val="000000"/>
          <w:sz w:val="26"/>
          <w:szCs w:val="26"/>
        </w:rPr>
        <w:t xml:space="preserve"> руб.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(в ред. от 03.03.2020 № 75</w:t>
      </w:r>
      <w:r>
        <w:rPr>
          <w:rFonts w:ascii="Liberation Sans" w:hAnsi="Liberation Sans"/>
          <w:sz w:val="26"/>
          <w:szCs w:val="26"/>
        </w:rPr>
        <w:t xml:space="preserve">) 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       </w:t>
      </w:r>
      <w:r>
        <w:rPr>
          <w:rFonts w:ascii="Liberation Sans" w:hAnsi="Liberation Sans"/>
          <w:color w:val="000000"/>
          <w:sz w:val="26"/>
          <w:szCs w:val="26"/>
        </w:rPr>
        <w:t xml:space="preserve">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 </w:t>
      </w:r>
      <w:r>
        <w:rPr>
          <w:rFonts w:ascii="Liberation Sans" w:hAnsi="Liberation Sans"/>
          <w:color w:val="000000"/>
          <w:sz w:val="26"/>
          <w:szCs w:val="26"/>
        </w:rPr>
        <w:t xml:space="preserve">составляет 3% от начально</w:t>
      </w:r>
      <w:r>
        <w:rPr>
          <w:rFonts w:ascii="Liberation Sans" w:hAnsi="Liberation Sans"/>
          <w:color w:val="000000"/>
          <w:sz w:val="26"/>
          <w:szCs w:val="26"/>
        </w:rPr>
        <w:t xml:space="preserve">й цены предмета аукциона – 42 110,62</w:t>
      </w:r>
      <w:r>
        <w:rPr>
          <w:rFonts w:ascii="Liberation Sans" w:hAnsi="Liberation Sans"/>
          <w:color w:val="000000"/>
          <w:sz w:val="26"/>
          <w:szCs w:val="26"/>
        </w:rPr>
        <w:t xml:space="preserve"> руб. 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– </w:t>
      </w:r>
      <w:r>
        <w:rPr>
          <w:rFonts w:ascii="Liberation Sans" w:hAnsi="Liberation Sans"/>
          <w:color w:val="000000"/>
          <w:sz w:val="26"/>
          <w:szCs w:val="26"/>
        </w:rPr>
        <w:t xml:space="preserve">280 737,46</w:t>
      </w:r>
      <w:r>
        <w:rPr>
          <w:rFonts w:ascii="Liberation Sans" w:hAnsi="Liberation Sans"/>
          <w:color w:val="000000"/>
          <w:sz w:val="26"/>
          <w:szCs w:val="26"/>
        </w:rPr>
        <w:t xml:space="preserve"> руб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993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b/>
          <w:u w:val="single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u w:val="single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/>
    </w:p>
    <w:p>
      <w:pPr>
        <w:pStyle w:val="88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Правил</w:t>
      </w:r>
      <w:r>
        <w:rPr>
          <w:rFonts w:ascii="Liberation Sans" w:hAnsi="Liberation Sans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зоне застройки </w:t>
      </w:r>
      <w:r>
        <w:rPr>
          <w:rFonts w:ascii="Liberation Sans" w:hAnsi="Liberation Sans"/>
          <w:sz w:val="26"/>
          <w:szCs w:val="26"/>
        </w:rPr>
        <w:t xml:space="preserve">среднеэтажными</w:t>
      </w:r>
      <w:r>
        <w:rPr>
          <w:rFonts w:ascii="Liberation Sans" w:hAnsi="Liberation Sans"/>
          <w:sz w:val="26"/>
          <w:szCs w:val="26"/>
        </w:rPr>
        <w:t xml:space="preserve"> жилыми домами  (Ж3). Максимальный процент застройки  в границах земельного участка составляет 40%. Предельное количество этажей – 8.</w:t>
      </w:r>
      <w:r/>
    </w:p>
    <w:p>
      <w:pPr>
        <w:pStyle w:val="886"/>
        <w:contextualSpacing/>
        <w:ind w:firstLine="709"/>
        <w:jc w:val="both"/>
        <w:rPr>
          <w:rFonts w:ascii="Liberation Sans" w:hAnsi="Liberation Sans"/>
          <w:bCs/>
          <w:color w:val="000000"/>
          <w:sz w:val="26"/>
          <w:szCs w:val="26"/>
          <w:u w:val="single"/>
        </w:rPr>
      </w:pP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в зоне застройки </w:t>
      </w: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среднеэтажными</w:t>
      </w: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 жилыми домами (Ж3)</w:t>
      </w: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:</w:t>
      </w:r>
      <w:r/>
    </w:p>
    <w:p>
      <w:pPr>
        <w:contextualSpacing/>
        <w:jc w:val="center"/>
        <w:keepNext/>
        <w:rPr>
          <w:rFonts w:ascii="Liberation Sans" w:hAnsi="Liberation Sans"/>
          <w:b/>
          <w:bCs/>
          <w:color w:val="000000"/>
          <w:sz w:val="26"/>
          <w:szCs w:val="26"/>
        </w:rPr>
        <w:outlineLvl w:val="1"/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tbl>
      <w:tblPr>
        <w:tblStyle w:val="902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59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contextualSpacing/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Виды разрешенного использования земельных участков и объектов капитального строительства/ Наименование вида разрешенного использования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eastAsia="Calibri" w:cs="Liberation Serif"/>
                <w:bCs/>
                <w:color w:val="000000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contextualSpacing/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>
          <w:trHeight w:val="2400"/>
        </w:trPr>
        <w:tc>
          <w:tcPr>
            <w:tcW w:w="2660" w:type="dxa"/>
            <w:textDirection w:val="lrTb"/>
            <w:noWrap w:val="false"/>
          </w:tcPr>
          <w:p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Среднеэтажная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жилая застройка (код 2.5)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8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- 40</w:t>
            </w:r>
            <w:r/>
          </w:p>
        </w:tc>
      </w:tr>
      <w:tr>
        <w:trPr>
          <w:trHeight w:val="372"/>
        </w:trPr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Малоэтажная многоквартирная жилая застройка (код 2.1.1)</w:t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-40</w:t>
            </w:r>
            <w:r/>
          </w:p>
        </w:tc>
      </w:tr>
      <w:tr>
        <w:trPr>
          <w:trHeight w:val="2375"/>
        </w:trPr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Style w:val="935"/>
                <w:rFonts w:ascii="Liberation Sans" w:hAnsi="Liberation Sans" w:cs="Liberation Serif" w:eastAsiaTheme="majorEastAsia"/>
                <w:color w:val="000000"/>
                <w:sz w:val="20"/>
                <w:szCs w:val="20"/>
              </w:rPr>
              <w:t xml:space="preserve">Блокированная жилая застройка (2.3)</w:t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- 40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Дошкольное, начальное и среднее общее образование (код 3.5.1)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объектов учебно-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образовательного назначения в санитарно-защитных зонах, установленных в предусмотренном действующим законодательством порядке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-70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Спорт (5.1)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порядке, з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а исключением спортивно-оздоровительные сооружения закрытого типа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-70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pStyle w:val="906"/>
              <w:ind w:left="0"/>
              <w:spacing w:after="0" w:line="240" w:lineRule="auto"/>
              <w:widowControl w:val="off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Style w:val="935"/>
                <w:rFonts w:ascii="Liberation Sans" w:hAnsi="Liberation Sans" w:cs="Liberation Serif" w:eastAsiaTheme="majorEastAsia"/>
                <w:color w:val="000000"/>
                <w:sz w:val="20"/>
                <w:szCs w:val="20"/>
              </w:rPr>
              <w:t xml:space="preserve">Обеспечение внутреннего правопорядка (код 8.3)</w:t>
            </w:r>
            <w:r/>
          </w:p>
          <w:p>
            <w:pPr>
              <w:keepNext/>
              <w:rPr>
                <w:rFonts w:ascii="Liberation Sans" w:hAnsi="Liberation Sans"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/>
                <w:bCs/>
                <w:sz w:val="20"/>
                <w:szCs w:val="20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объектов, требующих установления санитарно-защитных зон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-50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 Улично-дорожная сеть (код 12.0.1)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объектов, требующих установления санитарно-защитных зон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 данный параметр не подлежит установлению</w:t>
            </w:r>
            <w:r/>
          </w:p>
        </w:tc>
      </w:tr>
      <w:tr>
        <w:trPr>
          <w:trHeight w:val="2507"/>
        </w:trPr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Здравоохранение        (код 3.4)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объектов здравоохранения (стационаров)                 в санитарно-защитных зонах, установленных     в предусмотренном действующим законодательством порядке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-70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Style w:val="935"/>
                <w:rFonts w:ascii="Liberation Sans" w:hAnsi="Liberation Sans" w:cs="Liberation Serif" w:eastAsiaTheme="majorEastAsia"/>
                <w:color w:val="000000"/>
                <w:sz w:val="20"/>
                <w:szCs w:val="20"/>
              </w:rPr>
              <w:t xml:space="preserve">Магазины (код 4.4)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Объекты обслуживания жилой застройки не должны причинять вред окружающей среде и санитарному благополучию, нарушать права жителей, требовать установления санитарной зоны</w:t>
            </w:r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  <w:r/>
          </w:p>
          <w:p>
            <w:pPr>
              <w:keepNext/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keepNext/>
              <w:rPr>
                <w:rFonts w:ascii="Liberation Sans" w:hAnsi="Liberation Sans"/>
                <w:b/>
                <w:bCs/>
                <w:sz w:val="20"/>
                <w:szCs w:val="20"/>
              </w:rPr>
              <w:outlineLvl w:val="1"/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участка, % -70</w:t>
            </w:r>
            <w:r/>
          </w:p>
        </w:tc>
      </w:tr>
    </w:tbl>
    <w:p>
      <w:pPr>
        <w:jc w:val="both"/>
        <w:tabs>
          <w:tab w:val="left" w:pos="993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12.08.2024г.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КУВИ-001/2024-204758986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:</w:t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данного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обеспечен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доступ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посредством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(земельных</w:t>
      </w:r>
      <w:r>
        <w:rPr>
          <w:rFonts w:ascii="Liberation Sans" w:hAnsi="Liberation Sans"/>
          <w:sz w:val="26"/>
          <w:szCs w:val="26"/>
        </w:rPr>
        <w:t xml:space="preserve"> участков)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кадастровым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(кадастровыми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номерами):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общего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пользования.</w:t>
      </w:r>
      <w:r/>
    </w:p>
    <w:p>
      <w:pPr>
        <w:ind w:left="40" w:firstLine="669"/>
        <w:jc w:val="both"/>
        <w:widowControl w:val="off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6"/>
          <w:szCs w:val="26"/>
        </w:rPr>
        <w:t xml:space="preserve">Граница земельного участка пересекает границы земельных участков (земельного участка) с кадастровыми номерами (кадастровым номером) </w:t>
      </w:r>
      <w:r>
        <w:rPr>
          <w:rFonts w:ascii="Liberation Sans" w:hAnsi="Liberation Sans"/>
          <w:sz w:val="25"/>
          <w:szCs w:val="25"/>
        </w:rPr>
        <w:t xml:space="preserve">89:11:000000:4482, 89:11:020206:2486,</w:t>
      </w:r>
      <w:r>
        <w:rPr>
          <w:rFonts w:ascii="Liberation Sans" w:hAnsi="Liberation Sans"/>
          <w:spacing w:val="-13"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 xml:space="preserve">89:11:020206:2488,</w:t>
      </w:r>
      <w:r>
        <w:rPr>
          <w:rFonts w:ascii="Liberation Sans" w:hAnsi="Liberation Sans"/>
          <w:spacing w:val="-12"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 xml:space="preserve">89:11:020206:2491.</w:t>
      </w:r>
      <w:r/>
    </w:p>
    <w:p>
      <w:pPr>
        <w:pStyle w:val="93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граничения (обременения) в использовании земельного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участка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предусмотренные статьей 56 Земельного кодекса РФ: </w:t>
      </w:r>
      <w:r/>
    </w:p>
    <w:p>
      <w:pPr>
        <w:pStyle w:val="890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номер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границ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: </w:t>
      </w:r>
      <w:r>
        <w:rPr>
          <w:rFonts w:ascii="Liberation Sans" w:hAnsi="Liberation Sans"/>
          <w:sz w:val="26"/>
          <w:szCs w:val="26"/>
        </w:rPr>
        <w:t xml:space="preserve">89:11-6.1233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         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 </w:t>
      </w:r>
      <w:r>
        <w:rPr>
          <w:rFonts w:ascii="Liberation Sans" w:hAnsi="Liberation Sans"/>
          <w:sz w:val="26"/>
          <w:szCs w:val="26"/>
        </w:rPr>
        <w:t xml:space="preserve">27.12.2023</w:t>
      </w:r>
      <w:r>
        <w:rPr>
          <w:rFonts w:ascii="Liberation Sans" w:hAnsi="Liberation Sans"/>
          <w:spacing w:val="-2"/>
          <w:sz w:val="26"/>
          <w:szCs w:val="26"/>
        </w:rPr>
        <w:t xml:space="preserve">,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графическое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 границ зоны с особыми условиями использования территории от 30.11.2023 № 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 Содержание ограничения (обременения): Ограничения устанавливаются согласно постановлению Правительства РФ от 24.02.2009 г. № 160 "О порядке установления охранных зон объектов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зон". Пункт 8-10. 8. </w:t>
      </w:r>
      <w:r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 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причинение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вреда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жизни,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здоровью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имуществу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физических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юридических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лиц,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также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нанесение экологического ущерба и возникновение пожаров, в том числе: а) набрасывать на провода и опоры воздушных линий электропередачи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посторонние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также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опоры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электропередачи;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 объекты и предметы (материалы) в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z w:val="26"/>
          <w:szCs w:val="26"/>
        </w:rPr>
        <w:t xml:space="preserve"> созданных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 xml:space="preserve">в соответствии с требованиями нормативно-технических документов проходов и подъездов для доступа к объектам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хозяйства,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без создания необходимых для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такого доступа проходов и подъездов;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>
        <w:rPr>
          <w:rFonts w:ascii="Liberation Sans" w:hAnsi="Liberation Sans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 xml:space="preserve">и подключения в электрических сетях (указанное требование </w:t>
      </w:r>
      <w:r>
        <w:rPr>
          <w:rFonts w:ascii="Liberation Sans" w:hAnsi="Liberation Sans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 xml:space="preserve">не распространяется на работников, занятых выполнением разрешенных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</w:t>
      </w:r>
      <w:r>
        <w:rPr>
          <w:rFonts w:ascii="Liberation Sans" w:hAnsi="Liberation Sans"/>
          <w:sz w:val="26"/>
          <w:szCs w:val="26"/>
        </w:rPr>
        <w:t xml:space="preserve">материалов (в охранных зонах подземных кабельных линий 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без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</w:t>
      </w:r>
      <w:r>
        <w:rPr>
          <w:rFonts w:ascii="Liberation Sans" w:hAnsi="Liberation Sans"/>
          <w:sz w:val="26"/>
          <w:szCs w:val="26"/>
        </w:rPr>
        <w:t xml:space="preserve">   </w:t>
      </w:r>
      <w:r>
        <w:rPr>
          <w:rFonts w:ascii="Liberation Sans" w:hAnsi="Liberation Sans"/>
          <w:sz w:val="26"/>
          <w:szCs w:val="26"/>
        </w:rPr>
        <w:t xml:space="preserve">в том числе связанные с временным затоплением земель; в) посадка </w:t>
      </w:r>
      <w:r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и вырубка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деревьев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кустарников;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г)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дноуглубительные,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землечерпальные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погрузочно-разгрузочные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добыча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рыбы,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других </w:t>
      </w:r>
      <w:r>
        <w:rPr>
          <w:rFonts w:ascii="Liberation Sans" w:hAnsi="Liberation Sans"/>
          <w:sz w:val="26"/>
          <w:szCs w:val="26"/>
        </w:rPr>
        <w:t xml:space="preserve">водных животных и растений придонными орудиями лова, устройство водопоев, колка и заготовка льда (в охранных зонах подводных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кабельных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судов,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вертикали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крайнего габарита с грузом или без груза до нижней точки </w:t>
      </w:r>
      <w:r>
        <w:rPr>
          <w:rFonts w:ascii="Liberation Sans" w:hAnsi="Liberation Sans"/>
          <w:sz w:val="26"/>
          <w:szCs w:val="26"/>
        </w:rPr>
        <w:t xml:space="preserve">провеса проводов переходов воздушных линий электропередачи</w:t>
      </w:r>
      <w:r>
        <w:rPr>
          <w:rFonts w:ascii="Liberation Sans" w:hAnsi="Liberation Sans"/>
          <w:sz w:val="26"/>
          <w:szCs w:val="26"/>
        </w:rPr>
        <w:t xml:space="preserve"> через водоемы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менее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минимально допустимого расстояния, 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числе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максимального уровня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подъема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паводке; </w:t>
      </w:r>
      <w:r>
        <w:rPr>
          <w:rFonts w:ascii="Liberation Sans" w:hAnsi="Liberation Sans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(в 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электропередачи);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земляные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глубине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0,3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метра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pacing w:val="-7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(на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вспахиваемых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землях на глубине более 0,45 метра), а также планировка грунта (в охранных зонах подземных кабельных линий электропередачи);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</w:t>
      </w:r>
      <w:r>
        <w:rPr>
          <w:rFonts w:ascii="Liberation Sans" w:hAnsi="Liberation Sans"/>
          <w:sz w:val="26"/>
          <w:szCs w:val="26"/>
        </w:rPr>
        <w:t xml:space="preserve">) полив сельскохозяйственных культур в случае, если высота струи воды может составить свыше 3 метров (в охранных зонах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электропередачи);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и)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полевые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сельскохозяйственные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 вспашкой земли (в охранных зонах кабельных линий электропередачи).</w:t>
      </w:r>
      <w:r>
        <w:rPr>
          <w:rFonts w:ascii="Liberation Sans" w:hAnsi="Liberation Sans"/>
          <w:sz w:val="26"/>
          <w:szCs w:val="26"/>
        </w:rPr>
        <w:t xml:space="preserve"> Зона с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объекта реестра границ: Зона с особыми условиями использования территории; Вид зоны по документу: Охранная 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хозяйства: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"Сети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электроснабжения";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коммуникаций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  <w:r/>
    </w:p>
    <w:p>
      <w:pPr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протоколу осмотра от 14.06.2024 № 496</w:t>
      </w:r>
      <w:r>
        <w:rPr>
          <w:rFonts w:ascii="Liberation Sans" w:hAnsi="Liberation Sans"/>
          <w:color w:val="000000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</w:t>
      </w:r>
      <w:r>
        <w:rPr>
          <w:rFonts w:ascii="Liberation Sans" w:hAnsi="Liberation Sans"/>
          <w:color w:val="000000"/>
          <w:sz w:val="26"/>
          <w:szCs w:val="26"/>
        </w:rPr>
        <w:t xml:space="preserve">тра установлено, что земельный участок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89</w:t>
      </w:r>
      <w:r>
        <w:rPr>
          <w:rFonts w:ascii="Liberation Sans" w:hAnsi="Liberation Sans"/>
          <w:color w:val="000000"/>
          <w:sz w:val="26"/>
          <w:szCs w:val="26"/>
        </w:rPr>
        <w:t xml:space="preserve">:11:020206:2496</w:t>
      </w:r>
      <w:r>
        <w:rPr>
          <w:rFonts w:ascii="Liberation Sans" w:hAnsi="Liberation Sans"/>
          <w:color w:val="000000"/>
          <w:sz w:val="26"/>
          <w:szCs w:val="26"/>
        </w:rPr>
        <w:t xml:space="preserve"> не огражден</w:t>
      </w:r>
      <w:r>
        <w:rPr>
          <w:rFonts w:ascii="Liberation Sans" w:hAnsi="Liberation Sans"/>
          <w:color w:val="000000"/>
          <w:sz w:val="26"/>
          <w:szCs w:val="26"/>
        </w:rPr>
        <w:t xml:space="preserve">, доступ на территорию земельного участка свободный.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Объекты недвижим</w:t>
      </w:r>
      <w:r>
        <w:rPr>
          <w:rFonts w:ascii="Liberation Sans" w:hAnsi="Liberation Sans"/>
          <w:color w:val="000000"/>
          <w:sz w:val="26"/>
          <w:szCs w:val="26"/>
        </w:rPr>
        <w:t xml:space="preserve">ого имущества на территории земельного участка визуально не определяются. Местами на земельном участке произрастают мелкие кустарники и прочая растительность. Почвенный покров неоднородный, местами перерыт. По внешним признакам земельный участок не освоен.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Непосредственно на почвенном покрове, </w:t>
      </w:r>
      <w:r>
        <w:rPr>
          <w:rFonts w:ascii="Liberation Sans" w:hAnsi="Liberation Sans"/>
          <w:color w:val="000000"/>
          <w:sz w:val="26"/>
          <w:szCs w:val="26"/>
        </w:rPr>
        <w:t xml:space="preserve">    </w:t>
      </w:r>
      <w:r>
        <w:rPr>
          <w:rFonts w:ascii="Liberation Sans" w:hAnsi="Liberation Sans"/>
          <w:color w:val="000000"/>
          <w:sz w:val="26"/>
          <w:szCs w:val="26"/>
        </w:rPr>
        <w:t xml:space="preserve">без изолирующего </w:t>
      </w:r>
      <w:r>
        <w:rPr>
          <w:rFonts w:ascii="Liberation Sans" w:hAnsi="Liberation Sans"/>
          <w:color w:val="000000"/>
          <w:sz w:val="26"/>
          <w:szCs w:val="26"/>
        </w:rPr>
        <w:t xml:space="preserve">покрытия размещены отходы разного происхождения.</w:t>
      </w:r>
      <w:r/>
    </w:p>
    <w:p>
      <w:pPr>
        <w:ind w:firstLine="709"/>
        <w:jc w:val="both"/>
        <w:widowControl w:val="off"/>
        <w:rPr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Территория земельного участка подлежит </w:t>
      </w:r>
      <w:r>
        <w:rPr>
          <w:rFonts w:ascii="Liberation Sans" w:hAnsi="Liberation Sans"/>
          <w:color w:val="000000"/>
          <w:sz w:val="26"/>
          <w:szCs w:val="26"/>
        </w:rPr>
        <w:t xml:space="preserve">санитарной очистке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993" w:leader="none"/>
        </w:tabs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от</w:t>
      </w:r>
      <w:r>
        <w:rPr>
          <w:rFonts w:ascii="Liberation Sans" w:hAnsi="Liberation Sans"/>
          <w:color w:val="000000"/>
          <w:sz w:val="26"/>
          <w:szCs w:val="26"/>
        </w:rPr>
        <w:t xml:space="preserve"> 27.06.2024 № 1478</w:t>
      </w:r>
      <w:r>
        <w:rPr>
          <w:rFonts w:ascii="Liberation Sans" w:hAnsi="Liberation Sans"/>
          <w:color w:val="000000"/>
          <w:sz w:val="26"/>
          <w:szCs w:val="26"/>
        </w:rPr>
        <w:t xml:space="preserve"> сообщено, что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объектов</w:t>
      </w:r>
      <w:r>
        <w:rPr>
          <w:rFonts w:ascii="Liberation Sans" w:hAnsi="Liberation Sans"/>
          <w:color w:val="000000"/>
          <w:sz w:val="26"/>
          <w:szCs w:val="26"/>
        </w:rPr>
        <w:t xml:space="preserve"> на земельном участке 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</w:t>
      </w:r>
      <w:r>
        <w:rPr>
          <w:rFonts w:ascii="Liberation Sans" w:hAnsi="Liberation Sans"/>
          <w:color w:val="000000"/>
          <w:sz w:val="26"/>
          <w:szCs w:val="26"/>
        </w:rPr>
        <w:t xml:space="preserve">,</w:t>
      </w:r>
      <w:r>
        <w:rPr>
          <w:rFonts w:ascii="Liberation Sans" w:hAnsi="Liberation Sans"/>
          <w:color w:val="000000"/>
          <w:sz w:val="26"/>
          <w:szCs w:val="26"/>
        </w:rPr>
        <w:t xml:space="preserve"> нах</w:t>
      </w:r>
      <w:r>
        <w:rPr>
          <w:rFonts w:ascii="Liberation Sans" w:hAnsi="Liberation Sans"/>
          <w:color w:val="000000"/>
          <w:sz w:val="26"/>
          <w:szCs w:val="26"/>
        </w:rPr>
        <w:t xml:space="preserve">одящихся на обслуживан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«УЭСК</w:t>
      </w:r>
      <w:r>
        <w:rPr>
          <w:rFonts w:ascii="Liberation Sans" w:hAnsi="Liberation Sans"/>
          <w:color w:val="000000"/>
          <w:sz w:val="26"/>
          <w:szCs w:val="26"/>
        </w:rPr>
        <w:t xml:space="preserve">». 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данному земельному участку проходят сети электроснабжения, находя</w:t>
      </w:r>
      <w:r>
        <w:rPr>
          <w:rFonts w:ascii="Liberation Sans" w:hAnsi="Liberation Sans"/>
          <w:color w:val="000000"/>
          <w:sz w:val="26"/>
          <w:szCs w:val="26"/>
        </w:rPr>
        <w:t xml:space="preserve">щиеся на обслуживан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«УЭСК», требующие</w:t>
      </w:r>
      <w:r>
        <w:rPr>
          <w:rFonts w:ascii="Liberation Sans" w:hAnsi="Liberation Sans"/>
          <w:color w:val="000000"/>
          <w:sz w:val="26"/>
          <w:szCs w:val="26"/>
        </w:rPr>
        <w:t xml:space="preserve"> демонтаж,</w:t>
      </w:r>
      <w:r>
        <w:rPr>
          <w:rFonts w:ascii="Liberation Sans" w:hAnsi="Liberation Sans"/>
          <w:color w:val="000000"/>
          <w:sz w:val="26"/>
          <w:szCs w:val="26"/>
        </w:rPr>
        <w:t xml:space="preserve"> вынос или переустройство сетей.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выдачи технических условий </w:t>
      </w:r>
      <w:r>
        <w:rPr>
          <w:rFonts w:ascii="Liberation Sans" w:hAnsi="Liberation Sans"/>
          <w:color w:val="000000"/>
          <w:sz w:val="26"/>
          <w:szCs w:val="26"/>
        </w:rPr>
        <w:t xml:space="preserve">на вынос электрических сетей из пятна застройки и подключение объекта к сетям электроснабжения, </w:t>
      </w:r>
      <w:r>
        <w:rPr>
          <w:rFonts w:ascii="Liberation Sans" w:hAnsi="Liberation Sans"/>
          <w:color w:val="000000"/>
          <w:sz w:val="26"/>
          <w:szCs w:val="26"/>
        </w:rPr>
        <w:t xml:space="preserve">заявителю необходимо обратиться в адрес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</w:t>
      </w:r>
      <w:r>
        <w:rPr>
          <w:rFonts w:ascii="Liberation Sans" w:hAnsi="Liberation Sans"/>
          <w:color w:val="000000"/>
          <w:sz w:val="26"/>
          <w:szCs w:val="26"/>
        </w:rPr>
        <w:t xml:space="preserve">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896"/>
            <w:rFonts w:ascii="Liberation Sans" w:hAnsi="Liberation Sans"/>
            <w:sz w:val="26"/>
            <w:szCs w:val="26"/>
            <w:lang w:val="en-US"/>
          </w:rPr>
          <w:t xml:space="preserve">www</w:t>
        </w:r>
        <w:r>
          <w:rPr>
            <w:rStyle w:val="896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6"/>
            <w:rFonts w:ascii="Liberation Sans" w:hAnsi="Liberation Sans"/>
            <w:sz w:val="26"/>
            <w:szCs w:val="26"/>
            <w:lang w:val="en-US"/>
          </w:rPr>
          <w:t xml:space="preserve">nuges</w:t>
        </w:r>
        <w:r>
          <w:rPr>
            <w:rStyle w:val="896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6"/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  <w:r/>
    </w:p>
    <w:p>
      <w:pPr>
        <w:pStyle w:val="679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Филиалом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Россети</w:t>
      </w:r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</w:t>
      </w:r>
      <w:r>
        <w:rPr>
          <w:rFonts w:ascii="Liberation Sans" w:hAnsi="Liberation Sans"/>
          <w:color w:val="000000"/>
          <w:sz w:val="26"/>
          <w:szCs w:val="26"/>
        </w:rPr>
        <w:t xml:space="preserve">ьмом от 05.07.2024 № РТ</w:t>
      </w:r>
      <w:r>
        <w:rPr>
          <w:rFonts w:ascii="Liberation Sans" w:hAnsi="Liberation Sans"/>
          <w:color w:val="000000"/>
          <w:sz w:val="26"/>
          <w:szCs w:val="26"/>
        </w:rPr>
        <w:t xml:space="preserve">6</w:t>
      </w:r>
      <w:r>
        <w:rPr>
          <w:rFonts w:ascii="Liberation Sans" w:hAnsi="Liberation Sans"/>
          <w:color w:val="000000"/>
          <w:sz w:val="26"/>
          <w:szCs w:val="26"/>
        </w:rPr>
        <w:t xml:space="preserve">/01/1571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сообщено об отсутствии в данном районе электрических сетей и центров питания АО «</w:t>
      </w:r>
      <w:r>
        <w:rPr>
          <w:rFonts w:ascii="Liberation Sans" w:hAnsi="Liberation Sans"/>
          <w:sz w:val="26"/>
          <w:szCs w:val="26"/>
        </w:rPr>
        <w:t xml:space="preserve">Россети</w:t>
      </w:r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89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</w:t>
      </w:r>
      <w:r>
        <w:rPr>
          <w:rFonts w:ascii="Liberation Sans" w:hAnsi="Liberation Sans"/>
          <w:color w:val="000000"/>
          <w:sz w:val="26"/>
          <w:szCs w:val="26"/>
        </w:rPr>
        <w:t xml:space="preserve">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10.07.2024 № 1494/1797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технических условиях на присоединение  </w:t>
      </w:r>
      <w:r>
        <w:rPr>
          <w:rFonts w:ascii="Liberation Sans" w:hAnsi="Liberation Sans"/>
          <w:color w:val="000000"/>
          <w:sz w:val="26"/>
          <w:szCs w:val="26"/>
        </w:rPr>
        <w:t xml:space="preserve">      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инженерно-технического обеспечения земельного участка с кадастровым номером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 xml:space="preserve">DN</w:t>
      </w:r>
      <w:r>
        <w:rPr>
          <w:rFonts w:ascii="Liberation Sans" w:hAnsi="Liberation Sans"/>
          <w:sz w:val="26"/>
          <w:szCs w:val="26"/>
        </w:rPr>
        <w:t xml:space="preserve"> 1</w:t>
      </w:r>
      <w:r>
        <w:rPr>
          <w:rFonts w:ascii="Liberation Sans" w:hAnsi="Liberation Sans"/>
          <w:sz w:val="26"/>
          <w:szCs w:val="26"/>
        </w:rPr>
        <w:t xml:space="preserve">8</w:t>
      </w:r>
      <w:r>
        <w:rPr>
          <w:rFonts w:ascii="Liberation Sans" w:hAnsi="Liberation Sans"/>
          <w:sz w:val="26"/>
          <w:szCs w:val="26"/>
        </w:rPr>
        <w:t xml:space="preserve">0</w:t>
      </w:r>
      <w:r>
        <w:rPr>
          <w:rFonts w:ascii="Liberation Sans" w:hAnsi="Liberation Sans"/>
          <w:sz w:val="26"/>
          <w:szCs w:val="26"/>
        </w:rPr>
        <w:t xml:space="preserve"> в </w:t>
      </w:r>
      <w:r>
        <w:rPr>
          <w:rFonts w:ascii="Liberation Sans" w:hAnsi="Liberation Sans"/>
          <w:sz w:val="26"/>
          <w:szCs w:val="26"/>
        </w:rPr>
        <w:t xml:space="preserve">проектируемой </w:t>
      </w:r>
      <w:r>
        <w:rPr>
          <w:rFonts w:ascii="Liberation Sans" w:hAnsi="Liberation Sans"/>
          <w:sz w:val="26"/>
          <w:szCs w:val="26"/>
        </w:rPr>
        <w:t xml:space="preserve">тепловодопроводной</w:t>
      </w:r>
      <w:r>
        <w:rPr>
          <w:rFonts w:ascii="Liberation Sans" w:hAnsi="Liberation Sans"/>
          <w:sz w:val="26"/>
          <w:szCs w:val="26"/>
        </w:rPr>
        <w:t xml:space="preserve"> камере</w:t>
      </w:r>
      <w:r>
        <w:rPr>
          <w:rFonts w:ascii="Liberation Sans" w:hAnsi="Liberation Sans"/>
          <w:sz w:val="26"/>
          <w:szCs w:val="26"/>
        </w:rPr>
        <w:t xml:space="preserve">. Максимальная (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z w:val="26"/>
          <w:szCs w:val="26"/>
        </w:rPr>
        <w:t xml:space="preserve">вободная</w:t>
      </w:r>
      <w:r>
        <w:rPr>
          <w:rFonts w:ascii="Liberation Sans" w:hAnsi="Liberation Sans"/>
          <w:sz w:val="26"/>
          <w:szCs w:val="26"/>
        </w:rPr>
        <w:t xml:space="preserve">)</w:t>
      </w:r>
      <w:r>
        <w:rPr>
          <w:rFonts w:ascii="Liberation Sans" w:hAnsi="Liberation Sans"/>
          <w:sz w:val="26"/>
          <w:szCs w:val="26"/>
        </w:rPr>
        <w:t xml:space="preserve"> мощн</w:t>
      </w:r>
      <w:r>
        <w:rPr>
          <w:rFonts w:ascii="Liberation Sans" w:hAnsi="Liberation Sans"/>
          <w:sz w:val="26"/>
          <w:szCs w:val="26"/>
        </w:rPr>
        <w:t xml:space="preserve">о</w:t>
      </w:r>
      <w:r>
        <w:rPr>
          <w:rFonts w:ascii="Liberation Sans" w:hAnsi="Liberation Sans"/>
          <w:sz w:val="26"/>
          <w:szCs w:val="26"/>
        </w:rPr>
        <w:t xml:space="preserve">сть в точке присоединения: 61,20</w:t>
      </w:r>
      <w:r>
        <w:rPr>
          <w:rFonts w:ascii="Liberation Sans" w:hAnsi="Liberation Sans"/>
          <w:sz w:val="26"/>
          <w:szCs w:val="26"/>
        </w:rPr>
        <w:t xml:space="preserve"> м</w:t>
      </w:r>
      <w:r>
        <w:rPr>
          <w:rFonts w:ascii="Liberation Sans" w:hAnsi="Liberation Sans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/ч.</w:t>
      </w:r>
      <w:r/>
    </w:p>
    <w:p>
      <w:pPr>
        <w:pStyle w:val="91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водоотведен</w:t>
      </w:r>
      <w:r>
        <w:rPr>
          <w:rFonts w:ascii="Liberation Sans" w:hAnsi="Liberation Sans"/>
          <w:sz w:val="26"/>
          <w:szCs w:val="26"/>
        </w:rPr>
        <w:t xml:space="preserve">ия: канализационный колодец № 14</w:t>
      </w:r>
      <w:r>
        <w:rPr>
          <w:rFonts w:ascii="Liberation Sans" w:hAnsi="Liberation Sans"/>
          <w:sz w:val="26"/>
          <w:szCs w:val="26"/>
        </w:rPr>
        <w:t xml:space="preserve"> (нумерация АО «УГВК») на самотечном коллекторе </w:t>
      </w:r>
      <w:r>
        <w:rPr>
          <w:rFonts w:ascii="Liberation Sans" w:hAnsi="Liberation Sans"/>
          <w:sz w:val="26"/>
          <w:szCs w:val="26"/>
          <w:lang w:val="en-US"/>
        </w:rPr>
        <w:t xml:space="preserve">DN</w:t>
      </w:r>
      <w:r>
        <w:rPr>
          <w:rFonts w:ascii="Liberation Sans" w:hAnsi="Liberation Sans"/>
          <w:sz w:val="26"/>
          <w:szCs w:val="26"/>
        </w:rPr>
        <w:t xml:space="preserve"> 25</w:t>
      </w:r>
      <w:r>
        <w:rPr>
          <w:rFonts w:ascii="Liberation Sans" w:hAnsi="Liberation Sans"/>
          <w:sz w:val="26"/>
          <w:szCs w:val="26"/>
        </w:rPr>
        <w:t xml:space="preserve">0.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Максимальная (</w:t>
      </w:r>
      <w:r>
        <w:rPr>
          <w:rFonts w:ascii="Liberation Sans" w:hAnsi="Liberation Sans"/>
          <w:sz w:val="26"/>
          <w:szCs w:val="26"/>
        </w:rPr>
        <w:t xml:space="preserve">свободная</w:t>
      </w:r>
      <w:r>
        <w:rPr>
          <w:rFonts w:ascii="Liberation Sans" w:hAnsi="Liberation Sans"/>
          <w:sz w:val="26"/>
          <w:szCs w:val="26"/>
        </w:rPr>
        <w:t xml:space="preserve">)</w:t>
      </w:r>
      <w:r>
        <w:rPr>
          <w:rFonts w:ascii="Liberation Sans" w:hAnsi="Liberation Sans"/>
          <w:sz w:val="26"/>
          <w:szCs w:val="26"/>
        </w:rPr>
        <w:t xml:space="preserve"> мощно</w:t>
      </w:r>
      <w:r>
        <w:rPr>
          <w:rFonts w:ascii="Liberation Sans" w:hAnsi="Liberation Sans"/>
          <w:sz w:val="26"/>
          <w:szCs w:val="26"/>
        </w:rPr>
        <w:t xml:space="preserve">сть в точке присоединения: 29,42</w:t>
      </w:r>
      <w:r>
        <w:rPr>
          <w:rFonts w:ascii="Liberation Sans" w:hAnsi="Liberation Sans"/>
          <w:sz w:val="26"/>
          <w:szCs w:val="26"/>
        </w:rPr>
        <w:t xml:space="preserve"> м</w:t>
      </w:r>
      <w:r>
        <w:rPr>
          <w:rFonts w:ascii="Liberation Sans" w:hAnsi="Liberation Sans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/ч.</w:t>
      </w:r>
      <w:r/>
    </w:p>
    <w:p>
      <w:pPr>
        <w:pStyle w:val="89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ю Правительства РФ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от 30.11.2021 № 2130 «Об установлении Правил подключения (технологического присоединения) объектов капит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горячего водоснабжения, холодного водоснабжения и (или) водоотведения…». </w:t>
      </w:r>
      <w:r/>
    </w:p>
    <w:p>
      <w:pPr>
        <w:pStyle w:val="89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Форму запроса и перечень необходимых документов можно скачать    с сайта АО «УГВК» по ссылке:</w:t>
      </w:r>
      <w:r/>
    </w:p>
    <w:p>
      <w:pPr>
        <w:pStyle w:val="89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ukk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.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ru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ao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ugvk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tehnologicheskoe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prisoedinenie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pStyle w:val="89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Технические условия выдаются сроком на 3 года.</w:t>
      </w:r>
      <w:r/>
    </w:p>
    <w:p>
      <w:pPr>
        <w:pStyle w:val="89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Дата окончания срока действия указанного тарифа - 31.12.2024.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земельного </w:t>
      </w:r>
      <w:r>
        <w:rPr>
          <w:rFonts w:ascii="Liberation Sans" w:hAnsi="Liberation Sans"/>
          <w:sz w:val="26"/>
          <w:szCs w:val="26"/>
        </w:rPr>
        <w:t xml:space="preserve">участка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 </w:t>
      </w:r>
      <w:r>
        <w:rPr>
          <w:rFonts w:ascii="Liberation Sans" w:hAnsi="Liberation Sans"/>
          <w:sz w:val="26"/>
          <w:szCs w:val="26"/>
        </w:rPr>
        <w:t xml:space="preserve">нах</w:t>
      </w:r>
      <w:r>
        <w:rPr>
          <w:rFonts w:ascii="Liberation Sans" w:hAnsi="Liberation Sans"/>
          <w:sz w:val="26"/>
          <w:szCs w:val="26"/>
        </w:rPr>
        <w:t xml:space="preserve">одятся действующие сети </w:t>
      </w:r>
      <w:r>
        <w:rPr>
          <w:rFonts w:ascii="Liberation Sans" w:hAnsi="Liberation Sans"/>
          <w:sz w:val="26"/>
          <w:szCs w:val="26"/>
        </w:rPr>
        <w:t xml:space="preserve">холодного водоснабжения и водоотведения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z w:val="26"/>
          <w:szCs w:val="26"/>
        </w:rPr>
        <w:t xml:space="preserve"> Для получения технических условий на выно</w:t>
      </w:r>
      <w:r>
        <w:rPr>
          <w:rFonts w:ascii="Liberation Sans" w:hAnsi="Liberation Sans"/>
          <w:sz w:val="26"/>
          <w:szCs w:val="26"/>
        </w:rPr>
        <w:t xml:space="preserve">с инженерных сетей за пределы границ земельного участка </w:t>
      </w:r>
      <w:r>
        <w:rPr>
          <w:rFonts w:ascii="Liberation Sans" w:hAnsi="Liberation Sans"/>
          <w:sz w:val="26"/>
          <w:szCs w:val="26"/>
        </w:rPr>
        <w:t xml:space="preserve"> необходимо обратиться  в АО «УГВК».</w:t>
      </w:r>
      <w:r/>
    </w:p>
    <w:p>
      <w:pPr>
        <w:pStyle w:val="67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05.07.2024 № 3066</w:t>
      </w:r>
      <w:r>
        <w:rPr>
          <w:rFonts w:ascii="Liberation Sans" w:hAnsi="Liberation Sans"/>
          <w:sz w:val="26"/>
          <w:szCs w:val="26"/>
        </w:rPr>
        <w:t xml:space="preserve">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color w:val="000000"/>
          <w:sz w:val="26"/>
          <w:szCs w:val="26"/>
        </w:rPr>
        <w:t xml:space="preserve">89:11:020206:2496</w:t>
      </w:r>
      <w:r>
        <w:rPr>
          <w:rFonts w:ascii="Liberation Sans" w:hAnsi="Liberation Sans"/>
          <w:sz w:val="26"/>
          <w:szCs w:val="26"/>
        </w:rPr>
        <w:t xml:space="preserve">:</w:t>
      </w:r>
      <w:r/>
    </w:p>
    <w:p>
      <w:pPr>
        <w:pStyle w:val="67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ист</w:t>
      </w:r>
      <w:r>
        <w:rPr>
          <w:rFonts w:ascii="Liberation Sans" w:hAnsi="Liberation Sans"/>
          <w:sz w:val="26"/>
          <w:szCs w:val="26"/>
        </w:rPr>
        <w:t xml:space="preserve">очник подключения: котельная № 2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67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точк</w:t>
      </w:r>
      <w:r>
        <w:rPr>
          <w:rFonts w:ascii="Liberation Sans" w:hAnsi="Liberation Sans"/>
          <w:sz w:val="26"/>
          <w:szCs w:val="26"/>
        </w:rPr>
        <w:t xml:space="preserve">а подключения: стенка жилого здания от проектируемой тепловой камеры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887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- параметры: Р</w:t>
      </w:r>
      <w:r>
        <w:rPr>
          <w:rFonts w:ascii="Liberation Sans" w:hAnsi="Liberation Sans"/>
          <w:sz w:val="26"/>
          <w:szCs w:val="26"/>
          <w:vertAlign w:val="subscript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/Р</w:t>
      </w:r>
      <w:r>
        <w:rPr>
          <w:rFonts w:ascii="Liberation Sans" w:hAnsi="Liberation Sans"/>
          <w:sz w:val="26"/>
          <w:szCs w:val="26"/>
          <w:vertAlign w:val="subscript"/>
        </w:rPr>
        <w:t xml:space="preserve">2</w:t>
      </w:r>
      <w:r>
        <w:rPr>
          <w:rFonts w:ascii="Liberation Sans" w:hAnsi="Liberation Sans"/>
          <w:sz w:val="26"/>
          <w:szCs w:val="26"/>
        </w:rPr>
        <w:t xml:space="preserve">=6,6/4,8</w:t>
      </w:r>
      <w:r>
        <w:rPr>
          <w:rFonts w:ascii="Liberation Sans" w:hAnsi="Liberation Sans"/>
          <w:sz w:val="26"/>
          <w:szCs w:val="26"/>
        </w:rPr>
        <w:t xml:space="preserve">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 xml:space="preserve">2</w:t>
      </w:r>
      <w:r>
        <w:rPr>
          <w:rFonts w:ascii="Liberation Sans" w:hAnsi="Liberation Sans"/>
          <w:sz w:val="26"/>
          <w:szCs w:val="26"/>
        </w:rPr>
        <w:t xml:space="preserve">, Т</w:t>
      </w:r>
      <w:r>
        <w:rPr>
          <w:rFonts w:ascii="Liberation Sans" w:hAnsi="Liberation Sans"/>
          <w:sz w:val="26"/>
          <w:szCs w:val="26"/>
          <w:vertAlign w:val="subscript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/Т</w:t>
      </w:r>
      <w:r>
        <w:rPr>
          <w:rFonts w:ascii="Liberation Sans" w:hAnsi="Liberation Sans"/>
          <w:sz w:val="26"/>
          <w:szCs w:val="26"/>
          <w:vertAlign w:val="subscript"/>
        </w:rPr>
        <w:t xml:space="preserve">2</w:t>
      </w:r>
      <w:r>
        <w:rPr>
          <w:rFonts w:ascii="Liberation Sans" w:hAnsi="Liberation Sans"/>
          <w:sz w:val="26"/>
          <w:szCs w:val="26"/>
        </w:rPr>
        <w:t xml:space="preserve">=110/70</w:t>
      </w:r>
      <w:r>
        <w:rPr>
          <w:rFonts w:ascii="Liberation Sans" w:hAnsi="Liberation Sans"/>
          <w:sz w:val="26"/>
          <w:szCs w:val="26"/>
        </w:rPr>
        <w:t xml:space="preserve">°С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</w:t>
      </w:r>
      <w:r>
        <w:rPr>
          <w:rFonts w:ascii="Liberation Sans" w:hAnsi="Liberation Sans"/>
          <w:sz w:val="26"/>
          <w:szCs w:val="26"/>
          <w:vertAlign w:val="sub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/Р</w:t>
      </w:r>
      <w:r>
        <w:rPr>
          <w:rFonts w:ascii="Liberation Sans" w:hAnsi="Liberation Sans"/>
          <w:sz w:val="26"/>
          <w:szCs w:val="26"/>
          <w:vertAlign w:val="subscript"/>
        </w:rPr>
        <w:t xml:space="preserve">4</w:t>
      </w:r>
      <w:r>
        <w:rPr>
          <w:rFonts w:ascii="Liberation Sans" w:hAnsi="Liberation Sans"/>
          <w:sz w:val="26"/>
          <w:szCs w:val="26"/>
        </w:rPr>
        <w:t xml:space="preserve">=6,2/6,0 </w:t>
      </w:r>
      <w:r>
        <w:rPr>
          <w:rFonts w:ascii="Liberation Sans" w:hAnsi="Liberation Sans"/>
        </w:rPr>
        <w:t xml:space="preserve">кгс/см</w:t>
      </w:r>
      <w:r>
        <w:rPr>
          <w:rFonts w:ascii="Liberation Sans" w:hAnsi="Liberation Sans"/>
          <w:b/>
          <w:vertAlign w:val="superscript"/>
        </w:rPr>
        <w:t xml:space="preserve">2</w:t>
      </w:r>
      <w:r>
        <w:rPr>
          <w:rFonts w:ascii="Liberation Sans" w:hAnsi="Liberation Sans"/>
          <w:sz w:val="26"/>
          <w:szCs w:val="26"/>
        </w:rPr>
        <w:t xml:space="preserve">, Т</w:t>
      </w:r>
      <w:r>
        <w:rPr>
          <w:rFonts w:ascii="Liberation Sans" w:hAnsi="Liberation Sans"/>
          <w:sz w:val="26"/>
          <w:szCs w:val="26"/>
          <w:vertAlign w:val="sub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/Т</w:t>
      </w:r>
      <w:r>
        <w:rPr>
          <w:rFonts w:ascii="Liberation Sans" w:hAnsi="Liberation Sans"/>
          <w:sz w:val="26"/>
          <w:szCs w:val="26"/>
          <w:vertAlign w:val="subscript"/>
        </w:rPr>
        <w:t xml:space="preserve">4</w:t>
      </w:r>
      <w:r>
        <w:rPr>
          <w:rFonts w:ascii="Liberation Sans" w:hAnsi="Liberation Sans"/>
          <w:sz w:val="26"/>
          <w:szCs w:val="26"/>
        </w:rPr>
        <w:t xml:space="preserve">=60/5</w:t>
      </w:r>
      <w:r>
        <w:rPr>
          <w:rFonts w:ascii="Liberation Sans" w:hAnsi="Liberation Sans"/>
          <w:sz w:val="26"/>
          <w:szCs w:val="26"/>
        </w:rPr>
        <w:t xml:space="preserve">0°С;</w:t>
      </w:r>
      <w:r/>
    </w:p>
    <w:p>
      <w:pPr>
        <w:pStyle w:val="887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свободная мощность в </w:t>
      </w:r>
      <w:r>
        <w:rPr>
          <w:rFonts w:ascii="Liberation Sans" w:hAnsi="Liberation Sans"/>
          <w:sz w:val="26"/>
          <w:szCs w:val="26"/>
        </w:rPr>
        <w:t xml:space="preserve">точке подключения: 1,2</w:t>
      </w:r>
      <w:r>
        <w:rPr>
          <w:rFonts w:ascii="Liberation Sans" w:hAnsi="Liberation Sans"/>
          <w:sz w:val="26"/>
          <w:szCs w:val="26"/>
        </w:rPr>
        <w:t xml:space="preserve"> Гкал/час.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</w:t>
      </w:r>
      <w:r>
        <w:rPr>
          <w:rFonts w:ascii="Liberation Sans" w:hAnsi="Liberation Sans"/>
          <w:sz w:val="26"/>
          <w:szCs w:val="26"/>
        </w:rPr>
        <w:t xml:space="preserve"> проходят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действующие сети </w:t>
      </w:r>
      <w:r>
        <w:rPr>
          <w:rFonts w:ascii="Liberation Sans" w:hAnsi="Liberation Sans"/>
          <w:sz w:val="26"/>
          <w:szCs w:val="26"/>
        </w:rPr>
        <w:t xml:space="preserve">теплоснабжения</w:t>
      </w:r>
      <w:r>
        <w:rPr>
          <w:rFonts w:ascii="Liberation Sans" w:hAnsi="Liberation Sans"/>
          <w:sz w:val="26"/>
          <w:szCs w:val="26"/>
        </w:rPr>
        <w:t xml:space="preserve">, прин</w:t>
      </w:r>
      <w:r>
        <w:rPr>
          <w:rFonts w:ascii="Liberation Sans" w:hAnsi="Liberation Sans"/>
          <w:sz w:val="26"/>
          <w:szCs w:val="26"/>
        </w:rPr>
        <w:t xml:space="preserve">адлежащие </w:t>
      </w:r>
      <w:r>
        <w:rPr>
          <w:rFonts w:ascii="Liberation Sans" w:hAnsi="Liberation Sans"/>
          <w:sz w:val="26"/>
          <w:szCs w:val="26"/>
        </w:rPr>
        <w:t xml:space="preserve">АО «</w:t>
      </w:r>
      <w:r>
        <w:rPr>
          <w:rFonts w:ascii="Liberation Sans" w:hAnsi="Liberation Sans"/>
          <w:sz w:val="26"/>
          <w:szCs w:val="26"/>
        </w:rPr>
        <w:t xml:space="preserve">Уренгойтеплогенерация</w:t>
      </w:r>
      <w:r>
        <w:rPr>
          <w:rFonts w:ascii="Liberation Sans" w:hAnsi="Liberation Sans"/>
          <w:sz w:val="26"/>
          <w:szCs w:val="26"/>
        </w:rPr>
        <w:t xml:space="preserve">»</w:t>
      </w:r>
      <w:r>
        <w:rPr>
          <w:rFonts w:ascii="Liberation Sans" w:hAnsi="Liberation Sans"/>
          <w:sz w:val="26"/>
          <w:szCs w:val="26"/>
        </w:rPr>
        <w:t xml:space="preserve">. 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Необходимо </w:t>
      </w:r>
      <w:r>
        <w:rPr>
          <w:rFonts w:ascii="Liberation Sans" w:hAnsi="Liberation Sans"/>
          <w:sz w:val="26"/>
          <w:szCs w:val="26"/>
        </w:rPr>
        <w:t xml:space="preserve">предусмотреть </w:t>
      </w:r>
      <w:r>
        <w:rPr>
          <w:rFonts w:ascii="Liberation Sans" w:hAnsi="Liberation Sans"/>
          <w:sz w:val="26"/>
          <w:szCs w:val="26"/>
        </w:rPr>
        <w:t xml:space="preserve">вынос</w:t>
      </w:r>
      <w:r>
        <w:rPr>
          <w:rFonts w:ascii="Liberation Sans" w:hAnsi="Liberation Sans"/>
          <w:sz w:val="26"/>
          <w:szCs w:val="26"/>
        </w:rPr>
        <w:t xml:space="preserve"> сетей: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ТК-8 в сторону ТК-7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, Т2</w:t>
      </w:r>
      <w:r>
        <w:rPr>
          <w:rFonts w:ascii="Liberation Sans" w:hAnsi="Liberation Sans"/>
          <w:sz w:val="26"/>
          <w:szCs w:val="26"/>
        </w:rPr>
        <w:t xml:space="preserve"> сталь 09Г2С Ø 219*7 мм, </w:t>
      </w:r>
      <w:r>
        <w:rPr>
          <w:rFonts w:ascii="Liberation Sans" w:hAnsi="Liberation Sans"/>
          <w:sz w:val="26"/>
          <w:szCs w:val="26"/>
        </w:rPr>
        <w:t xml:space="preserve">Т3</w:t>
      </w:r>
      <w:r>
        <w:rPr>
          <w:rFonts w:ascii="Liberation Sans" w:hAnsi="Liberation Sans"/>
          <w:sz w:val="26"/>
          <w:szCs w:val="26"/>
        </w:rPr>
        <w:t xml:space="preserve"> 09Г2С </w:t>
      </w:r>
      <w:r>
        <w:rPr>
          <w:rFonts w:ascii="Liberation Sans" w:hAnsi="Liberation Sans"/>
          <w:sz w:val="26"/>
          <w:szCs w:val="26"/>
        </w:rPr>
        <w:t xml:space="preserve">оцинкованная Ø 159*6</w:t>
      </w:r>
      <w:r>
        <w:rPr>
          <w:rFonts w:ascii="Liberation Sans" w:hAnsi="Liberation Sans"/>
          <w:sz w:val="26"/>
          <w:szCs w:val="26"/>
        </w:rPr>
        <w:t xml:space="preserve"> мм, </w:t>
      </w:r>
      <w:r>
        <w:rPr>
          <w:rFonts w:ascii="Liberation Sans" w:hAnsi="Liberation Sans"/>
          <w:sz w:val="26"/>
          <w:szCs w:val="26"/>
        </w:rPr>
        <w:t xml:space="preserve">Т4 09Г2С оцинкованная Ø 108*5 мм; 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ТК-8 до ТК-10, Т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, Т2 сталь 09Г2С Ø 219*7 мм, Т3 09Г2С оцинкованная Ø 159*6 мм, Т4 09Г2С оцинкованная Ø 108*5 мм; 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ТК-10 в сторону ТК-11  Т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, Т2 сталь 09Г2С Ø 219*7 мм, Т3 09Г2С оцинкованная Ø 159*6 мм, Т4 09Г2С оцинкованная Ø 108*5 мм. 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Проектом предусмотреть переключение существующих объектов к проектируемым сетям теплоснабжения и горячего водоснабжения. </w:t>
      </w:r>
      <w:r/>
    </w:p>
    <w:p>
      <w:pPr>
        <w:pStyle w:val="887"/>
        <w:ind w:firstLine="708"/>
        <w:jc w:val="both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t xml:space="preserve">Проект выноса трубопровода тепловых сетей согласовать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 xml:space="preserve">с собственником АО «Уренгойтеплогенерация-1».</w:t>
      </w:r>
      <w:r/>
    </w:p>
    <w:p>
      <w:pPr>
        <w:pStyle w:val="93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</w:t>
      </w:r>
      <w:r>
        <w:rPr>
          <w:rFonts w:ascii="Liberation Sans" w:hAnsi="Liberation Sans"/>
          <w:color w:val="000000"/>
          <w:sz w:val="26"/>
          <w:szCs w:val="26"/>
        </w:rPr>
        <w:t xml:space="preserve">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20.06.2024 № 261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</w:t>
      </w:r>
      <w:r>
        <w:rPr>
          <w:rFonts w:ascii="Liberation Sans" w:hAnsi="Liberation Sans"/>
          <w:color w:val="000000"/>
          <w:sz w:val="26"/>
          <w:szCs w:val="26"/>
        </w:rPr>
        <w:t xml:space="preserve">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присоединение).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pStyle w:val="912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</w:t>
      </w:r>
      <w:r>
        <w:rPr>
          <w:rFonts w:ascii="Liberation Sans" w:hAnsi="Liberation Sans"/>
          <w:color w:val="000000"/>
          <w:sz w:val="26"/>
          <w:szCs w:val="26"/>
        </w:rPr>
        <w:t xml:space="preserve">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ind w:firstLine="709"/>
        <w:jc w:val="both"/>
        <w:tabs>
          <w:tab w:val="left" w:pos="993" w:leader="none"/>
        </w:tabs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Полную имеющуюся информацию о ТУ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можно получить                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у организатора аукциона. </w:t>
      </w:r>
      <w:r/>
    </w:p>
    <w:p>
      <w:pPr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 (Приложение № 2 </w:t>
      </w:r>
      <w:r>
        <w:rPr>
          <w:rFonts w:ascii="Liberation Sans" w:hAnsi="Liberation Sans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2"/>
      <w:r/>
      <w:bookmarkEnd w:id="1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30"/>
      <w:r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>
        <w:rPr>
          <w:rFonts w:ascii="Liberation Sans" w:hAnsi="Liberation Sans"/>
          <w:sz w:val="26"/>
          <w:szCs w:val="26"/>
        </w:rPr>
        <w:t xml:space="preserve">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3912140"/>
      <w:r/>
      <w:bookmarkEnd w:id="3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4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3" w:tooltip="https://internet.garant.ru/document/redirect/12184522/21" w:history="1">
        <w:r>
          <w:rPr>
            <w:rStyle w:val="916"/>
            <w:rFonts w:ascii="Liberation Sans" w:hAnsi="Liberation Sans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4" w:tooltip="https://utp.sberbank-ast.ru/AP/List/BidList" w:history="1">
        <w:r>
          <w:rPr>
            <w:rStyle w:val="89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непоступление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заявки:</w:t>
      </w:r>
      <w:r/>
    </w:p>
    <w:p>
      <w:pPr>
        <w:contextualSpacing/>
        <w:ind w:right="72" w:firstLine="709"/>
        <w:jc w:val="both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в размере задатка.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5" w:tooltip="https://utp.sberbank-ast.ru/AP/List/BidList" w:history="1">
        <w:r>
          <w:rPr>
            <w:rStyle w:val="89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не 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88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88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88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документации в торговой секции.</w:t>
      </w:r>
      <w:r/>
    </w:p>
    <w:p>
      <w:pPr>
        <w:pStyle w:val="88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аукционе.</w:t>
      </w:r>
      <w:r/>
    </w:p>
    <w:p>
      <w:pPr>
        <w:pStyle w:val="88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6" w:tooltip="https://internet.garant.ru/document/redirect/12184522/21" w:history="1">
        <w:r>
          <w:rPr>
            <w:rStyle w:val="916"/>
            <w:rFonts w:ascii="Liberation Sans" w:hAnsi="Liberation Sans" w:cs="Times New Roman CYR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</w:t>
      </w:r>
      <w:r>
        <w:rPr>
          <w:rFonts w:ascii="Liberation Sans" w:hAnsi="Liberation Sans"/>
          <w:sz w:val="26"/>
          <w:szCs w:val="26"/>
        </w:rPr>
        <w:t xml:space="preserve">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 xml:space="preserve"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аукционе по лоту</w:t>
      </w:r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887"/>
        <w:numPr>
          <w:ilvl w:val="0"/>
          <w:numId w:val="16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Формирование Оператором журнала хода аукциона: лучших предложений о цене участников.</w:t>
      </w:r>
      <w:r/>
    </w:p>
    <w:p>
      <w:pPr>
        <w:pStyle w:val="887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</w:t>
      </w:r>
      <w:r>
        <w:rPr>
          <w:rFonts w:ascii="Liberation Sans" w:hAnsi="Liberation Sans"/>
          <w:sz w:val="26"/>
          <w:szCs w:val="26"/>
        </w:rPr>
        <w:t xml:space="preserve">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</w:t>
      </w:r>
      <w:r>
        <w:rPr>
          <w:rFonts w:ascii="Liberation Sans" w:hAnsi="Liberation Sans"/>
          <w:sz w:val="26"/>
          <w:szCs w:val="26"/>
        </w:rPr>
        <w:t xml:space="preserve">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</w:t>
      </w:r>
      <w:r>
        <w:rPr>
          <w:rFonts w:ascii="Liberation Sans" w:hAnsi="Liberation Sans"/>
          <w:sz w:val="26"/>
          <w:szCs w:val="26"/>
        </w:rPr>
        <w:t xml:space="preserve">электронного аукциона в день проведения электронного аукциона обеспе</w:t>
      </w:r>
      <w:r>
        <w:rPr>
          <w:rFonts w:ascii="Liberation Sans" w:hAnsi="Liberation Sans"/>
          <w:sz w:val="26"/>
          <w:szCs w:val="26"/>
        </w:rPr>
        <w:t xml:space="preserve">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ascii="Liberation Sans" w:hAnsi="Liberation Sans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</w:t>
      </w:r>
      <w:r>
        <w:rPr>
          <w:rFonts w:ascii="Liberation Sans" w:hAnsi="Liberation Sans" w:cs="Calibri"/>
          <w:sz w:val="26"/>
          <w:szCs w:val="26"/>
        </w:rPr>
        <w:t xml:space="preserve">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14 ст. 39.12 Земельного кодекса РФ);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12 ст. 39.12 Земельного кодекса РФ);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которое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кциона несостоявшимся оформляется протоколом о результатах электронного аукциона.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 xml:space="preserve">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 xml:space="preserve"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8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</w:t>
      </w:r>
      <w:r>
        <w:rPr>
          <w:rFonts w:ascii="Liberation Sans" w:hAnsi="Liberation Sans"/>
          <w:sz w:val="26"/>
          <w:szCs w:val="26"/>
        </w:rPr>
        <w:t xml:space="preserve">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t xml:space="preserve"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7" w:tooltip="https://internet.garant.ru/document/redirect/12184522/21" w:history="1">
        <w:r>
          <w:rPr>
            <w:rStyle w:val="916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предмета аукциона, проекта договора аренды земельн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 xml:space="preserve"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сайте муниципального образования город Новый Уренгой  (</w:t>
      </w:r>
      <w:r>
        <w:rPr>
          <w:rFonts w:ascii="Liberation Sans" w:hAnsi="Liberation Sans"/>
          <w:color w:val="000000"/>
          <w:sz w:val="26"/>
          <w:szCs w:val="26"/>
        </w:rPr>
        <w:t xml:space="preserve">https://nur.yanao.ru</w:t>
      </w:r>
      <w:r>
        <w:rPr>
          <w:rFonts w:ascii="Liberation Sans" w:hAnsi="Liberation Sans"/>
          <w:color w:val="000000"/>
          <w:sz w:val="26"/>
          <w:szCs w:val="26"/>
        </w:rPr>
        <w:t xml:space="preserve">).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r>
        <w:rPr>
          <w:rFonts w:ascii="Liberation Sans" w:hAnsi="Liberation Sans" w:cs="Liberation Serif"/>
          <w:sz w:val="26"/>
          <w:szCs w:val="26"/>
        </w:rPr>
        <w:t xml:space="preserve">по</w:t>
      </w:r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электронного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p>
      <w:pPr>
        <w:contextualSpacing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993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Liberation Serif">
    <w:panose1 w:val="02020603050405020304"/>
  </w:font>
  <w:font w:name="Calibri Light">
    <w:panose1 w:val="020F0302020204030204"/>
  </w:font>
  <w:font w:name="Arial">
    <w:panose1 w:val="020B060402020202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 w:customStyle="1">
    <w:name w:val="Heading 1"/>
    <w:basedOn w:val="666"/>
    <w:next w:val="666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 w:customStyle="1">
    <w:name w:val="Heading 2"/>
    <w:basedOn w:val="666"/>
    <w:next w:val="66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 w:customStyle="1">
    <w:name w:val="Heading 3"/>
    <w:basedOn w:val="666"/>
    <w:next w:val="66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 w:customStyle="1">
    <w:name w:val="Heading 4"/>
    <w:basedOn w:val="666"/>
    <w:next w:val="66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6"/>
    <w:next w:val="66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 w:customStyle="1">
    <w:name w:val="Heading 6"/>
    <w:basedOn w:val="666"/>
    <w:next w:val="66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6"/>
    <w:next w:val="66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 w:customStyle="1">
    <w:name w:val="Heading 8"/>
    <w:basedOn w:val="666"/>
    <w:next w:val="66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 w:customStyle="1">
    <w:name w:val="Heading 9"/>
    <w:basedOn w:val="666"/>
    <w:next w:val="66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9" w:customStyle="1">
    <w:name w:val="Header"/>
    <w:basedOn w:val="666"/>
    <w:link w:val="73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0" w:customStyle="1">
    <w:name w:val="Footer"/>
    <w:basedOn w:val="666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1" w:customStyle="1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2" w:customStyle="1">
    <w:name w:val="Заголовок 21"/>
    <w:basedOn w:val="666"/>
    <w:link w:val="936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83" w:customStyle="1">
    <w:name w:val="Заголовок 22"/>
    <w:basedOn w:val="666"/>
    <w:next w:val="666"/>
    <w:link w:val="93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4" w:customStyle="1">
    <w:name w:val="Заголовок 11"/>
    <w:basedOn w:val="666"/>
    <w:next w:val="666"/>
    <w:link w:val="9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 w:customStyle="1">
    <w:name w:val="Заголовок 23"/>
    <w:basedOn w:val="666"/>
    <w:next w:val="666"/>
    <w:link w:val="9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6" w:customStyle="1">
    <w:name w:val="Заголовок 31"/>
    <w:basedOn w:val="666"/>
    <w:next w:val="666"/>
    <w:link w:val="9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 w:customStyle="1">
    <w:name w:val="Заголовок 41"/>
    <w:basedOn w:val="666"/>
    <w:next w:val="666"/>
    <w:link w:val="9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Заголовок 51"/>
    <w:basedOn w:val="666"/>
    <w:next w:val="666"/>
    <w:link w:val="9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9" w:customStyle="1">
    <w:name w:val="Заголовок 61"/>
    <w:basedOn w:val="666"/>
    <w:next w:val="666"/>
    <w:link w:val="9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 w:customStyle="1">
    <w:name w:val="Заголовок 71"/>
    <w:basedOn w:val="666"/>
    <w:next w:val="666"/>
    <w:link w:val="9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 w:customStyle="1">
    <w:name w:val="Заголовок 81"/>
    <w:basedOn w:val="666"/>
    <w:next w:val="666"/>
    <w:link w:val="9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 w:customStyle="1">
    <w:name w:val="Заголовок 91"/>
    <w:basedOn w:val="666"/>
    <w:next w:val="666"/>
    <w:link w:val="9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3" w:customStyle="1">
    <w:name w:val="Заголовок 12"/>
    <w:basedOn w:val="666"/>
    <w:next w:val="666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 w:customStyle="1">
    <w:name w:val="Заголовок 32"/>
    <w:basedOn w:val="666"/>
    <w:next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 w:customStyle="1">
    <w:name w:val="Заголовок 42"/>
    <w:basedOn w:val="666"/>
    <w:next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 w:customStyle="1">
    <w:name w:val="Заголовок 52"/>
    <w:basedOn w:val="666"/>
    <w:next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7" w:customStyle="1">
    <w:name w:val="Заголовок 62"/>
    <w:basedOn w:val="666"/>
    <w:next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 w:customStyle="1">
    <w:name w:val="Заголовок 72"/>
    <w:basedOn w:val="666"/>
    <w:next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 w:customStyle="1">
    <w:name w:val="Заголовок 82"/>
    <w:basedOn w:val="666"/>
    <w:next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Заголовок 92"/>
    <w:basedOn w:val="666"/>
    <w:next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1" w:customStyle="1">
    <w:name w:val="Нижний колонтитул1"/>
    <w:basedOn w:val="66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2" w:customStyle="1">
    <w:name w:val="Название объекта1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3" w:customStyle="1">
    <w:name w:val="Заголовок 21"/>
    <w:basedOn w:val="666"/>
    <w:next w:val="666"/>
    <w:link w:val="9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04" w:customStyle="1">
    <w:name w:val="Title Char"/>
    <w:basedOn w:val="667"/>
    <w:uiPriority w:val="10"/>
    <w:rPr>
      <w:sz w:val="48"/>
      <w:szCs w:val="48"/>
    </w:rPr>
  </w:style>
  <w:style w:type="character" w:styleId="705" w:customStyle="1">
    <w:name w:val="Subtitle Char"/>
    <w:basedOn w:val="667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paragraph" w:styleId="710" w:customStyle="1">
    <w:name w:val="Заголовок 11"/>
    <w:basedOn w:val="666"/>
    <w:next w:val="666"/>
    <w:link w:val="90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1" w:customStyle="1">
    <w:name w:val="Заголовок 22"/>
    <w:basedOn w:val="666"/>
    <w:next w:val="666"/>
    <w:link w:val="91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12" w:customStyle="1">
    <w:name w:val="Heading 1 Char"/>
    <w:basedOn w:val="667"/>
    <w:link w:val="693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667"/>
    <w:link w:val="671"/>
    <w:uiPriority w:val="9"/>
    <w:rPr>
      <w:rFonts w:ascii="Arial" w:hAnsi="Arial" w:eastAsia="Arial" w:cs="Arial"/>
      <w:sz w:val="34"/>
    </w:rPr>
  </w:style>
  <w:style w:type="paragraph" w:styleId="714" w:customStyle="1">
    <w:name w:val="Заголовок 31"/>
    <w:basedOn w:val="666"/>
    <w:next w:val="66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 w:customStyle="1">
    <w:name w:val="Heading 3 Char"/>
    <w:basedOn w:val="667"/>
    <w:link w:val="714"/>
    <w:uiPriority w:val="9"/>
    <w:rPr>
      <w:rFonts w:ascii="Arial" w:hAnsi="Arial" w:eastAsia="Arial" w:cs="Arial"/>
      <w:sz w:val="30"/>
      <w:szCs w:val="30"/>
    </w:rPr>
  </w:style>
  <w:style w:type="paragraph" w:styleId="716" w:customStyle="1">
    <w:name w:val="Заголовок 41"/>
    <w:basedOn w:val="666"/>
    <w:next w:val="66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4 Char"/>
    <w:basedOn w:val="667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 w:customStyle="1">
    <w:name w:val="Заголовок 51"/>
    <w:basedOn w:val="666"/>
    <w:next w:val="66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19" w:customStyle="1">
    <w:name w:val="Heading 5 Char"/>
    <w:basedOn w:val="667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 w:customStyle="1">
    <w:name w:val="Заголовок 61"/>
    <w:basedOn w:val="666"/>
    <w:next w:val="66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6 Char"/>
    <w:basedOn w:val="667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 w:customStyle="1">
    <w:name w:val="Заголовок 71"/>
    <w:basedOn w:val="666"/>
    <w:next w:val="66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7 Char"/>
    <w:basedOn w:val="667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 w:customStyle="1">
    <w:name w:val="Заголовок 81"/>
    <w:basedOn w:val="666"/>
    <w:next w:val="66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8 Char"/>
    <w:basedOn w:val="667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 w:customStyle="1">
    <w:name w:val="Заголовок 91"/>
    <w:basedOn w:val="666"/>
    <w:next w:val="66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Heading 9 Char"/>
    <w:basedOn w:val="66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qFormat/>
    <w:pPr>
      <w:spacing w:after="0" w:line="240" w:lineRule="auto"/>
    </w:pPr>
  </w:style>
  <w:style w:type="paragraph" w:styleId="729">
    <w:name w:val="Title"/>
    <w:basedOn w:val="666"/>
    <w:next w:val="666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667"/>
    <w:link w:val="729"/>
    <w:uiPriority w:val="10"/>
    <w:rPr>
      <w:sz w:val="48"/>
      <w:szCs w:val="48"/>
    </w:rPr>
  </w:style>
  <w:style w:type="paragraph" w:styleId="731">
    <w:name w:val="Subtitle"/>
    <w:basedOn w:val="666"/>
    <w:next w:val="666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basedOn w:val="667"/>
    <w:link w:val="731"/>
    <w:uiPriority w:val="11"/>
    <w:rPr>
      <w:sz w:val="24"/>
      <w:szCs w:val="24"/>
    </w:rPr>
  </w:style>
  <w:style w:type="paragraph" w:styleId="733">
    <w:name w:val="Quote"/>
    <w:basedOn w:val="666"/>
    <w:next w:val="666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66"/>
    <w:next w:val="666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667"/>
    <w:link w:val="679"/>
    <w:uiPriority w:val="99"/>
  </w:style>
  <w:style w:type="paragraph" w:styleId="738" w:customStyle="1">
    <w:name w:val="Нижний колонтитул1"/>
    <w:basedOn w:val="666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basedOn w:val="667"/>
    <w:uiPriority w:val="99"/>
  </w:style>
  <w:style w:type="paragraph" w:styleId="740" w:customStyle="1">
    <w:name w:val="Название объекта1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link w:val="738"/>
    <w:uiPriority w:val="99"/>
  </w:style>
  <w:style w:type="table" w:styleId="742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666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667"/>
    <w:uiPriority w:val="99"/>
    <w:unhideWhenUsed/>
    <w:rPr>
      <w:vertAlign w:val="superscript"/>
    </w:rPr>
  </w:style>
  <w:style w:type="paragraph" w:styleId="870">
    <w:name w:val="endnote text"/>
    <w:basedOn w:val="666"/>
    <w:link w:val="871"/>
    <w:uiPriority w:val="99"/>
    <w:semiHidden/>
    <w:unhideWhenUsed/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667"/>
    <w:uiPriority w:val="99"/>
    <w:semiHidden/>
    <w:unhideWhenUsed/>
    <w:rPr>
      <w:vertAlign w:val="superscript"/>
    </w:rPr>
  </w:style>
  <w:style w:type="paragraph" w:styleId="873">
    <w:name w:val="toc 1"/>
    <w:basedOn w:val="666"/>
    <w:next w:val="666"/>
    <w:uiPriority w:val="39"/>
    <w:unhideWhenUsed/>
    <w:pPr>
      <w:spacing w:after="57"/>
    </w:pPr>
  </w:style>
  <w:style w:type="paragraph" w:styleId="874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75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76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77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78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79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80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81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66"/>
    <w:next w:val="666"/>
    <w:uiPriority w:val="99"/>
    <w:unhideWhenUsed/>
  </w:style>
  <w:style w:type="paragraph" w:styleId="884" w:customStyle="1">
    <w:name w:val="Заголовок 12"/>
    <w:basedOn w:val="666"/>
    <w:next w:val="666"/>
    <w:link w:val="90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5" w:customStyle="1">
    <w:name w:val="Заголовок 23"/>
    <w:basedOn w:val="666"/>
    <w:next w:val="666"/>
    <w:link w:val="90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86" w:customStyle="1">
    <w:name w:val="Верхний колонтитул1"/>
    <w:basedOn w:val="666"/>
    <w:link w:val="88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87" w:customStyle="1">
    <w:name w:val="ConsPlusNormal"/>
    <w:link w:val="90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Верхний колонтитул Знак1"/>
    <w:link w:val="8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9">
    <w:name w:val="List Paragraph"/>
    <w:basedOn w:val="666"/>
    <w:uiPriority w:val="34"/>
    <w:qFormat/>
    <w:pPr>
      <w:contextualSpacing/>
      <w:ind w:left="720"/>
    </w:pPr>
  </w:style>
  <w:style w:type="paragraph" w:styleId="890" w:customStyle="1">
    <w:name w:val="Table Paragraph"/>
    <w:basedOn w:val="666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89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>
    <w:name w:val="Balloon Text"/>
    <w:basedOn w:val="666"/>
    <w:link w:val="893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893" w:customStyle="1">
    <w:name w:val="Текст выноски Знак"/>
    <w:basedOn w:val="667"/>
    <w:link w:val="89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94" w:customStyle="1">
    <w:name w:val="Верхний колонтитул2"/>
    <w:basedOn w:val="666"/>
    <w:link w:val="895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5" w:customStyle="1">
    <w:name w:val="Верхний колонтитул Знак"/>
    <w:basedOn w:val="667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>
    <w:name w:val="Hyperlink"/>
    <w:unhideWhenUsed/>
    <w:rPr>
      <w:color w:val="0000ff"/>
      <w:u w:val="single"/>
    </w:rPr>
  </w:style>
  <w:style w:type="paragraph" w:styleId="897">
    <w:name w:val="Normal (Web)"/>
    <w:basedOn w:val="666"/>
    <w:uiPriority w:val="99"/>
    <w:unhideWhenUsed/>
    <w:pPr>
      <w:spacing w:before="100" w:beforeAutospacing="1" w:after="100" w:afterAutospacing="1"/>
    </w:pPr>
  </w:style>
  <w:style w:type="paragraph" w:styleId="898">
    <w:name w:val="Body Text"/>
    <w:basedOn w:val="666"/>
    <w:link w:val="899"/>
    <w:uiPriority w:val="1"/>
    <w:qFormat/>
    <w:pPr>
      <w:widowControl w:val="off"/>
    </w:pPr>
    <w:rPr>
      <w:sz w:val="22"/>
      <w:szCs w:val="22"/>
      <w:lang w:eastAsia="en-US"/>
    </w:rPr>
  </w:style>
  <w:style w:type="character" w:styleId="899" w:customStyle="1">
    <w:name w:val="Основной текст Знак"/>
    <w:basedOn w:val="667"/>
    <w:link w:val="898"/>
    <w:uiPriority w:val="1"/>
    <w:rPr>
      <w:rFonts w:ascii="Times New Roman" w:hAnsi="Times New Roman" w:eastAsia="Times New Roman" w:cs="Times New Roman"/>
    </w:rPr>
  </w:style>
  <w:style w:type="paragraph" w:styleId="900" w:customStyle="1">
    <w:name w:val="Заголовок 31"/>
    <w:basedOn w:val="666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01" w:customStyle="1">
    <w:name w:val="Заголовок 2 Знак"/>
    <w:basedOn w:val="667"/>
    <w:link w:val="885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02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3" w:customStyle="1">
    <w:name w:val="ConsPlusNormal Знак"/>
    <w:link w:val="88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Заголовок 1 Знак"/>
    <w:basedOn w:val="667"/>
    <w:link w:val="88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05" w:customStyle="1">
    <w:name w:val="Прижатый влево"/>
    <w:basedOn w:val="666"/>
    <w:next w:val="666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06" w:customStyle="1">
    <w:name w:val="Абзац списка1"/>
    <w:basedOn w:val="666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7" w:customStyle="1">
    <w:name w:val="Верхний колонтитул3"/>
    <w:basedOn w:val="666"/>
    <w:link w:val="90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8" w:customStyle="1">
    <w:name w:val="Верхний колонтитул Знак2"/>
    <w:basedOn w:val="667"/>
    <w:link w:val="90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1 Знак1"/>
    <w:basedOn w:val="667"/>
    <w:link w:val="7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10" w:customStyle="1">
    <w:name w:val="Заголовок 2 Знак1"/>
    <w:basedOn w:val="667"/>
    <w:link w:val="71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11" w:customStyle="1">
    <w:name w:val="Заголовок 2 Знак2"/>
    <w:basedOn w:val="667"/>
    <w:link w:val="70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12" w:customStyle="1">
    <w:name w:val="Верхний колонтитул4"/>
    <w:basedOn w:val="666"/>
    <w:link w:val="913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3" w:customStyle="1">
    <w:name w:val="Верхний колонтитул Знак3"/>
    <w:basedOn w:val="667"/>
    <w:link w:val="9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Заголовок 24"/>
    <w:basedOn w:val="666"/>
    <w:next w:val="666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15" w:customStyle="1">
    <w:name w:val="Верхний колонтитул5"/>
    <w:basedOn w:val="666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6" w:customStyle="1">
    <w:name w:val="Гипертекстовая ссылка"/>
    <w:basedOn w:val="667"/>
    <w:uiPriority w:val="99"/>
    <w:rPr>
      <w:rFonts w:cs="Times New Roman"/>
      <w:color w:val="106bbe"/>
    </w:rPr>
  </w:style>
  <w:style w:type="paragraph" w:styleId="917" w:customStyle="1">
    <w:name w:val="Текст в заданном формате"/>
    <w:basedOn w:val="666"/>
    <w:qFormat/>
    <w:rPr>
      <w:rFonts w:ascii="Iosevka Term SS03" w:hAnsi="Iosevka Term SS03" w:eastAsia="Iosevka Term SS03" w:cs="Iosevka Term SS03"/>
      <w:sz w:val="20"/>
      <w:szCs w:val="20"/>
    </w:rPr>
  </w:style>
  <w:style w:type="paragraph" w:styleId="918" w:customStyle="1">
    <w:name w:val="Верхний колонтитул6"/>
    <w:basedOn w:val="666"/>
    <w:link w:val="91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9" w:customStyle="1">
    <w:name w:val="Верхний колонтитул Знак4"/>
    <w:basedOn w:val="667"/>
    <w:link w:val="9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Заголовок 2 Знак3"/>
    <w:basedOn w:val="667"/>
    <w:link w:val="68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21" w:customStyle="1">
    <w:name w:val="Заголовок 1 Знак2"/>
    <w:basedOn w:val="667"/>
    <w:link w:val="68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22" w:customStyle="1">
    <w:name w:val="Заголовок 3 Знак"/>
    <w:basedOn w:val="667"/>
    <w:link w:val="686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23" w:customStyle="1">
    <w:name w:val="Заголовок 4 Знак"/>
    <w:basedOn w:val="667"/>
    <w:link w:val="687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24" w:customStyle="1">
    <w:name w:val="Заголовок 5 Знак"/>
    <w:basedOn w:val="667"/>
    <w:link w:val="688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25" w:customStyle="1">
    <w:name w:val="Заголовок 6 Знак"/>
    <w:basedOn w:val="667"/>
    <w:link w:val="689"/>
    <w:uiPriority w:val="9"/>
    <w:rPr>
      <w:rFonts w:ascii="Arial" w:hAnsi="Arial" w:eastAsia="Arial" w:cs="Arial"/>
      <w:b/>
      <w:bCs/>
      <w:lang w:eastAsia="ru-RU"/>
    </w:rPr>
  </w:style>
  <w:style w:type="character" w:styleId="926" w:customStyle="1">
    <w:name w:val="Заголовок 7 Знак"/>
    <w:basedOn w:val="667"/>
    <w:link w:val="690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27" w:customStyle="1">
    <w:name w:val="Заголовок 8 Знак"/>
    <w:basedOn w:val="667"/>
    <w:link w:val="691"/>
    <w:uiPriority w:val="9"/>
    <w:rPr>
      <w:rFonts w:ascii="Arial" w:hAnsi="Arial" w:eastAsia="Arial" w:cs="Arial"/>
      <w:i/>
      <w:iCs/>
      <w:lang w:eastAsia="ru-RU"/>
    </w:rPr>
  </w:style>
  <w:style w:type="character" w:styleId="928" w:customStyle="1">
    <w:name w:val="Заголовок 9 Знак"/>
    <w:basedOn w:val="667"/>
    <w:link w:val="692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29" w:customStyle="1">
    <w:name w:val="Нижний колонтитул2"/>
    <w:basedOn w:val="666"/>
    <w:link w:val="9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0" w:customStyle="1">
    <w:name w:val="Нижний колонтитул Знак"/>
    <w:basedOn w:val="667"/>
    <w:link w:val="9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Название объекта2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2" w:customStyle="1">
    <w:name w:val="Заголовок 2 Знак4"/>
    <w:basedOn w:val="667"/>
    <w:link w:val="68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3" w:customStyle="1">
    <w:name w:val="Верхний колонтитул7"/>
    <w:basedOn w:val="666"/>
    <w:link w:val="93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4" w:customStyle="1">
    <w:name w:val="Верхний колонтитул Знак5"/>
    <w:basedOn w:val="667"/>
    <w:link w:val="9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5" w:customStyle="1">
    <w:name w:val="Font Style22"/>
    <w:rPr>
      <w:rFonts w:ascii="Times New Roman" w:hAnsi="Times New Roman"/>
      <w:sz w:val="26"/>
      <w:szCs w:val="26"/>
    </w:rPr>
  </w:style>
  <w:style w:type="character" w:styleId="936" w:customStyle="1">
    <w:name w:val="Заголовок 2 Знак5"/>
    <w:basedOn w:val="667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7" w:customStyle="1">
    <w:name w:val="docdata"/>
    <w:basedOn w:val="666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://www.nuges.ru" TargetMode="External"/><Relationship Id="rId13" Type="http://schemas.openxmlformats.org/officeDocument/2006/relationships/hyperlink" Target="https://internet.garant.ru/document/redirect/12184522/21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s://utp.sberbank-ast.ru/AP/List/BidList" TargetMode="External"/><Relationship Id="rId16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9E59-4172-4643-99A5-810E50AB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179</cp:revision>
  <dcterms:created xsi:type="dcterms:W3CDTF">2023-11-28T12:59:00Z</dcterms:created>
  <dcterms:modified xsi:type="dcterms:W3CDTF">2024-08-22T06:51:37Z</dcterms:modified>
</cp:coreProperties>
</file>