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8B" w:rsidRDefault="0028194D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78668B" w:rsidRDefault="0028194D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78668B" w:rsidRDefault="0028194D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8668B" w:rsidRPr="008C2762" w:rsidRDefault="0028194D">
      <w:pPr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                                                  </w:t>
      </w:r>
      <w:r w:rsidR="008C2762">
        <w:rPr>
          <w:rFonts w:ascii="Liberation Sans" w:hAnsi="Liberation Sans"/>
        </w:rPr>
        <w:t xml:space="preserve">                   </w:t>
      </w:r>
      <w:r w:rsidR="008C2762" w:rsidRPr="008C2762">
        <w:rPr>
          <w:rFonts w:ascii="Liberation Sans" w:hAnsi="Liberation Sans"/>
          <w:u w:val="single"/>
        </w:rPr>
        <w:t>от 21.08.2024 № 668</w:t>
      </w:r>
    </w:p>
    <w:p w:rsidR="0078668B" w:rsidRDefault="0078668B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78668B" w:rsidRDefault="0078668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8668B" w:rsidRDefault="0028194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8668B" w:rsidRDefault="0028194D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8668B" w:rsidRDefault="0028194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8668B" w:rsidRDefault="0028194D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31-2024/ЭЗ</w:t>
      </w:r>
    </w:p>
    <w:p w:rsidR="0078668B" w:rsidRDefault="0078668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8668B" w:rsidRDefault="0078668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8668B" w:rsidRDefault="0028194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       на основании распоряжения первого заместителя Главы Администрации города от 24.06.2024 № 821-рз «О проведении аукциона на право заключения договора аренды земельного участка для размещения (строительства) складов».</w:t>
      </w:r>
      <w:proofErr w:type="gramEnd"/>
    </w:p>
    <w:p w:rsidR="0078668B" w:rsidRDefault="0028194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78668B" w:rsidRDefault="0028194D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8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Оператор).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</w:t>
      </w:r>
      <w:r>
        <w:rPr>
          <w:rFonts w:ascii="Liberation Sans" w:hAnsi="Liberation Sans"/>
          <w:bCs/>
          <w:sz w:val="26"/>
          <w:szCs w:val="26"/>
        </w:rPr>
        <w:lastRenderedPageBreak/>
        <w:t xml:space="preserve">переулок, дом 12, стр. 9. 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8668B" w:rsidRDefault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78668B" w:rsidRDefault="0078668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</w:p>
    <w:p w:rsidR="0028194D" w:rsidRPr="00C03993" w:rsidRDefault="0028194D" w:rsidP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020B9F">
        <w:rPr>
          <w:rFonts w:ascii="Liberation Sans" w:hAnsi="Liberation Sans"/>
          <w:b/>
          <w:bCs/>
          <w:color w:val="000000"/>
          <w:sz w:val="26"/>
          <w:szCs w:val="26"/>
        </w:rPr>
        <w:t xml:space="preserve"> 22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>.08.2024.</w:t>
      </w:r>
    </w:p>
    <w:p w:rsidR="0028194D" w:rsidRPr="00C03993" w:rsidRDefault="0028194D" w:rsidP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="0012127A" w:rsidRPr="00C03993">
        <w:rPr>
          <w:rFonts w:ascii="Liberation Sans" w:hAnsi="Liberation Sans"/>
          <w:b/>
          <w:bCs/>
          <w:color w:val="000000"/>
          <w:sz w:val="26"/>
          <w:szCs w:val="26"/>
        </w:rPr>
        <w:t>01.10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>.2024</w:t>
      </w:r>
    </w:p>
    <w:p w:rsidR="0028194D" w:rsidRPr="00C03993" w:rsidRDefault="0028194D" w:rsidP="0028194D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12127A" w:rsidRPr="00C03993">
        <w:rPr>
          <w:rFonts w:ascii="Liberation Sans" w:hAnsi="Liberation Sans"/>
          <w:b/>
          <w:bCs/>
          <w:color w:val="000000"/>
          <w:sz w:val="26"/>
          <w:szCs w:val="26"/>
        </w:rPr>
        <w:t>03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 xml:space="preserve">.10.2024. </w:t>
      </w:r>
    </w:p>
    <w:p w:rsidR="0028194D" w:rsidRPr="0013517A" w:rsidRDefault="0028194D" w:rsidP="0028194D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C03993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 w:rsidR="0012127A" w:rsidRPr="00C03993">
        <w:rPr>
          <w:rFonts w:ascii="Liberation Sans" w:hAnsi="Liberation Sans"/>
          <w:b/>
          <w:bCs/>
          <w:color w:val="000000"/>
          <w:sz w:val="26"/>
          <w:szCs w:val="26"/>
        </w:rPr>
        <w:t>04</w:t>
      </w:r>
      <w:r w:rsidRPr="00C03993">
        <w:rPr>
          <w:rFonts w:ascii="Liberation Sans" w:hAnsi="Liberation Sans"/>
          <w:b/>
          <w:bCs/>
          <w:color w:val="000000"/>
          <w:sz w:val="26"/>
          <w:szCs w:val="26"/>
        </w:rPr>
        <w:t>.10.2024.</w:t>
      </w:r>
      <w:r w:rsidRPr="0013517A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78668B" w:rsidRDefault="0078668B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8668B" w:rsidRDefault="0028194D">
      <w:pPr>
        <w:ind w:firstLine="709"/>
        <w:contextualSpacing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 1  лот.</w:t>
      </w:r>
    </w:p>
    <w:p w:rsidR="0078668B" w:rsidRDefault="0078668B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8668B" w:rsidRDefault="0028194D">
      <w:pPr>
        <w:ind w:firstLine="709"/>
        <w:contextualSpacing/>
        <w:jc w:val="center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78668B" w:rsidRDefault="0028194D">
      <w:pPr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89:11:030301:7613.</w:t>
      </w:r>
    </w:p>
    <w:p w:rsidR="0078668B" w:rsidRDefault="0028194D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Площадь:</w:t>
      </w:r>
      <w:r w:rsidR="00C03993">
        <w:rPr>
          <w:rFonts w:ascii="Liberation Sans" w:hAnsi="Liberation Sans"/>
          <w:sz w:val="26"/>
          <w:szCs w:val="26"/>
        </w:rPr>
        <w:t xml:space="preserve"> 3 089</w:t>
      </w:r>
      <w:r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668B" w:rsidRDefault="0028194D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</w:t>
      </w:r>
      <w:proofErr w:type="gramStart"/>
      <w:r>
        <w:rPr>
          <w:rFonts w:ascii="Liberation Sans" w:hAnsi="Liberation Sans"/>
          <w:sz w:val="26"/>
          <w:szCs w:val="26"/>
        </w:rPr>
        <w:t>Восточная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промзона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78668B" w:rsidRDefault="0028194D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78668B" w:rsidRDefault="0028194D">
      <w:pPr>
        <w:pStyle w:val="15"/>
        <w:ind w:firstLine="708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склад (код 6.9).</w:t>
      </w:r>
    </w:p>
    <w:p w:rsidR="0078668B" w:rsidRDefault="0028194D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78668B" w:rsidRDefault="0028194D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78668B" w:rsidRDefault="0028194D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20.05.2024г.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КУВИ-001/2024-136530469</w:t>
      </w:r>
      <w:r>
        <w:rPr>
          <w:rFonts w:ascii="Liberation Sans" w:hAnsi="Liberation Sans"/>
          <w:color w:val="000000"/>
          <w:sz w:val="26"/>
          <w:szCs w:val="26"/>
        </w:rPr>
        <w:t>:</w:t>
      </w:r>
    </w:p>
    <w:p w:rsidR="0078668B" w:rsidRDefault="0028194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с реестровым номером 89:11-6.541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выделения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при </w:t>
      </w:r>
      <w:r>
        <w:rPr>
          <w:rFonts w:ascii="Liberation Sans" w:hAnsi="Liberation Sans"/>
          <w:sz w:val="26"/>
          <w:szCs w:val="26"/>
        </w:rPr>
        <w:lastRenderedPageBreak/>
        <w:t xml:space="preserve">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78668B" w:rsidRDefault="0028194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с реестровым номером 89:11-6.536 от 20.05.2021,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(или)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 и осуществления экономической и иной деятельности в соответствии с Решением об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аэродрома Надым, принятым Приказом РОСАВИАЦИИ № 52-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П</w:t>
      </w:r>
      <w:proofErr w:type="gramEnd"/>
      <w:r>
        <w:rPr>
          <w:rFonts w:ascii="Liberation Sans" w:hAnsi="Liberation Sans"/>
          <w:sz w:val="26"/>
          <w:szCs w:val="26"/>
        </w:rPr>
        <w:t xml:space="preserve"> от 01.02.2021 г. Срок установления ограничений бессрочный,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 аэродрома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78668B" w:rsidRDefault="0028194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89:11-6.540 от 20.05.2021,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2г Правил выделения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объекты, создающие помехи в работе наземных объектов средств и систем обслуживания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движения, навигации, посадки и связи, предназначенных для организации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, 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78668B" w:rsidRDefault="0028194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89:11-6.539 от 20.05.2021,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2в Правил выделения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высота которых превышает ограничения,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исполнительной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власти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(далее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установлении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соответствующей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08.11.2023, номер решения: 1000-П,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78668B" w:rsidRDefault="0028194D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 недвижимости и осуществления деятельности: запрещается размещать опасные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производственные объекты, определенные Федеральным законом "О промышленной безопасности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опасных производственных объектов", функционирование которых может повлиять на безопасность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08.11.2023, номер решения: 1000-П,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78668B" w:rsidRDefault="0078668B">
      <w:pPr>
        <w:widowControl w:val="0"/>
        <w:spacing w:before="30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78668B" w:rsidRDefault="0028194D">
      <w:pPr>
        <w:pStyle w:val="72"/>
        <w:ind w:firstLine="708"/>
        <w:jc w:val="both"/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78668B" w:rsidRDefault="0028194D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20.05.2024г.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КУВИ-001/2024-136530469</w:t>
      </w:r>
      <w:r>
        <w:rPr>
          <w:rFonts w:ascii="Liberation Sans" w:hAnsi="Liberation Sans"/>
          <w:color w:val="000000"/>
          <w:sz w:val="26"/>
          <w:szCs w:val="26"/>
        </w:rPr>
        <w:t>:</w:t>
      </w:r>
    </w:p>
    <w:p w:rsidR="0078668B" w:rsidRDefault="0028194D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78668B" w:rsidRDefault="0028194D">
      <w:pPr>
        <w:pStyle w:val="72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78668B" w:rsidRPr="00E41303" w:rsidRDefault="0028194D">
      <w:pPr>
        <w:pStyle w:val="TableParagraph"/>
        <w:tabs>
          <w:tab w:val="left" w:pos="9354"/>
        </w:tabs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 xml:space="preserve">89:11-6.911,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</w:t>
      </w:r>
      <w:r>
        <w:rPr>
          <w:rFonts w:ascii="Liberation Sans" w:hAnsi="Liberation Sans"/>
          <w:spacing w:val="-2"/>
          <w:sz w:val="26"/>
          <w:szCs w:val="26"/>
        </w:rPr>
        <w:t>19.04.2024,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21.12.2022 № 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 Содержание 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24.02.2009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N160.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устанавливается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вдоль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 в виде части поверхности участка земли                и воздушного пространства, ограниченной параллельными вертикальными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плоскостями, отстоящими по обе стороны линии электропередачи               от крайних проводов при </w:t>
      </w:r>
      <w:proofErr w:type="spellStart"/>
      <w:r>
        <w:rPr>
          <w:rFonts w:ascii="Liberation Sans" w:hAnsi="Liberation Sans"/>
          <w:sz w:val="26"/>
          <w:szCs w:val="26"/>
        </w:rPr>
        <w:t>неотклоненном</w:t>
      </w:r>
      <w:proofErr w:type="spellEnd"/>
      <w:r>
        <w:rPr>
          <w:rFonts w:ascii="Liberation Sans" w:hAnsi="Liberation Sans"/>
          <w:sz w:val="26"/>
          <w:szCs w:val="26"/>
        </w:rPr>
        <w:t xml:space="preserve"> их положении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расстоянии 2 м. В охранных зонах запрещается осуществлять любые действия, которые могут нарушить безопасную работу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    в том числе привести к их повреждению или</w:t>
      </w:r>
      <w:proofErr w:type="gramEnd"/>
      <w:r>
        <w:rPr>
          <w:rFonts w:ascii="Liberation Sans" w:hAnsi="Liberation Sans"/>
          <w:sz w:val="26"/>
          <w:szCs w:val="26"/>
        </w:rPr>
        <w:t xml:space="preserve"> уничтожению, и (или) повлечь причинение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 жизни, здоровью граждан и имуществу физических или юридических лиц, а также повлечь нанесение экологического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ущерба          и возникновение пожаров, в том числе: 1) набрасывать на провода и опоры </w:t>
      </w:r>
      <w:r>
        <w:rPr>
          <w:rFonts w:ascii="Liberation Sans" w:hAnsi="Liberation Sans"/>
          <w:sz w:val="26"/>
          <w:szCs w:val="26"/>
        </w:rPr>
        <w:lastRenderedPageBreak/>
        <w:t>воздушных линий электропередачи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 предметы, а также подниматься на опоры воздушных линий электропередачи; 2) размещать любые объекты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                  в соответствии с требованиями нормативно-технических документов проходов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подъездов для доступа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могут препятствовать доступу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проходов и подъездов;               </w:t>
      </w:r>
      <w:proofErr w:type="gramStart"/>
      <w:r>
        <w:rPr>
          <w:rFonts w:ascii="Liberation Sans" w:hAnsi="Liberation Sans"/>
          <w:sz w:val="26"/>
          <w:szCs w:val="26"/>
        </w:rPr>
        <w:t>3) находиться в пределах огороженной территории и помещениях распределительных устройств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8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электрических сетях (указанное требование                        не распространяется на работников, занятых выполнением разрешенных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4) размещать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детские 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площадки,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стадионы,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рынки,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торговые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точки,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станы,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гаражи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всех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видов машин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гаражей-стоянок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автомобилей,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принадлежащих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 мероприятия, связанные с большим скоплением людей, не занятых выполнением разрешенных в установленном порядке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работ;</w:t>
      </w:r>
      <w:r w:rsidR="00E41303" w:rsidRPr="00E41303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 w:rsidR="00E41303">
        <w:rPr>
          <w:rFonts w:ascii="Liberation Sans" w:hAnsi="Liberation Sans"/>
          <w:sz w:val="26"/>
          <w:szCs w:val="26"/>
        </w:rPr>
        <w:t>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 запрещаются: 7) строительство, капитальный ремонт, реконструкция или снос зданий и сооружений; 8) горные,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взрывные, мелиоративные работы, в том числе связанные с временным затоплением земель;              9) посадка и вырубка деревьев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10)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проезд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4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имеющих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общую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груза</w:t>
      </w:r>
      <w:r>
        <w:rPr>
          <w:rFonts w:ascii="Liberation Sans" w:hAnsi="Liberation Sans"/>
          <w:spacing w:val="-3"/>
          <w:sz w:val="26"/>
          <w:szCs w:val="26"/>
        </w:rPr>
        <w:t xml:space="preserve">                 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поверхности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 4,5 метра; 11) полив сельскохозяйственных культур в случае, если высота струи воды может составить свыше                3 метров; 12)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метров.</w:t>
      </w:r>
      <w:proofErr w:type="gramEnd"/>
      <w:r w:rsidR="00E41303" w:rsidRPr="00E41303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условиями использования территории;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ВЛ-0,4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(ЗАО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"Мехколонна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105")</w:t>
      </w:r>
      <w:r w:rsidR="00E41303">
        <w:rPr>
          <w:rFonts w:ascii="Liberation Sans" w:hAnsi="Liberation Sans"/>
          <w:sz w:val="26"/>
          <w:szCs w:val="26"/>
        </w:rPr>
        <w:t>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 Охранная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E41303">
        <w:rPr>
          <w:rFonts w:ascii="Liberation Sans" w:hAnsi="Liberation Sans"/>
          <w:sz w:val="26"/>
          <w:szCs w:val="26"/>
        </w:rPr>
        <w:t>б</w:t>
      </w:r>
      <w:proofErr w:type="gramEnd"/>
      <w:r w:rsidR="00E41303">
        <w:rPr>
          <w:rFonts w:ascii="Liberation Sans" w:hAnsi="Liberation Sans"/>
          <w:sz w:val="26"/>
          <w:szCs w:val="26"/>
        </w:rPr>
        <w:t>/н.</w:t>
      </w:r>
    </w:p>
    <w:p w:rsidR="0078668B" w:rsidRDefault="0028194D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>89:11-6.541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89:11-6.540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89:11-6.536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89:11-6.539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89:11-6.542,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</w:t>
      </w:r>
      <w:r>
        <w:rPr>
          <w:rFonts w:ascii="Liberation Sans" w:hAnsi="Liberation Sans"/>
          <w:spacing w:val="-2"/>
          <w:sz w:val="26"/>
          <w:szCs w:val="26"/>
        </w:rPr>
        <w:t>19.04.2024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 реквизиты документа-основания: </w:t>
      </w:r>
      <w:r>
        <w:rPr>
          <w:rFonts w:ascii="Liberation Sans" w:hAnsi="Liberation Sans"/>
          <w:sz w:val="26"/>
          <w:szCs w:val="26"/>
        </w:rPr>
        <w:t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 xml:space="preserve">родрома гражданской авиации Новый Уренгой от 08.11.2023 № 1000-П </w:t>
      </w:r>
      <w:r>
        <w:rPr>
          <w:rFonts w:ascii="Liberation Sans" w:hAnsi="Liberation Sans"/>
          <w:sz w:val="26"/>
          <w:szCs w:val="26"/>
        </w:rPr>
        <w:lastRenderedPageBreak/>
        <w:t>выдан: Федеральное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 воздушного транспорта.</w:t>
      </w:r>
    </w:p>
    <w:p w:rsidR="0078668B" w:rsidRDefault="0028194D">
      <w:pPr>
        <w:pStyle w:val="72"/>
        <w:ind w:firstLine="708"/>
        <w:jc w:val="both"/>
      </w:pPr>
      <w:r>
        <w:rPr>
          <w:rFonts w:ascii="Liberation Sans" w:hAnsi="Liberation Sans"/>
          <w:sz w:val="26"/>
          <w:szCs w:val="26"/>
        </w:rPr>
        <w:t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78668B" w:rsidRDefault="0028194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протоколу осмотра от 02.07.2024 № 530, составленному Департаментом общественной безопасности и гражданской защиты Администрации города Новый Уренгой установлено, что территория земельного участка с кадастровым номером 89:11:030301:7613                    не ограждена, проезд на территорию земельного участка организован           с северно-западной стороны, доступ на его территорию свободный.</w:t>
      </w:r>
    </w:p>
    <w:p w:rsidR="00C471B7" w:rsidRDefault="0028194D" w:rsidP="00C471B7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находятся следующие объекты: линии электропередач, автомобильный транспорт, морские контейнеры, оборудованная площадка ТКО, одноэтажная постройка, облицованная прозрачным материалом, одноэтажная </w:t>
      </w:r>
      <w:r w:rsidR="00C471B7">
        <w:rPr>
          <w:rFonts w:ascii="Liberation Sans" w:hAnsi="Liberation Sans"/>
          <w:sz w:val="26"/>
          <w:szCs w:val="26"/>
        </w:rPr>
        <w:t>постройка, выполненная                  из металла. На большей части земельного участка находится асфальтированное покрытие.</w:t>
      </w:r>
    </w:p>
    <w:p w:rsidR="00BC123D" w:rsidRDefault="00C471B7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Объекты недвижимого имущества на земельном участке визуально   не определяются. В границах земельного участка</w:t>
      </w:r>
      <w:r w:rsidR="00C03993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C03993">
        <w:rPr>
          <w:rFonts w:ascii="Liberation Sans" w:hAnsi="Liberation Sans"/>
          <w:sz w:val="26"/>
          <w:szCs w:val="26"/>
        </w:rPr>
        <w:t>располагается</w:t>
      </w:r>
      <w:proofErr w:type="gramEnd"/>
      <w:r>
        <w:rPr>
          <w:rFonts w:ascii="Liberation Sans" w:hAnsi="Liberation Sans"/>
          <w:sz w:val="26"/>
          <w:szCs w:val="26"/>
        </w:rPr>
        <w:t xml:space="preserve"> пристрой со смежного земельного участка с кадастровым номером 89:11:030301:242, который представляет собой одноэтажное строение, выполненное из </w:t>
      </w:r>
      <w:proofErr w:type="spellStart"/>
      <w:r>
        <w:rPr>
          <w:rFonts w:ascii="Liberation Sans" w:hAnsi="Liberation Sans"/>
          <w:sz w:val="26"/>
          <w:szCs w:val="26"/>
        </w:rPr>
        <w:t>проф</w:t>
      </w:r>
      <w:r w:rsidR="00BC123D">
        <w:rPr>
          <w:rFonts w:ascii="Liberation Sans" w:hAnsi="Liberation Sans"/>
          <w:sz w:val="26"/>
          <w:szCs w:val="26"/>
        </w:rPr>
        <w:t>настилов</w:t>
      </w:r>
      <w:proofErr w:type="spellEnd"/>
      <w:r w:rsidR="00BC123D">
        <w:rPr>
          <w:rFonts w:ascii="Liberation Sans" w:hAnsi="Liberation Sans"/>
          <w:sz w:val="26"/>
          <w:szCs w:val="26"/>
        </w:rPr>
        <w:t>.</w:t>
      </w:r>
    </w:p>
    <w:p w:rsidR="00C471B7" w:rsidRDefault="00BC123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Санитарное состояние земельного участка удовлетворительное.</w:t>
      </w:r>
    </w:p>
    <w:p w:rsidR="0078668B" w:rsidRPr="00BC123D" w:rsidRDefault="00BC123D" w:rsidP="00BC123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Территория земельного участка с</w:t>
      </w:r>
      <w:r w:rsidRPr="00BC123D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кадастровым номером 89:11:030301:7613 подлежит освобождению от </w:t>
      </w:r>
      <w:r w:rsidR="00C03993">
        <w:rPr>
          <w:rFonts w:ascii="Liberation Sans" w:hAnsi="Liberation Sans"/>
          <w:sz w:val="26"/>
          <w:szCs w:val="26"/>
        </w:rPr>
        <w:t xml:space="preserve">автомобильного транспорта и </w:t>
      </w:r>
      <w:r>
        <w:rPr>
          <w:rFonts w:ascii="Liberation Sans" w:hAnsi="Liberation Sans"/>
          <w:sz w:val="26"/>
          <w:szCs w:val="26"/>
        </w:rPr>
        <w:t xml:space="preserve">временных сооружений.                   </w:t>
      </w:r>
    </w:p>
    <w:p w:rsidR="0078668B" w:rsidRDefault="0028194D">
      <w:pPr>
        <w:tabs>
          <w:tab w:val="left" w:pos="993"/>
        </w:tabs>
        <w:ind w:firstLine="709"/>
        <w:contextualSpacing/>
        <w:jc w:val="both"/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78668B" w:rsidRDefault="00BC123D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05.06.2024 № 1309</w:t>
      </w:r>
      <w:r w:rsidR="0028194D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="0028194D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28194D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28194D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28194D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28194D">
        <w:rPr>
          <w:rFonts w:ascii="Liberation Sans" w:hAnsi="Liberation Sans"/>
          <w:sz w:val="26"/>
          <w:szCs w:val="26"/>
        </w:rPr>
        <w:t>89:11:030301:7613</w:t>
      </w:r>
      <w:r>
        <w:rPr>
          <w:rFonts w:ascii="Liberation Sans" w:hAnsi="Liberation Sans"/>
          <w:sz w:val="26"/>
          <w:szCs w:val="26"/>
        </w:rPr>
        <w:t xml:space="preserve"> </w:t>
      </w:r>
      <w:r w:rsidR="0028194D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28194D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28194D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E41303" w:rsidRDefault="00E41303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границах земельного участка проходят воздушные линии электроснабжения ВЛ-0,4 кВ.</w:t>
      </w:r>
    </w:p>
    <w:p w:rsidR="0078668B" w:rsidRDefault="0028194D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выдачи технических условий на</w:t>
      </w:r>
      <w:r w:rsidR="00E41303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вынос электрических сетей из пятна застройки и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подключение </w:t>
      </w:r>
      <w:r w:rsidR="00E41303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объекта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к сетям электроснабжения заявителю необходимо обратиться в адрес</w:t>
      </w:r>
      <w:r w:rsidR="00E41303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</w:t>
      </w:r>
      <w:r w:rsidR="00E41303">
        <w:rPr>
          <w:rFonts w:ascii="Liberation Sans" w:hAnsi="Liberation Sans"/>
          <w:color w:val="000000"/>
          <w:sz w:val="26"/>
          <w:szCs w:val="26"/>
        </w:rPr>
        <w:t>.</w:t>
      </w:r>
    </w:p>
    <w:p w:rsidR="0078668B" w:rsidRDefault="0028194D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0" w:tooltip="http://www.nuges.ru" w:history="1"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 w:rsidR="00E41303">
        <w:rPr>
          <w:rFonts w:ascii="Liberation Sans" w:hAnsi="Liberation Sans"/>
          <w:color w:val="000000"/>
          <w:sz w:val="26"/>
          <w:szCs w:val="26"/>
        </w:rPr>
        <w:t>, в разделе «Технологическое присоединение».</w:t>
      </w:r>
    </w:p>
    <w:p w:rsidR="0078668B" w:rsidRDefault="0028194D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от 0</w:t>
      </w:r>
      <w:r w:rsidR="00ED4EF6">
        <w:rPr>
          <w:rFonts w:ascii="Liberation Sans" w:hAnsi="Liberation Sans"/>
          <w:color w:val="000000"/>
          <w:sz w:val="26"/>
          <w:szCs w:val="26"/>
        </w:rPr>
        <w:t>6.06.2024 № 1284/1557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89:11:030301:7613</w:t>
      </w:r>
      <w:r w:rsidR="00ED4EF6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 сетям инженерно-технического обеспечения.</w:t>
      </w:r>
    </w:p>
    <w:p w:rsidR="0078668B" w:rsidRDefault="0028194D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 w:rsidR="00ED4EF6">
        <w:rPr>
          <w:rFonts w:ascii="Liberation Sans" w:hAnsi="Liberation Sans"/>
          <w:sz w:val="26"/>
          <w:szCs w:val="26"/>
        </w:rPr>
        <w:t xml:space="preserve"> 50</w:t>
      </w:r>
      <w:r>
        <w:rPr>
          <w:rFonts w:ascii="Liberation Sans" w:hAnsi="Liberation Sans"/>
          <w:sz w:val="26"/>
          <w:szCs w:val="26"/>
        </w:rPr>
        <w:t xml:space="preserve"> </w:t>
      </w:r>
      <w:r w:rsidR="00ED4EF6">
        <w:rPr>
          <w:rFonts w:ascii="Liberation Sans" w:hAnsi="Liberation Sans"/>
          <w:sz w:val="26"/>
          <w:szCs w:val="26"/>
        </w:rPr>
        <w:t xml:space="preserve">в </w:t>
      </w:r>
      <w:proofErr w:type="spellStart"/>
      <w:r w:rsidR="00ED4EF6"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 w:rsidR="00ED4EF6">
        <w:rPr>
          <w:rFonts w:ascii="Liberation Sans" w:hAnsi="Liberation Sans"/>
          <w:sz w:val="26"/>
          <w:szCs w:val="26"/>
        </w:rPr>
        <w:t xml:space="preserve"> камере ТК-6</w:t>
      </w:r>
      <w:r>
        <w:rPr>
          <w:rFonts w:ascii="Liberation Sans" w:hAnsi="Liberation Sans"/>
          <w:sz w:val="26"/>
          <w:szCs w:val="26"/>
        </w:rPr>
        <w:t xml:space="preserve"> (нумерация АО «УГВК»), свободная мощно</w:t>
      </w:r>
      <w:r w:rsidR="00ED4EF6">
        <w:rPr>
          <w:rFonts w:ascii="Liberation Sans" w:hAnsi="Liberation Sans"/>
          <w:sz w:val="26"/>
          <w:szCs w:val="26"/>
        </w:rPr>
        <w:t>сть в точке присоединения: 8,73</w:t>
      </w:r>
      <w:r>
        <w:rPr>
          <w:rFonts w:ascii="Liberation Sans" w:hAnsi="Liberation Sans"/>
          <w:sz w:val="26"/>
          <w:szCs w:val="26"/>
        </w:rPr>
        <w:t xml:space="preserve"> м</w:t>
      </w:r>
      <w:r w:rsidRPr="00ED4EF6">
        <w:rPr>
          <w:rFonts w:ascii="Liberation Sans" w:hAnsi="Liberation Sans"/>
          <w:sz w:val="26"/>
          <w:szCs w:val="26"/>
          <w:vertAlign w:val="superscript"/>
        </w:rPr>
        <w:t>3</w:t>
      </w:r>
      <w:r>
        <w:rPr>
          <w:rFonts w:ascii="Liberation Sans" w:hAnsi="Liberation Sans"/>
          <w:sz w:val="26"/>
          <w:szCs w:val="26"/>
        </w:rPr>
        <w:t>/ч.</w:t>
      </w:r>
    </w:p>
    <w:p w:rsidR="0078668B" w:rsidRDefault="0028194D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вышеуказанного земельного участка самотечные сети водоотведения отсутствуют.</w:t>
      </w:r>
    </w:p>
    <w:p w:rsidR="0078668B" w:rsidRDefault="0028194D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78668B" w:rsidRDefault="0028194D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запроса и перечень необходимых документов можно скачать    с сайта АО «УГВК» по ссылке:</w:t>
      </w:r>
    </w:p>
    <w:p w:rsidR="0078668B" w:rsidRDefault="0028194D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8668B" w:rsidRDefault="0028194D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78668B" w:rsidRDefault="0028194D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78668B" w:rsidRDefault="0028194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78668B" w:rsidRDefault="0028194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78668B" w:rsidRDefault="0028194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78668B" w:rsidRDefault="0028194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78668B" w:rsidRDefault="0028194D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Дополнительно сообщено, что в границах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</w:t>
      </w:r>
      <w:r w:rsidR="00ED4EF6">
        <w:rPr>
          <w:rFonts w:ascii="Liberation Sans" w:hAnsi="Liberation Sans"/>
          <w:color w:val="000000"/>
          <w:sz w:val="26"/>
          <w:szCs w:val="26"/>
        </w:rPr>
        <w:t xml:space="preserve">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с кадастровым номером </w:t>
      </w:r>
      <w:r w:rsidR="00ED4EF6">
        <w:rPr>
          <w:rFonts w:ascii="Liberation Sans" w:hAnsi="Liberation Sans"/>
          <w:sz w:val="26"/>
          <w:szCs w:val="26"/>
        </w:rPr>
        <w:t xml:space="preserve">89:11:030301:7613 </w:t>
      </w:r>
      <w:r>
        <w:rPr>
          <w:rFonts w:ascii="Liberation Sans" w:hAnsi="Liberation Sans"/>
          <w:sz w:val="26"/>
          <w:szCs w:val="26"/>
        </w:rPr>
        <w:t>находятся действующие сети водоснабжения. Действующие сети водоотведения отсутствуют.</w:t>
      </w:r>
    </w:p>
    <w:p w:rsidR="0078668B" w:rsidRDefault="00ED4EF6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25.06.2024 № 2962</w:t>
      </w:r>
      <w:r w:rsidR="0028194D">
        <w:rPr>
          <w:rFonts w:ascii="Liberation Sans" w:hAnsi="Liberation Sans"/>
          <w:sz w:val="26"/>
          <w:szCs w:val="26"/>
        </w:rPr>
        <w:t xml:space="preserve"> АО «Уренгойтеплогенерация-1» сообщает технические условия подключения к сетям теплоснабжения и горячего водоснабжения объекта на земельном участке с </w:t>
      </w:r>
      <w:r w:rsidR="0028194D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28194D">
        <w:rPr>
          <w:rFonts w:ascii="Liberation Sans" w:hAnsi="Liberation Sans"/>
          <w:sz w:val="26"/>
          <w:szCs w:val="26"/>
        </w:rPr>
        <w:t>89:11</w:t>
      </w:r>
      <w:r>
        <w:rPr>
          <w:rFonts w:ascii="Liberation Sans" w:hAnsi="Liberation Sans"/>
          <w:sz w:val="26"/>
          <w:szCs w:val="26"/>
        </w:rPr>
        <w:t>:030301:7613</w:t>
      </w:r>
      <w:r w:rsidR="0028194D">
        <w:rPr>
          <w:rFonts w:ascii="Liberation Sans" w:hAnsi="Liberation Sans"/>
          <w:sz w:val="26"/>
          <w:szCs w:val="26"/>
        </w:rPr>
        <w:t>:</w:t>
      </w:r>
    </w:p>
    <w:p w:rsidR="0078668B" w:rsidRDefault="0028194D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источник подключения: котельная № 9;</w:t>
      </w:r>
    </w:p>
    <w:p w:rsidR="0078668B" w:rsidRDefault="0028194D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подключени</w:t>
      </w:r>
      <w:r w:rsidR="00ED4EF6">
        <w:rPr>
          <w:rFonts w:ascii="Liberation Sans" w:hAnsi="Liberation Sans"/>
          <w:sz w:val="26"/>
          <w:szCs w:val="26"/>
        </w:rPr>
        <w:t>я: ТК-5</w:t>
      </w:r>
      <w:r>
        <w:rPr>
          <w:rFonts w:ascii="Liberation Sans" w:hAnsi="Liberation Sans"/>
          <w:sz w:val="26"/>
          <w:szCs w:val="26"/>
        </w:rPr>
        <w:t>;</w:t>
      </w:r>
    </w:p>
    <w:p w:rsidR="0078668B" w:rsidRDefault="0028194D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параметры: Р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/Р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 w:rsidR="00ED4EF6">
        <w:rPr>
          <w:rFonts w:ascii="Liberation Sans" w:hAnsi="Liberation Sans"/>
          <w:sz w:val="26"/>
          <w:szCs w:val="26"/>
        </w:rPr>
        <w:t>=3,8/2</w:t>
      </w:r>
      <w:r>
        <w:rPr>
          <w:rFonts w:ascii="Liberation Sans" w:hAnsi="Liberation Sans"/>
          <w:sz w:val="26"/>
          <w:szCs w:val="26"/>
        </w:rPr>
        <w:t>,8 кгс/см</w:t>
      </w:r>
      <w:r>
        <w:rPr>
          <w:rFonts w:ascii="Liberation Sans" w:hAnsi="Liberation Sans"/>
          <w:b/>
          <w:sz w:val="26"/>
          <w:szCs w:val="26"/>
          <w:vertAlign w:val="superscript"/>
        </w:rPr>
        <w:t>2</w:t>
      </w:r>
      <w:r>
        <w:rPr>
          <w:rFonts w:ascii="Liberation Sans" w:hAnsi="Liberation Sans"/>
          <w:sz w:val="26"/>
          <w:szCs w:val="26"/>
        </w:rPr>
        <w:t>, Т</w:t>
      </w:r>
      <w:r>
        <w:rPr>
          <w:rFonts w:ascii="Liberation Sans" w:hAnsi="Liberation Sans"/>
          <w:sz w:val="26"/>
          <w:szCs w:val="26"/>
          <w:vertAlign w:val="subscript"/>
        </w:rPr>
        <w:t>1</w:t>
      </w:r>
      <w:r>
        <w:rPr>
          <w:rFonts w:ascii="Liberation Sans" w:hAnsi="Liberation Sans"/>
          <w:sz w:val="26"/>
          <w:szCs w:val="26"/>
        </w:rPr>
        <w:t>/Т</w:t>
      </w:r>
      <w:r>
        <w:rPr>
          <w:rFonts w:ascii="Liberation Sans" w:hAnsi="Liberation Sans"/>
          <w:sz w:val="26"/>
          <w:szCs w:val="26"/>
          <w:vertAlign w:val="subscript"/>
        </w:rPr>
        <w:t>2</w:t>
      </w:r>
      <w:r>
        <w:rPr>
          <w:rFonts w:ascii="Liberation Sans" w:hAnsi="Liberation Sans"/>
          <w:sz w:val="26"/>
          <w:szCs w:val="26"/>
        </w:rPr>
        <w:t>=85/64</w:t>
      </w:r>
      <w:proofErr w:type="gramStart"/>
      <w:r>
        <w:rPr>
          <w:rFonts w:ascii="Liberation Sans" w:hAnsi="Liberation Sans"/>
          <w:sz w:val="26"/>
          <w:szCs w:val="26"/>
        </w:rPr>
        <w:t xml:space="preserve"> °С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78668B" w:rsidRDefault="0028194D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0,1 Гкал/час.</w:t>
      </w:r>
    </w:p>
    <w:p w:rsidR="0078668B" w:rsidRDefault="00ED4EF6" w:rsidP="00334187">
      <w:pPr>
        <w:pStyle w:val="ConsPlus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проходят действующие сети теплоснабжения, принадлежащие </w:t>
      </w:r>
      <w:r w:rsidR="00334187">
        <w:rPr>
          <w:rFonts w:ascii="Liberation Sans" w:hAnsi="Liberation Sans"/>
          <w:sz w:val="26"/>
          <w:szCs w:val="26"/>
        </w:rPr>
        <w:t xml:space="preserve">АО «Уренгойтеплогенерация-1». Способ прокладки – </w:t>
      </w:r>
      <w:proofErr w:type="gramStart"/>
      <w:r w:rsidR="00334187">
        <w:rPr>
          <w:rFonts w:ascii="Liberation Sans" w:hAnsi="Liberation Sans"/>
          <w:sz w:val="26"/>
          <w:szCs w:val="26"/>
        </w:rPr>
        <w:t>наземная</w:t>
      </w:r>
      <w:proofErr w:type="gramEnd"/>
      <w:r w:rsidR="00334187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="00334187">
        <w:rPr>
          <w:rFonts w:ascii="Liberation Sans" w:hAnsi="Liberation Sans"/>
          <w:sz w:val="26"/>
          <w:szCs w:val="26"/>
        </w:rPr>
        <w:t>бесканальная</w:t>
      </w:r>
      <w:proofErr w:type="spellEnd"/>
      <w:r w:rsidR="00334187">
        <w:rPr>
          <w:rFonts w:ascii="Liberation Sans" w:hAnsi="Liberation Sans"/>
          <w:sz w:val="26"/>
          <w:szCs w:val="26"/>
        </w:rPr>
        <w:t xml:space="preserve">, диаметр существующих сетей теплоснабжения 159*6 мм. </w:t>
      </w:r>
      <w:r w:rsidR="00866E87">
        <w:rPr>
          <w:rFonts w:ascii="Liberation Sans" w:hAnsi="Liberation Sans"/>
          <w:sz w:val="26"/>
          <w:szCs w:val="26"/>
        </w:rPr>
        <w:t xml:space="preserve">В соответствии с СП 124.13330.2012 «Тепловые </w:t>
      </w:r>
      <w:r w:rsidR="00866E87">
        <w:rPr>
          <w:rFonts w:ascii="Liberation Sans" w:hAnsi="Liberation Sans"/>
          <w:sz w:val="26"/>
          <w:szCs w:val="26"/>
        </w:rPr>
        <w:lastRenderedPageBreak/>
        <w:t xml:space="preserve">сети. </w:t>
      </w:r>
      <w:proofErr w:type="gramStart"/>
      <w:r w:rsidR="00866E87">
        <w:rPr>
          <w:rFonts w:ascii="Liberation Sans" w:hAnsi="Liberation Sans"/>
          <w:sz w:val="26"/>
          <w:szCs w:val="26"/>
        </w:rPr>
        <w:t xml:space="preserve">Актуализованная редакция </w:t>
      </w:r>
      <w:proofErr w:type="spellStart"/>
      <w:r w:rsidR="00866E87">
        <w:rPr>
          <w:rFonts w:ascii="Liberation Sans" w:hAnsi="Liberation Sans"/>
          <w:sz w:val="26"/>
          <w:szCs w:val="26"/>
        </w:rPr>
        <w:t>СНиП</w:t>
      </w:r>
      <w:proofErr w:type="spellEnd"/>
      <w:r w:rsidR="00866E87">
        <w:rPr>
          <w:rFonts w:ascii="Liberation Sans" w:hAnsi="Liberation Sans"/>
          <w:sz w:val="26"/>
          <w:szCs w:val="26"/>
        </w:rPr>
        <w:t xml:space="preserve"> 41-02-2003», н</w:t>
      </w:r>
      <w:r w:rsidR="0028194D">
        <w:rPr>
          <w:rFonts w:ascii="Liberation Sans" w:hAnsi="Liberation Sans"/>
          <w:sz w:val="26"/>
          <w:szCs w:val="26"/>
        </w:rPr>
        <w:t xml:space="preserve">еобходимо </w:t>
      </w:r>
      <w:r w:rsidR="00334187">
        <w:rPr>
          <w:rFonts w:ascii="Liberation Sans" w:hAnsi="Liberation Sans"/>
          <w:sz w:val="26"/>
          <w:szCs w:val="26"/>
        </w:rPr>
        <w:t>выполнить</w:t>
      </w:r>
      <w:r w:rsidR="0028194D">
        <w:rPr>
          <w:rFonts w:ascii="Liberation Sans" w:hAnsi="Liberation Sans"/>
          <w:sz w:val="26"/>
          <w:szCs w:val="26"/>
        </w:rPr>
        <w:t xml:space="preserve"> вынос </w:t>
      </w:r>
      <w:r w:rsidR="00334187">
        <w:rPr>
          <w:rFonts w:ascii="Liberation Sans" w:hAnsi="Liberation Sans"/>
          <w:sz w:val="26"/>
          <w:szCs w:val="26"/>
        </w:rPr>
        <w:t>действующих сетей теплоснабжения на участке ТК-5 – ТК-7, тепловую камеру ТК-6, попадающие в границы обозначенного ЗУ8.</w:t>
      </w:r>
      <w:proofErr w:type="gramEnd"/>
      <w:r w:rsidR="00334187">
        <w:rPr>
          <w:rFonts w:ascii="Liberation Sans" w:hAnsi="Liberation Sans"/>
          <w:sz w:val="26"/>
          <w:szCs w:val="26"/>
        </w:rPr>
        <w:t xml:space="preserve"> Проект выноса трубопроводов тепловых сетей согласовать с собственником </w:t>
      </w:r>
      <w:r w:rsidR="00866E87">
        <w:rPr>
          <w:rFonts w:ascii="Liberation Sans" w:hAnsi="Liberation Sans"/>
          <w:sz w:val="26"/>
          <w:szCs w:val="26"/>
        </w:rPr>
        <w:t xml:space="preserve">        </w:t>
      </w:r>
      <w:r w:rsidR="00334187">
        <w:rPr>
          <w:rFonts w:ascii="Liberation Sans" w:hAnsi="Liberation Sans"/>
          <w:sz w:val="26"/>
          <w:szCs w:val="26"/>
        </w:rPr>
        <w:t>АО «Уренгойтеплогенерация-1».</w:t>
      </w:r>
    </w:p>
    <w:p w:rsidR="0078668B" w:rsidRDefault="0028194D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</w:t>
      </w:r>
      <w:r w:rsidR="00866E87">
        <w:rPr>
          <w:rFonts w:ascii="Liberation Sans" w:hAnsi="Liberation Sans"/>
          <w:color w:val="000000"/>
          <w:sz w:val="26"/>
          <w:szCs w:val="26"/>
        </w:rPr>
        <w:t xml:space="preserve">             от 06.06.2024 № 236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89:11:030301:7613</w:t>
      </w:r>
      <w:r w:rsidR="00866E87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с</w:t>
      </w:r>
      <w:r w:rsidR="00866E87">
        <w:rPr>
          <w:rFonts w:ascii="Liberation Sans" w:hAnsi="Liberation Sans"/>
          <w:color w:val="000000"/>
          <w:sz w:val="26"/>
          <w:szCs w:val="26"/>
        </w:rPr>
        <w:t>етям газораспределения</w:t>
      </w:r>
      <w:r>
        <w:rPr>
          <w:rFonts w:ascii="Liberation Sans" w:hAnsi="Liberation Sans"/>
          <w:color w:val="000000"/>
          <w:sz w:val="26"/>
          <w:szCs w:val="26"/>
        </w:rPr>
        <w:t xml:space="preserve"> на территории МО г. Новый Уренгой в настоящее время имеется, а в случае необходимости подключения указанного объекта </w:t>
      </w:r>
      <w:r w:rsidR="00C03993">
        <w:rPr>
          <w:rFonts w:ascii="Liberation Sans" w:hAnsi="Liberation Sans"/>
          <w:color w:val="000000"/>
          <w:sz w:val="26"/>
          <w:szCs w:val="26"/>
        </w:rPr>
        <w:t xml:space="preserve">           </w:t>
      </w:r>
      <w:r>
        <w:rPr>
          <w:rFonts w:ascii="Liberation Sans" w:hAnsi="Liberation Sans"/>
          <w:color w:val="000000"/>
          <w:sz w:val="26"/>
          <w:szCs w:val="26"/>
        </w:rPr>
        <w:t>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78668B" w:rsidRDefault="0028194D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</w:t>
      </w:r>
      <w:r w:rsidR="00C03993">
        <w:rPr>
          <w:rFonts w:ascii="Liberation Sans" w:hAnsi="Liberation Sans"/>
          <w:color w:val="000000"/>
          <w:sz w:val="26"/>
          <w:szCs w:val="26"/>
        </w:rPr>
        <w:t xml:space="preserve">         </w:t>
      </w:r>
      <w:r>
        <w:rPr>
          <w:rFonts w:ascii="Liberation Sans" w:hAnsi="Liberation Sans"/>
          <w:color w:val="000000"/>
          <w:sz w:val="26"/>
          <w:szCs w:val="26"/>
        </w:rPr>
        <w:t xml:space="preserve">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</w:t>
      </w:r>
      <w:r w:rsidR="00C03993">
        <w:rPr>
          <w:rFonts w:ascii="Liberation Sans" w:hAnsi="Liberation Sans"/>
          <w:color w:val="000000"/>
          <w:sz w:val="26"/>
          <w:szCs w:val="26"/>
        </w:rPr>
        <w:t xml:space="preserve">              </w:t>
      </w:r>
      <w:r>
        <w:rPr>
          <w:rFonts w:ascii="Liberation Sans" w:hAnsi="Liberation Sans"/>
          <w:color w:val="000000"/>
          <w:sz w:val="26"/>
          <w:szCs w:val="26"/>
        </w:rPr>
        <w:t>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866E87" w:rsidRDefault="00866E87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3-х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</w:t>
      </w:r>
      <w:r w:rsidR="00A7260E">
        <w:rPr>
          <w:rFonts w:ascii="Liberation Sans" w:hAnsi="Liberation Sans"/>
          <w:color w:val="000000"/>
          <w:sz w:val="26"/>
          <w:szCs w:val="26"/>
        </w:rPr>
        <w:t>газопроводе.</w:t>
      </w:r>
    </w:p>
    <w:p w:rsidR="0078668B" w:rsidRDefault="0028194D">
      <w:pPr>
        <w:ind w:firstLine="708"/>
        <w:contextualSpacing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78668B" w:rsidRDefault="0028194D">
      <w:pPr>
        <w:ind w:firstLine="708"/>
        <w:contextualSpacing/>
        <w:jc w:val="both"/>
        <w:rPr>
          <w:rFonts w:ascii="Liberation Sans" w:hAnsi="Liberation Sans" w:cs="Liberation Serif"/>
          <w:b/>
          <w:bCs/>
          <w:color w:val="000000"/>
          <w:highlight w:val="white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78668B" w:rsidRDefault="0028194D">
      <w:pPr>
        <w:pStyle w:val="72"/>
        <w:ind w:firstLine="709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78668B" w:rsidRDefault="0028194D">
      <w:pPr>
        <w:pStyle w:val="15"/>
        <w:ind w:firstLine="709"/>
        <w:contextualSpacing/>
        <w:jc w:val="both"/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зоне обслуживания объектов, необходимых для осуществления производственной и предпринимательской деятельности (О3). Максимальный процент застройки  в границах земельного участка составляет 60%. Предельное количество этажей – 3.</w:t>
      </w:r>
    </w:p>
    <w:p w:rsidR="0078668B" w:rsidRDefault="0078668B">
      <w:pPr>
        <w:pStyle w:val="15"/>
        <w:ind w:firstLine="709"/>
        <w:contextualSpacing/>
        <w:jc w:val="both"/>
      </w:pPr>
    </w:p>
    <w:p w:rsidR="0078668B" w:rsidRDefault="0028194D">
      <w:pPr>
        <w:pStyle w:val="22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строительства, расположенных </w:t>
      </w:r>
      <w:r>
        <w:rPr>
          <w:rFonts w:ascii="Liberation Sans" w:hAnsi="Liberation Sans"/>
          <w:b w:val="0"/>
          <w:color w:val="000000"/>
          <w:sz w:val="26"/>
          <w:szCs w:val="26"/>
        </w:rPr>
        <w:t xml:space="preserve">в зоне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обслуживания объектов, необходимых для осуществления производственной и предпринимательской деятельности (О3)</w:t>
      </w:r>
    </w:p>
    <w:p w:rsidR="0078668B" w:rsidRDefault="0078668B"/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78668B"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8668B"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Склад</w:t>
            </w:r>
            <w:r w:rsidR="000A08C5">
              <w:rPr>
                <w:rFonts w:ascii="Liberation Sans" w:hAnsi="Liberation Sans"/>
                <w:sz w:val="20"/>
              </w:rPr>
              <w:t xml:space="preserve"> (код 6.9)</w:t>
            </w:r>
          </w:p>
        </w:tc>
        <w:tc>
          <w:tcPr>
            <w:tcW w:w="2552" w:type="dxa"/>
            <w:vMerge w:val="restart"/>
          </w:tcPr>
          <w:p w:rsidR="0078668B" w:rsidRDefault="0028194D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78668B" w:rsidRDefault="0028194D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78668B" w:rsidRDefault="0028194D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78668B" w:rsidRDefault="0078668B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78668B"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Пищевая </w:t>
            </w:r>
            <w:r>
              <w:rPr>
                <w:rFonts w:ascii="Liberation Sans" w:hAnsi="Liberation Sans"/>
                <w:sz w:val="18"/>
                <w:szCs w:val="18"/>
              </w:rPr>
              <w:t>промышленность</w:t>
            </w:r>
            <w:r w:rsidR="000A08C5">
              <w:rPr>
                <w:rFonts w:ascii="Liberation Sans" w:hAnsi="Liberation Sans"/>
                <w:sz w:val="18"/>
                <w:szCs w:val="18"/>
              </w:rPr>
              <w:t xml:space="preserve"> (код 6.4)</w:t>
            </w:r>
          </w:p>
        </w:tc>
        <w:tc>
          <w:tcPr>
            <w:tcW w:w="2552" w:type="dxa"/>
            <w:vMerge/>
          </w:tcPr>
          <w:p w:rsidR="0078668B" w:rsidRDefault="0078668B">
            <w:pPr>
              <w:pStyle w:val="15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78668B">
        <w:trPr>
          <w:trHeight w:val="343"/>
        </w:trPr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  <w:r w:rsidR="000A08C5">
              <w:rPr>
                <w:rFonts w:ascii="Liberation Sans" w:hAnsi="Liberation Sans"/>
                <w:color w:val="000000"/>
                <w:sz w:val="20"/>
              </w:rPr>
              <w:t xml:space="preserve"> (4.6)</w:t>
            </w:r>
          </w:p>
        </w:tc>
        <w:tc>
          <w:tcPr>
            <w:tcW w:w="2552" w:type="dxa"/>
            <w:vMerge w:val="restart"/>
          </w:tcPr>
          <w:p w:rsidR="0078668B" w:rsidRDefault="0028194D">
            <w:pPr>
              <w:pStyle w:val="1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78668B">
        <w:trPr>
          <w:trHeight w:val="340"/>
        </w:trPr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Магазины</w:t>
            </w:r>
            <w:r w:rsidR="00E54EF0">
              <w:rPr>
                <w:rFonts w:ascii="Liberation Sans" w:hAnsi="Liberation Sans"/>
                <w:color w:val="000000"/>
                <w:sz w:val="20"/>
              </w:rPr>
              <w:t xml:space="preserve"> (4.4)</w:t>
            </w:r>
          </w:p>
        </w:tc>
        <w:tc>
          <w:tcPr>
            <w:tcW w:w="2552" w:type="dxa"/>
            <w:vMerge/>
          </w:tcPr>
          <w:p w:rsidR="0078668B" w:rsidRDefault="0078668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78668B" w:rsidRDefault="0028194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78668B">
        <w:trPr>
          <w:trHeight w:val="340"/>
        </w:trPr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Объекты торговли (торговые центры, торгово-</w:t>
            </w:r>
            <w:r>
              <w:rPr>
                <w:rFonts w:ascii="Liberation Sans" w:hAnsi="Liberation Sans"/>
                <w:color w:val="000000"/>
                <w:sz w:val="18"/>
                <w:szCs w:val="18"/>
              </w:rPr>
              <w:t>развлекательные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центры (комплексы))</w:t>
            </w:r>
            <w:r w:rsidR="00E54EF0">
              <w:rPr>
                <w:rFonts w:ascii="Liberation Sans" w:hAnsi="Liberation Sans"/>
                <w:color w:val="000000"/>
                <w:sz w:val="20"/>
              </w:rPr>
              <w:t xml:space="preserve"> (код 4.2)</w:t>
            </w:r>
          </w:p>
        </w:tc>
        <w:tc>
          <w:tcPr>
            <w:tcW w:w="2552" w:type="dxa"/>
            <w:vMerge/>
          </w:tcPr>
          <w:p w:rsidR="0078668B" w:rsidRDefault="0078668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78668B" w:rsidRDefault="0028194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78668B">
        <w:trPr>
          <w:trHeight w:val="340"/>
        </w:trPr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Деловое управление</w:t>
            </w:r>
            <w:r w:rsidR="00E54EF0">
              <w:rPr>
                <w:rFonts w:ascii="Liberation Sans" w:hAnsi="Liberation Sans"/>
                <w:color w:val="000000"/>
                <w:sz w:val="20"/>
              </w:rPr>
              <w:t xml:space="preserve"> (код 4.1)</w:t>
            </w:r>
          </w:p>
        </w:tc>
        <w:tc>
          <w:tcPr>
            <w:tcW w:w="2552" w:type="dxa"/>
            <w:vMerge/>
          </w:tcPr>
          <w:p w:rsidR="0078668B" w:rsidRDefault="0078668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78668B" w:rsidRDefault="0028194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78668B">
        <w:trPr>
          <w:trHeight w:val="340"/>
        </w:trPr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Бытовое обслуживание</w:t>
            </w:r>
            <w:r w:rsidR="00E54EF0">
              <w:rPr>
                <w:rFonts w:ascii="Liberation Sans" w:hAnsi="Liberation Sans"/>
                <w:color w:val="000000"/>
                <w:sz w:val="20"/>
              </w:rPr>
              <w:t xml:space="preserve"> (код 3.3)</w:t>
            </w:r>
          </w:p>
        </w:tc>
        <w:tc>
          <w:tcPr>
            <w:tcW w:w="2552" w:type="dxa"/>
            <w:vMerge/>
          </w:tcPr>
          <w:p w:rsidR="0078668B" w:rsidRDefault="0078668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78668B" w:rsidRDefault="0028194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78668B"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  <w:r w:rsidR="00E54EF0">
              <w:rPr>
                <w:rFonts w:ascii="Liberation Sans" w:hAnsi="Liberation Sans"/>
                <w:color w:val="000000"/>
                <w:sz w:val="20"/>
              </w:rPr>
              <w:t xml:space="preserve"> (код 4.9)</w:t>
            </w:r>
          </w:p>
        </w:tc>
        <w:tc>
          <w:tcPr>
            <w:tcW w:w="2552" w:type="dxa"/>
            <w:vMerge w:val="restart"/>
          </w:tcPr>
          <w:p w:rsidR="0078668B" w:rsidRDefault="0028194D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78668B" w:rsidRDefault="0028194D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78668B" w:rsidRDefault="0028194D">
            <w:pPr>
              <w:pStyle w:val="15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78668B" w:rsidRDefault="0078668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78668B"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  <w:r w:rsidR="00E54EF0">
              <w:rPr>
                <w:rFonts w:ascii="Liberation Sans" w:hAnsi="Liberation Sans"/>
                <w:color w:val="000000"/>
                <w:sz w:val="20"/>
              </w:rPr>
              <w:t xml:space="preserve"> (12.0.1)</w:t>
            </w:r>
          </w:p>
        </w:tc>
        <w:tc>
          <w:tcPr>
            <w:tcW w:w="2552" w:type="dxa"/>
            <w:vMerge/>
          </w:tcPr>
          <w:p w:rsidR="0078668B" w:rsidRDefault="0078668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78668B" w:rsidRDefault="0078668B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</w:p>
        </w:tc>
      </w:tr>
      <w:tr w:rsidR="0078668B"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Хранение автотранспорта</w:t>
            </w:r>
            <w:r w:rsidR="00E54EF0">
              <w:rPr>
                <w:rFonts w:ascii="Liberation Sans" w:hAnsi="Liberation Sans"/>
                <w:color w:val="000000"/>
                <w:sz w:val="20"/>
              </w:rPr>
              <w:t xml:space="preserve"> (код 2.7.1)</w:t>
            </w:r>
          </w:p>
        </w:tc>
        <w:tc>
          <w:tcPr>
            <w:tcW w:w="2552" w:type="dxa"/>
            <w:vMerge/>
          </w:tcPr>
          <w:p w:rsidR="0078668B" w:rsidRDefault="0078668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78668B"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Объекты дорожного сервиса</w:t>
            </w:r>
            <w:r w:rsidR="00E54EF0">
              <w:rPr>
                <w:rFonts w:ascii="Liberation Sans" w:hAnsi="Liberation Sans"/>
                <w:color w:val="000000"/>
                <w:sz w:val="20"/>
              </w:rPr>
              <w:t xml:space="preserve"> (4.9.1)</w:t>
            </w:r>
          </w:p>
        </w:tc>
        <w:tc>
          <w:tcPr>
            <w:tcW w:w="2552" w:type="dxa"/>
            <w:vMerge/>
          </w:tcPr>
          <w:p w:rsidR="0078668B" w:rsidRDefault="0078668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78668B">
        <w:tc>
          <w:tcPr>
            <w:tcW w:w="1809" w:type="dxa"/>
          </w:tcPr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Коммунальное обслуживание</w:t>
            </w:r>
            <w:r w:rsidR="00E54EF0">
              <w:rPr>
                <w:rFonts w:ascii="Liberation Sans" w:hAnsi="Liberation Sans"/>
                <w:color w:val="000000"/>
                <w:sz w:val="20"/>
              </w:rPr>
              <w:t xml:space="preserve"> (код 3.1)</w:t>
            </w:r>
          </w:p>
        </w:tc>
        <w:tc>
          <w:tcPr>
            <w:tcW w:w="2552" w:type="dxa"/>
            <w:vMerge/>
          </w:tcPr>
          <w:p w:rsidR="0078668B" w:rsidRDefault="0078668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78668B" w:rsidRDefault="0028194D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78668B" w:rsidRDefault="0028194D">
            <w:pPr>
              <w:pStyle w:val="15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</w:tbl>
    <w:p w:rsidR="0078668B" w:rsidRDefault="0078668B">
      <w:pPr>
        <w:pStyle w:val="15"/>
        <w:ind w:firstLine="709"/>
        <w:contextualSpacing/>
        <w:jc w:val="both"/>
      </w:pPr>
    </w:p>
    <w:p w:rsidR="0078668B" w:rsidRDefault="0028194D">
      <w:pPr>
        <w:pStyle w:val="15"/>
        <w:ind w:firstLine="708"/>
        <w:contextualSpacing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 w:rsidR="00F83C0F">
        <w:rPr>
          <w:rFonts w:ascii="Liberation Sans" w:hAnsi="Liberation Sans"/>
          <w:sz w:val="26"/>
          <w:szCs w:val="26"/>
        </w:rPr>
        <w:t xml:space="preserve"> –  5 лет 6</w:t>
      </w:r>
      <w:r>
        <w:rPr>
          <w:rFonts w:ascii="Liberation Sans" w:hAnsi="Liberation Sans"/>
          <w:sz w:val="26"/>
          <w:szCs w:val="26"/>
        </w:rPr>
        <w:t xml:space="preserve"> месяцев.</w:t>
      </w:r>
    </w:p>
    <w:p w:rsidR="0078668B" w:rsidRDefault="0028194D">
      <w:pPr>
        <w:ind w:firstLine="706"/>
        <w:contextualSpacing/>
        <w:jc w:val="both"/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                     </w:t>
      </w:r>
      <w:r w:rsidR="00F83C0F">
        <w:rPr>
          <w:rFonts w:ascii="Liberation Sans" w:hAnsi="Liberation Sans"/>
          <w:sz w:val="26"/>
          <w:szCs w:val="26"/>
        </w:rPr>
        <w:t>2 017 055,</w:t>
      </w:r>
      <w:r w:rsidR="00F83C0F" w:rsidRPr="00F83C0F">
        <w:rPr>
          <w:rFonts w:ascii="Liberation Sans" w:hAnsi="Liberation Sans"/>
          <w:sz w:val="26"/>
          <w:szCs w:val="26"/>
        </w:rPr>
        <w:t>22</w:t>
      </w:r>
      <w:r w:rsidRPr="00F83C0F">
        <w:rPr>
          <w:rFonts w:ascii="Liberation Sans" w:hAnsi="Liberation Sans"/>
          <w:sz w:val="26"/>
          <w:szCs w:val="26"/>
        </w:rPr>
        <w:t>руб</w:t>
      </w:r>
      <w:r>
        <w:rPr>
          <w:rFonts w:ascii="Liberation Sans" w:hAnsi="Liberation Sans"/>
          <w:sz w:val="26"/>
          <w:szCs w:val="26"/>
        </w:rPr>
        <w:t>.</w:t>
      </w:r>
    </w:p>
    <w:p w:rsidR="0078668B" w:rsidRDefault="0028194D">
      <w:pPr>
        <w:ind w:firstLine="706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(20 % от кадастровой стоимости земельного </w:t>
      </w:r>
      <w:r w:rsidR="00F83C0F">
        <w:rPr>
          <w:rFonts w:ascii="Liberation Sans" w:hAnsi="Liberation Sans"/>
          <w:sz w:val="26"/>
          <w:szCs w:val="26"/>
        </w:rPr>
        <w:t>участка) составляет – 403 411,04</w:t>
      </w:r>
      <w:r>
        <w:rPr>
          <w:rFonts w:ascii="Liberation Sans" w:hAnsi="Liberation Sans"/>
          <w:sz w:val="26"/>
          <w:szCs w:val="26"/>
        </w:rPr>
        <w:t xml:space="preserve"> руб. </w:t>
      </w:r>
    </w:p>
    <w:p w:rsidR="0078668B" w:rsidRDefault="0028194D">
      <w:pPr>
        <w:pStyle w:val="ConsPlusNormal"/>
        <w:ind w:firstLine="708"/>
        <w:contextualSpacing/>
        <w:jc w:val="both"/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«Об установлении процентов </w:t>
      </w:r>
      <w:r>
        <w:rPr>
          <w:rFonts w:ascii="Liberation Sans" w:hAnsi="Liberation Sans"/>
          <w:sz w:val="26"/>
          <w:szCs w:val="26"/>
        </w:rPr>
        <w:lastRenderedPageBreak/>
        <w:t>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78668B" w:rsidRDefault="0028194D">
      <w:pPr>
        <w:tabs>
          <w:tab w:val="right" w:pos="9637"/>
        </w:tabs>
        <w:ind w:firstLine="709"/>
        <w:contextualSpacing/>
        <w:jc w:val="both"/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</w:t>
      </w:r>
      <w:r w:rsidR="00F83C0F">
        <w:rPr>
          <w:rFonts w:ascii="Liberation Sans" w:hAnsi="Liberation Sans"/>
          <w:sz w:val="26"/>
          <w:szCs w:val="26"/>
        </w:rPr>
        <w:t xml:space="preserve">12 102,33 </w:t>
      </w:r>
      <w:r>
        <w:rPr>
          <w:rFonts w:ascii="Liberation Sans" w:hAnsi="Liberation Sans"/>
          <w:sz w:val="26"/>
          <w:szCs w:val="26"/>
        </w:rPr>
        <w:t xml:space="preserve"> руб. </w:t>
      </w:r>
    </w:p>
    <w:p w:rsidR="0078668B" w:rsidRDefault="0028194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</w:t>
      </w:r>
      <w:r w:rsidR="00F83C0F">
        <w:rPr>
          <w:rFonts w:ascii="Liberation Sans" w:hAnsi="Liberation Sans"/>
          <w:sz w:val="26"/>
          <w:szCs w:val="26"/>
        </w:rPr>
        <w:t>ны предмета аукциона – 80 682,21</w:t>
      </w:r>
      <w:r>
        <w:rPr>
          <w:rFonts w:ascii="Liberation Sans" w:hAnsi="Liberation Sans"/>
          <w:sz w:val="26"/>
          <w:szCs w:val="26"/>
        </w:rPr>
        <w:t xml:space="preserve"> руб.</w:t>
      </w:r>
    </w:p>
    <w:p w:rsidR="0078668B" w:rsidRDefault="0078668B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8668B" w:rsidRDefault="0028194D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8668B" w:rsidRDefault="0028194D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78668B" w:rsidRDefault="0028194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             к аукционной документации);</w:t>
      </w:r>
    </w:p>
    <w:p w:rsidR="0078668B" w:rsidRDefault="0028194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8668B" w:rsidRDefault="0028194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8668B" w:rsidRDefault="0028194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78668B" w:rsidRDefault="0028194D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78668B" w:rsidRDefault="0028194D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 по дату окончания срока приема заявок на электронной площадке: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</w:t>
      </w:r>
      <w:r w:rsidR="007F3F59">
        <w:rPr>
          <w:rFonts w:ascii="Liberation Sans" w:hAnsi="Liberation Sans" w:cs="Liberation Serif"/>
          <w:color w:val="000000"/>
          <w:sz w:val="26"/>
          <w:szCs w:val="26"/>
        </w:rPr>
        <w:t xml:space="preserve">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>не принятия заявки.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8668B" w:rsidRDefault="0028194D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8668B" w:rsidRDefault="0028194D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8668B" w:rsidRDefault="0078668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8668B" w:rsidRDefault="0028194D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78668B" w:rsidRDefault="0028194D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8668B" w:rsidRDefault="0028194D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8668B" w:rsidRDefault="0028194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8668B" w:rsidRDefault="0028194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8668B" w:rsidRDefault="0028194D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8668B" w:rsidRDefault="0028194D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78668B" w:rsidRDefault="0078668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8668B" w:rsidRDefault="0028194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8668B" w:rsidRDefault="0028194D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8668B" w:rsidRDefault="0028194D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78668B" w:rsidRDefault="0028194D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lastRenderedPageBreak/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8668B" w:rsidRDefault="0028194D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8668B" w:rsidRDefault="0028194D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8668B" w:rsidRDefault="0028194D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8668B" w:rsidRDefault="0028194D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</w:t>
      </w:r>
      <w:r>
        <w:rPr>
          <w:rFonts w:ascii="Liberation Sans" w:hAnsi="Liberation Sans"/>
          <w:sz w:val="26"/>
          <w:szCs w:val="26"/>
        </w:rPr>
        <w:lastRenderedPageBreak/>
        <w:t>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8668B" w:rsidRDefault="0028194D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                       о результатах электронного аукциона.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78668B" w:rsidRDefault="0028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lastRenderedPageBreak/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8668B" w:rsidRDefault="0078668B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8668B" w:rsidRDefault="0028194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8668B" w:rsidRDefault="0028194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8668B" w:rsidRDefault="0028194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8668B" w:rsidRDefault="0028194D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8668B" w:rsidRDefault="0028194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8668B" w:rsidRDefault="0028194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78668B" w:rsidRDefault="0078668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78668B" w:rsidRDefault="0028194D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6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8668B" w:rsidRDefault="0028194D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8668B" w:rsidRDefault="0028194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8668B" w:rsidRDefault="0078668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8668B" w:rsidRDefault="0078668B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8668B" w:rsidSect="007866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C5" w:rsidRDefault="000A08C5">
      <w:r>
        <w:separator/>
      </w:r>
    </w:p>
  </w:endnote>
  <w:endnote w:type="continuationSeparator" w:id="0">
    <w:p w:rsidR="000A08C5" w:rsidRDefault="000A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T Extra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C5" w:rsidRDefault="000A08C5">
      <w:r>
        <w:separator/>
      </w:r>
    </w:p>
  </w:footnote>
  <w:footnote w:type="continuationSeparator" w:id="0">
    <w:p w:rsidR="000A08C5" w:rsidRDefault="000A0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3FC"/>
    <w:multiLevelType w:val="hybridMultilevel"/>
    <w:tmpl w:val="A58EB7F0"/>
    <w:lvl w:ilvl="0" w:tplc="E0325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20C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88A0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CAF3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6B7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284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1A0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0E42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904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35A7F"/>
    <w:multiLevelType w:val="hybridMultilevel"/>
    <w:tmpl w:val="1A20ACBC"/>
    <w:lvl w:ilvl="0" w:tplc="576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681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A405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EEDF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086F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056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1C63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665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E0B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277D2"/>
    <w:multiLevelType w:val="hybridMultilevel"/>
    <w:tmpl w:val="1F2ACDC6"/>
    <w:lvl w:ilvl="0" w:tplc="C0DEA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061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52D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30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2226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F87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4400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864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2A4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C480C"/>
    <w:multiLevelType w:val="hybridMultilevel"/>
    <w:tmpl w:val="8F309580"/>
    <w:lvl w:ilvl="0" w:tplc="D5D4B0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1F40FB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94610A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356A9D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7C4D12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7B9A506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C4ECD8C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EAF4130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9406176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E056676"/>
    <w:multiLevelType w:val="hybridMultilevel"/>
    <w:tmpl w:val="089A62EA"/>
    <w:lvl w:ilvl="0" w:tplc="4AF4E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B83D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24C3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E01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0E73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BE89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3456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4E9F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F810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B40A2"/>
    <w:multiLevelType w:val="hybridMultilevel"/>
    <w:tmpl w:val="95B6EE8A"/>
    <w:lvl w:ilvl="0" w:tplc="BFC467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4165B2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DEF87EA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4A8932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99A4B4C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A3EA99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58AE0A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ABC042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1505A56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FED0EE9"/>
    <w:multiLevelType w:val="hybridMultilevel"/>
    <w:tmpl w:val="406CC084"/>
    <w:lvl w:ilvl="0" w:tplc="0AD4E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BC8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CE8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9481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3615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3056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B65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7E2E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C84E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12713"/>
    <w:multiLevelType w:val="hybridMultilevel"/>
    <w:tmpl w:val="9E189306"/>
    <w:lvl w:ilvl="0" w:tplc="D30294A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AE4E5AE">
      <w:start w:val="1"/>
      <w:numFmt w:val="lowerLetter"/>
      <w:lvlText w:val="%2."/>
      <w:lvlJc w:val="left"/>
      <w:pPr>
        <w:ind w:left="1648" w:hanging="360"/>
      </w:pPr>
    </w:lvl>
    <w:lvl w:ilvl="2" w:tplc="C036494C">
      <w:start w:val="1"/>
      <w:numFmt w:val="lowerRoman"/>
      <w:lvlText w:val="%3."/>
      <w:lvlJc w:val="right"/>
      <w:pPr>
        <w:ind w:left="2368" w:hanging="180"/>
      </w:pPr>
    </w:lvl>
    <w:lvl w:ilvl="3" w:tplc="6EB47BA6">
      <w:start w:val="1"/>
      <w:numFmt w:val="decimal"/>
      <w:lvlText w:val="%4."/>
      <w:lvlJc w:val="left"/>
      <w:pPr>
        <w:ind w:left="3088" w:hanging="360"/>
      </w:pPr>
    </w:lvl>
    <w:lvl w:ilvl="4" w:tplc="F22C446E">
      <w:start w:val="1"/>
      <w:numFmt w:val="lowerLetter"/>
      <w:lvlText w:val="%5."/>
      <w:lvlJc w:val="left"/>
      <w:pPr>
        <w:ind w:left="3808" w:hanging="360"/>
      </w:pPr>
    </w:lvl>
    <w:lvl w:ilvl="5" w:tplc="9634CBBA">
      <w:start w:val="1"/>
      <w:numFmt w:val="lowerRoman"/>
      <w:lvlText w:val="%6."/>
      <w:lvlJc w:val="right"/>
      <w:pPr>
        <w:ind w:left="4528" w:hanging="180"/>
      </w:pPr>
    </w:lvl>
    <w:lvl w:ilvl="6" w:tplc="257EAAEA">
      <w:start w:val="1"/>
      <w:numFmt w:val="decimal"/>
      <w:lvlText w:val="%7."/>
      <w:lvlJc w:val="left"/>
      <w:pPr>
        <w:ind w:left="5248" w:hanging="360"/>
      </w:pPr>
    </w:lvl>
    <w:lvl w:ilvl="7" w:tplc="501CC360">
      <w:start w:val="1"/>
      <w:numFmt w:val="lowerLetter"/>
      <w:lvlText w:val="%8."/>
      <w:lvlJc w:val="left"/>
      <w:pPr>
        <w:ind w:left="5968" w:hanging="360"/>
      </w:pPr>
    </w:lvl>
    <w:lvl w:ilvl="8" w:tplc="D5D851E0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675A36"/>
    <w:multiLevelType w:val="hybridMultilevel"/>
    <w:tmpl w:val="3946A2AA"/>
    <w:lvl w:ilvl="0" w:tplc="C2F25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E86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B6D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4DF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C2C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9E4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BE4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5E82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C47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72405"/>
    <w:multiLevelType w:val="hybridMultilevel"/>
    <w:tmpl w:val="10F84B9A"/>
    <w:lvl w:ilvl="0" w:tplc="B2C60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D26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A04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E812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B426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8C9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C62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D870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E61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04AEF"/>
    <w:multiLevelType w:val="hybridMultilevel"/>
    <w:tmpl w:val="F692FD2A"/>
    <w:lvl w:ilvl="0" w:tplc="E5AA26A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3E61E0C">
      <w:start w:val="1"/>
      <w:numFmt w:val="lowerLetter"/>
      <w:lvlText w:val="%2."/>
      <w:lvlJc w:val="left"/>
      <w:pPr>
        <w:ind w:left="1648" w:hanging="360"/>
      </w:pPr>
    </w:lvl>
    <w:lvl w:ilvl="2" w:tplc="0478EE46">
      <w:start w:val="1"/>
      <w:numFmt w:val="lowerRoman"/>
      <w:lvlText w:val="%3."/>
      <w:lvlJc w:val="right"/>
      <w:pPr>
        <w:ind w:left="2368" w:hanging="180"/>
      </w:pPr>
    </w:lvl>
    <w:lvl w:ilvl="3" w:tplc="9F6EDBCA">
      <w:start w:val="1"/>
      <w:numFmt w:val="decimal"/>
      <w:lvlText w:val="%4."/>
      <w:lvlJc w:val="left"/>
      <w:pPr>
        <w:ind w:left="3088" w:hanging="360"/>
      </w:pPr>
    </w:lvl>
    <w:lvl w:ilvl="4" w:tplc="759C7E9C">
      <w:start w:val="1"/>
      <w:numFmt w:val="lowerLetter"/>
      <w:lvlText w:val="%5."/>
      <w:lvlJc w:val="left"/>
      <w:pPr>
        <w:ind w:left="3808" w:hanging="360"/>
      </w:pPr>
    </w:lvl>
    <w:lvl w:ilvl="5" w:tplc="C28CFB46">
      <w:start w:val="1"/>
      <w:numFmt w:val="lowerRoman"/>
      <w:lvlText w:val="%6."/>
      <w:lvlJc w:val="right"/>
      <w:pPr>
        <w:ind w:left="4528" w:hanging="180"/>
      </w:pPr>
    </w:lvl>
    <w:lvl w:ilvl="6" w:tplc="7388A12E">
      <w:start w:val="1"/>
      <w:numFmt w:val="decimal"/>
      <w:lvlText w:val="%7."/>
      <w:lvlJc w:val="left"/>
      <w:pPr>
        <w:ind w:left="5248" w:hanging="360"/>
      </w:pPr>
    </w:lvl>
    <w:lvl w:ilvl="7" w:tplc="E5AA649C">
      <w:start w:val="1"/>
      <w:numFmt w:val="lowerLetter"/>
      <w:lvlText w:val="%8."/>
      <w:lvlJc w:val="left"/>
      <w:pPr>
        <w:ind w:left="5968" w:hanging="360"/>
      </w:pPr>
    </w:lvl>
    <w:lvl w:ilvl="8" w:tplc="4930170E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B77648E"/>
    <w:multiLevelType w:val="hybridMultilevel"/>
    <w:tmpl w:val="F172565C"/>
    <w:lvl w:ilvl="0" w:tplc="6EDC7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A2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AE98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DAC0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4C5C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8A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740B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ACB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04F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4C17F3"/>
    <w:multiLevelType w:val="hybridMultilevel"/>
    <w:tmpl w:val="D0C48BFC"/>
    <w:lvl w:ilvl="0" w:tplc="DC6CB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C25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E29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80D9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44C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4C26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FCA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2AA7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1E3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331BE"/>
    <w:multiLevelType w:val="hybridMultilevel"/>
    <w:tmpl w:val="E404EEB0"/>
    <w:lvl w:ilvl="0" w:tplc="7DCEA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FC1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068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9040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8CDC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98DF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F8C2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D279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F4C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371B3"/>
    <w:multiLevelType w:val="hybridMultilevel"/>
    <w:tmpl w:val="3EBC1AD2"/>
    <w:lvl w:ilvl="0" w:tplc="4564A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AA5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AE9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D49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76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EAF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80AC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7C80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0A7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F93E65"/>
    <w:multiLevelType w:val="hybridMultilevel"/>
    <w:tmpl w:val="BC0C89D2"/>
    <w:lvl w:ilvl="0" w:tplc="AF4EB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468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7E2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41C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81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6CDE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50A1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0CAE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D0D9C"/>
    <w:multiLevelType w:val="hybridMultilevel"/>
    <w:tmpl w:val="A53440F6"/>
    <w:lvl w:ilvl="0" w:tplc="75DAA3C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DB74B1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8F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F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6F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B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EA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A3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07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15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13"/>
  </w:num>
  <w:num w:numId="14">
    <w:abstractNumId w:val="1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68B"/>
    <w:rsid w:val="00020B9F"/>
    <w:rsid w:val="000A08C5"/>
    <w:rsid w:val="0012127A"/>
    <w:rsid w:val="0028194D"/>
    <w:rsid w:val="00334187"/>
    <w:rsid w:val="006F1B57"/>
    <w:rsid w:val="0078668B"/>
    <w:rsid w:val="007F3F59"/>
    <w:rsid w:val="00866E87"/>
    <w:rsid w:val="0088332C"/>
    <w:rsid w:val="008C09FA"/>
    <w:rsid w:val="008C2762"/>
    <w:rsid w:val="00A7260E"/>
    <w:rsid w:val="00BC123D"/>
    <w:rsid w:val="00C03993"/>
    <w:rsid w:val="00C1620A"/>
    <w:rsid w:val="00C471B7"/>
    <w:rsid w:val="00E41303"/>
    <w:rsid w:val="00E54EF0"/>
    <w:rsid w:val="00ED4EF6"/>
    <w:rsid w:val="00F8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5"/>
    <w:uiPriority w:val="9"/>
    <w:qFormat/>
    <w:rsid w:val="007866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20">
    <w:name w:val="Heading 2"/>
    <w:basedOn w:val="a"/>
    <w:next w:val="a"/>
    <w:link w:val="24"/>
    <w:unhideWhenUsed/>
    <w:qFormat/>
    <w:rsid w:val="007866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78668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23"/>
    <w:unhideWhenUsed/>
    <w:qFormat/>
    <w:rsid w:val="007866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866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866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8668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8668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866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8668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866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78668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7866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7866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78668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78668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7866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78668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7866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78668B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668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7866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8668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8668B"/>
    <w:rPr>
      <w:sz w:val="24"/>
      <w:szCs w:val="24"/>
    </w:rPr>
  </w:style>
  <w:style w:type="character" w:customStyle="1" w:styleId="QuoteChar">
    <w:name w:val="Quote Char"/>
    <w:uiPriority w:val="29"/>
    <w:rsid w:val="0078668B"/>
    <w:rPr>
      <w:i/>
    </w:rPr>
  </w:style>
  <w:style w:type="character" w:customStyle="1" w:styleId="IntenseQuoteChar">
    <w:name w:val="Intense Quote Char"/>
    <w:uiPriority w:val="30"/>
    <w:rsid w:val="0078668B"/>
    <w:rPr>
      <w:i/>
    </w:rPr>
  </w:style>
  <w:style w:type="character" w:customStyle="1" w:styleId="FootnoteTextChar">
    <w:name w:val="Footnote Text Char"/>
    <w:uiPriority w:val="99"/>
    <w:rsid w:val="0078668B"/>
    <w:rPr>
      <w:sz w:val="18"/>
    </w:rPr>
  </w:style>
  <w:style w:type="character" w:customStyle="1" w:styleId="EndnoteTextChar">
    <w:name w:val="Endnote Text Char"/>
    <w:uiPriority w:val="99"/>
    <w:rsid w:val="0078668B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78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7866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78668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8668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866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8668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866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8668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8668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78668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8668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78668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866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7866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8668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78668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866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8668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8668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668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668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668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8668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668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668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66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668B"/>
    <w:rPr>
      <w:i/>
    </w:rPr>
  </w:style>
  <w:style w:type="character" w:customStyle="1" w:styleId="HeaderChar">
    <w:name w:val="Header Char"/>
    <w:basedOn w:val="a0"/>
    <w:uiPriority w:val="99"/>
    <w:rsid w:val="0078668B"/>
  </w:style>
  <w:style w:type="paragraph" w:customStyle="1" w:styleId="1">
    <w:name w:val="Нижний колонтитул1"/>
    <w:basedOn w:val="a"/>
    <w:link w:val="CaptionChar"/>
    <w:uiPriority w:val="99"/>
    <w:unhideWhenUsed/>
    <w:rsid w:val="0078668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8668B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8668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78668B"/>
  </w:style>
  <w:style w:type="table" w:customStyle="1" w:styleId="TableGridLight">
    <w:name w:val="Table Grid Light"/>
    <w:basedOn w:val="a1"/>
    <w:uiPriority w:val="59"/>
    <w:rsid w:val="007866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66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8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66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8668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8668B"/>
    <w:rPr>
      <w:sz w:val="18"/>
    </w:rPr>
  </w:style>
  <w:style w:type="character" w:styleId="ac">
    <w:name w:val="footnote reference"/>
    <w:basedOn w:val="a0"/>
    <w:uiPriority w:val="99"/>
    <w:unhideWhenUsed/>
    <w:rsid w:val="0078668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8668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8668B"/>
    <w:rPr>
      <w:sz w:val="20"/>
    </w:rPr>
  </w:style>
  <w:style w:type="character" w:styleId="af">
    <w:name w:val="endnote reference"/>
    <w:basedOn w:val="a0"/>
    <w:uiPriority w:val="99"/>
    <w:semiHidden/>
    <w:unhideWhenUsed/>
    <w:rsid w:val="0078668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8668B"/>
    <w:pPr>
      <w:spacing w:after="57"/>
    </w:pPr>
  </w:style>
  <w:style w:type="paragraph" w:styleId="26">
    <w:name w:val="toc 2"/>
    <w:basedOn w:val="a"/>
    <w:next w:val="a"/>
    <w:uiPriority w:val="39"/>
    <w:unhideWhenUsed/>
    <w:rsid w:val="0078668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8668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8668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8668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8668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8668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8668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8668B"/>
    <w:pPr>
      <w:spacing w:after="57"/>
      <w:ind w:left="2268"/>
    </w:pPr>
  </w:style>
  <w:style w:type="paragraph" w:styleId="af0">
    <w:name w:val="TOC Heading"/>
    <w:uiPriority w:val="39"/>
    <w:unhideWhenUsed/>
    <w:rsid w:val="0078668B"/>
  </w:style>
  <w:style w:type="paragraph" w:styleId="af1">
    <w:name w:val="table of figures"/>
    <w:basedOn w:val="a"/>
    <w:next w:val="a"/>
    <w:uiPriority w:val="99"/>
    <w:unhideWhenUsed/>
    <w:rsid w:val="0078668B"/>
  </w:style>
  <w:style w:type="paragraph" w:customStyle="1" w:styleId="120">
    <w:name w:val="Заголовок 12"/>
    <w:basedOn w:val="a"/>
    <w:next w:val="a"/>
    <w:link w:val="14"/>
    <w:uiPriority w:val="9"/>
    <w:qFormat/>
    <w:rsid w:val="0078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7"/>
    <w:unhideWhenUsed/>
    <w:qFormat/>
    <w:rsid w:val="007866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78668B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8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uiPriority w:val="99"/>
    <w:rsid w:val="00786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8668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8668B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668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8668B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668B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8668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8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8668B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8668B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8668B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8668B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78668B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0"/>
    <w:uiPriority w:val="9"/>
    <w:rsid w:val="0078668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866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8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78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8668B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7866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9"/>
    <w:uiPriority w:val="99"/>
    <w:unhideWhenUsed/>
    <w:rsid w:val="0078668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2"/>
    <w:uiPriority w:val="99"/>
    <w:semiHidden/>
    <w:rsid w:val="0078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78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uiPriority w:val="9"/>
    <w:semiHidden/>
    <w:rsid w:val="0078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78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78668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rsid w:val="0078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2">
    <w:name w:val="Heading 2"/>
    <w:basedOn w:val="a"/>
    <w:next w:val="a"/>
    <w:unhideWhenUsed/>
    <w:qFormat/>
    <w:rsid w:val="007866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78668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8668B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8668B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78668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78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1"/>
    <w:uiPriority w:val="9"/>
    <w:semiHidden/>
    <w:rsid w:val="0078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78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78668B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78668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78668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78668B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78668B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78668B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78668B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78668B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78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78668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0"/>
    <w:uiPriority w:val="9"/>
    <w:semiHidden/>
    <w:rsid w:val="0078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78668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78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8668B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Heading2"/>
    <w:uiPriority w:val="9"/>
    <w:semiHidden/>
    <w:rsid w:val="0078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8668B"/>
    <w:pPr>
      <w:spacing w:before="100" w:beforeAutospacing="1" w:after="100" w:afterAutospacing="1"/>
    </w:pPr>
  </w:style>
  <w:style w:type="paragraph" w:customStyle="1" w:styleId="72">
    <w:name w:val="Верхний колонтитул7"/>
    <w:link w:val="24"/>
    <w:uiPriority w:val="99"/>
    <w:unhideWhenUsed/>
    <w:rsid w:val="007866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basedOn w:val="a0"/>
    <w:rsid w:val="0078668B"/>
  </w:style>
  <w:style w:type="character" w:styleId="aff">
    <w:name w:val="Placeholder Text"/>
    <w:basedOn w:val="a0"/>
    <w:uiPriority w:val="99"/>
    <w:semiHidden/>
    <w:rsid w:val="007866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://www.nug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0149B-789A-422B-B909-8F3DDE74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7010</Words>
  <Characters>39958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161</cp:revision>
  <cp:lastPrinted>2024-08-21T06:19:00Z</cp:lastPrinted>
  <dcterms:created xsi:type="dcterms:W3CDTF">2023-11-28T12:59:00Z</dcterms:created>
  <dcterms:modified xsi:type="dcterms:W3CDTF">2024-08-21T07:04:00Z</dcterms:modified>
</cp:coreProperties>
</file>