
<file path=[Content_Types].xml><?xml version="1.0" encoding="utf-8"?>
<Types xmlns="http://schemas.openxmlformats.org/package/2006/content-types">
  <Default ContentType="application/vnd.openxmlformats-officedocument.spreadsheetml.sheet" Extension="xlsx"/>
  <Default ContentType="image/x-wmf" Extension="wmf"/>
  <Default ContentType="image/png" Extension="png"/>
  <Default ContentType="image/jpeg" Extension="jpeg"/>
  <Default ContentType="application/xml" Extension="xml"/>
  <Default ContentType="application/vnd.openxmlformats-package.relationships+xml" Extension="rels"/>
  <Default ContentType="application/vnd.openxmlformats-officedocument.oleObject" Extension="bin"/>
  <Override ContentType="application/vnd.openxmlformats-officedocument.drawingml.chart+xml" PartName="/word/charts/chart83.xml"/>
  <Override ContentType="application/vnd.ms-office.chartstyle+xml" PartName="/word/charts/style23.xml"/>
  <Override ContentType="application/vnd.ms-office.chartcolorstyle+xml" PartName="/word/charts/colors23.xml"/>
  <Override ContentType="application/vnd.openxmlformats-officedocument.drawingml.chart+xml" PartName="/word/charts/chart80.xml"/>
  <Override ContentType="application/vnd.ms-office.chartcolorstyle+xml" PartName="/word/charts/colors22.xml"/>
  <Override ContentType="application/vnd.ms-office.chartstyle+xml" PartName="/word/charts/style20.xml"/>
  <Override ContentType="application/vnd.ms-office.chartstyle+xml" PartName="/word/charts/style19.xml"/>
  <Override ContentType="application/vnd.ms-office.chartcolorstyle+xml" PartName="/word/charts/colors19.xml"/>
  <Override ContentType="application/vnd.openxmlformats-officedocument.drawingml.chart+xml" PartName="/word/charts/chart76.xml"/>
  <Override ContentType="application/vnd.openxmlformats-officedocument.drawingml.chart+xml" PartName="/word/charts/chart75.xml"/>
  <Override ContentType="application/vnd.ms-office.chartstyle+xml" PartName="/word/charts/style21.xml"/>
  <Override ContentType="application/vnd.openxmlformats-officedocument.drawingml.chart+xml" PartName="/word/charts/chart74.xml"/>
  <Override ContentType="application/vnd.ms-office.chartstyle+xml" PartName="/word/charts/style18.xml"/>
  <Override ContentType="application/vnd.openxmlformats-officedocument.drawingml.chart+xml" PartName="/word/charts/chart72.xml"/>
  <Override ContentType="application/vnd.openxmlformats-officedocument.drawingml.chart+xml" PartName="/word/charts/chart70.xml"/>
  <Override ContentType="application/vnd.openxmlformats-officedocument.drawingml.chart+xml" PartName="/word/charts/chart68.xml"/>
  <Override ContentType="application/vnd.openxmlformats-officedocument.drawingml.chart+xml" PartName="/word/charts/chart67.xml"/>
  <Override ContentType="application/vnd.openxmlformats-officedocument.drawingml.chart+xml" PartName="/word/charts/chart64.xml"/>
  <Override ContentType="application/vnd.ms-office.chartcolorstyle+xml" PartName="/word/charts/colors20.xml"/>
  <Override ContentType="application/vnd.openxmlformats-officedocument.drawingml.chart+xml" PartName="/word/charts/chart62.xml"/>
  <Override ContentType="application/vnd.openxmlformats-officedocument.drawingml.chart+xml" PartName="/word/charts/chart79.xml"/>
  <Override ContentType="application/vnd.ms-office.chartstyle+xml" PartName="/word/charts/style16.xml"/>
  <Override ContentType="application/vnd.ms-office.chartcolorstyle+xml" PartName="/word/charts/colors16.xml"/>
  <Override ContentType="application/vnd.ms-office.chartstyle+xml" PartName="/word/charts/style22.xml"/>
  <Override ContentType="application/vnd.ms-office.chartstyle+xml" PartName="/word/charts/style15.xml"/>
  <Override ContentType="application/vnd.openxmlformats-officedocument.drawingml.chart+xml" PartName="/word/charts/chart59.xml"/>
  <Override ContentType="application/vnd.ms-office.chartcolorstyle+xml" PartName="/word/charts/colors18.xml"/>
  <Override ContentType="application/vnd.openxmlformats-officedocument.drawingml.chart+xml" PartName="/word/charts/chart57.xml"/>
  <Override ContentType="application/vnd.openxmlformats-officedocument.drawingml.chart+xml" PartName="/word/charts/chart52.xml"/>
  <Override ContentType="application/vnd.openxmlformats-officedocument.drawingml.chart+xml" PartName="/word/charts/chart51.xml"/>
  <Override ContentType="application/vnd.openxmlformats-officedocument.drawingml.chart+xml" PartName="/word/charts/chart50.xml"/>
  <Override ContentType="application/vnd.openxmlformats-officedocument.drawingml.chart+xml" PartName="/word/charts/chart48.xml"/>
  <Override ContentType="application/vnd.openxmlformats-officedocument.drawingml.chart+xml" PartName="/word/charts/chart47.xml"/>
  <Override ContentType="application/vnd.openxmlformats-officedocument.drawingml.chart+xml" PartName="/word/charts/chart46.xml"/>
  <Override ContentType="application/vnd.openxmlformats-officedocument.drawingml.chart+xml" PartName="/word/charts/chart53.xml"/>
  <Override ContentType="application/vnd.openxmlformats-officedocument.drawingml.chart+xml" PartName="/word/charts/chart44.xml"/>
  <Override ContentType="application/vnd.openxmlformats-officedocument.drawingml.chart+xml" PartName="/word/charts/chart43.xml"/>
  <Override ContentType="application/vnd.openxmlformats-officedocument.drawingml.chart+xml" PartName="/word/charts/chart60.xml"/>
  <Override ContentType="application/vnd.openxmlformats-officedocument.drawingml.chart+xml" PartName="/word/charts/chart42.xml"/>
  <Override ContentType="application/vnd.openxmlformats-officedocument.drawingml.chart+xml" PartName="/word/charts/chart39.xml"/>
  <Override ContentType="application/vnd.openxmlformats-officedocument.drawingml.chart+xml" PartName="/word/charts/chart81.xml"/>
  <Override ContentType="application/vnd.openxmlformats-officedocument.drawingml.chart+xml" PartName="/word/charts/chart38.xml"/>
  <Override ContentType="application/vnd.ms-office.chartstyle+xml" PartName="/word/charts/style14.xml"/>
  <Override ContentType="application/vnd.ms-office.chartstyle+xml" PartName="/word/charts/style17.xml"/>
  <Override ContentType="application/vnd.openxmlformats-officedocument.drawingml.chart+xml" PartName="/word/charts/chart37.xml"/>
  <Override ContentType="application/vnd.openxmlformats-officedocument.drawingml.chart+xml" PartName="/word/charts/chart33.xml"/>
  <Override ContentType="application/vnd.openxmlformats-officedocument.drawingml.chart+xml" PartName="/word/charts/chart32.xml"/>
  <Override ContentType="application/vnd.openxmlformats-officedocument.drawingml.chart+xml" PartName="/word/charts/chart31.xml"/>
  <Override ContentType="application/vnd.openxmlformats-officedocument.drawingml.chart+xml" PartName="/word/charts/chart65.xml"/>
  <Override ContentType="application/vnd.openxmlformats-officedocument.themeOverride+xml" PartName="/word/theme/themeOverride1.xml"/>
  <Override ContentType="application/vnd.openxmlformats-officedocument.drawingml.chart+xml" PartName="/word/charts/chart29.xml"/>
  <Override ContentType="application/vnd.openxmlformats-officedocument.drawingml.chart+xml" PartName="/word/charts/chart28.xml"/>
  <Override ContentType="application/vnd.openxmlformats-officedocument.drawingml.chart+xml" PartName="/word/charts/chart34.xml"/>
  <Override ContentType="application/vnd.openxmlformats-officedocument.drawingml.chart+xml" PartName="/word/charts/chart24.xml"/>
  <Override ContentType="application/vnd.ms-office.chartstyle+xml" PartName="/word/charts/style13.xml"/>
  <Override ContentType="application/vnd.ms-office.chartcolorstyle+xml" PartName="/word/charts/colors10.xml"/>
  <Override ContentType="application/vnd.ms-office.chartstyle+xml" PartName="/word/charts/style9.xml"/>
  <Override ContentType="application/vnd.openxmlformats-officedocument.drawingml.chart+xml" PartName="/word/charts/chart22.xml"/>
  <Override ContentType="application/vnd.openxmlformats-officedocument.drawingml.chart+xml" PartName="/word/charts/chart21.xml"/>
  <Override ContentType="application/vnd.ms-office.chartcolorstyle+xml" PartName="/word/charts/colors21.xml"/>
  <Override ContentType="application/vnd.ms-office.chartstyle+xml" PartName="/word/charts/style8.xml"/>
  <Override ContentType="application/vnd.openxmlformats-officedocument.drawingml.chart+xml" PartName="/word/charts/chart55.xml"/>
  <Override ContentType="application/vnd.openxmlformats-officedocument.drawingml.chart+xml" PartName="/word/charts/chart77.xml"/>
  <Override ContentType="application/vnd.ms-office.chartcolorstyle+xml" PartName="/word/charts/colors8.xml"/>
  <Override ContentType="application/vnd.openxmlformats-officedocument.drawingml.chart+xml" PartName="/word/charts/chart63.xml"/>
  <Override ContentType="application/vnd.openxmlformats-officedocument.drawingml.chart+xml" PartName="/word/charts/chart20.xml"/>
  <Override ContentType="application/vnd.ms-office.chartstyle+xml" PartName="/word/charts/style7.xml"/>
  <Override ContentType="application/vnd.openxmlformats-officedocument.drawingml.chart+xml" PartName="/word/charts/chart18.xml"/>
  <Override ContentType="application/vnd.openxmlformats-officedocument.drawingml.chart+xml" PartName="/word/charts/chart56.xml"/>
  <Override ContentType="application/vnd.ms-office.chartstyle+xml" PartName="/word/charts/style5.xml"/>
  <Override ContentType="application/vnd.ms-office.chartcolorstyle+xml" PartName="/word/charts/colors5.xml"/>
  <Override ContentType="application/vnd.ms-office.chartstyle+xml" PartName="/word/charts/style4.xml"/>
  <Override ContentType="application/vnd.ms-office.chartcolorstyle+xml" PartName="/word/charts/colors7.xml"/>
  <Override ContentType="application/vnd.openxmlformats-officedocument.drawingml.chart+xml" PartName="/word/charts/chart14.xml"/>
  <Override ContentType="application/vnd.ms-office.chartcolorstyle+xml" PartName="/word/charts/colors3.xml"/>
  <Override ContentType="application/vnd.openxmlformats-officedocument.drawingml.chart+xml" PartName="/word/charts/chart45.xml"/>
  <Override ContentType="application/vnd.openxmlformats-officedocument.drawingml.chart+xml" PartName="/word/charts/chart13.xml"/>
  <Override ContentType="application/vnd.openxmlformats-officedocument.drawingml.chart+xml" PartName="/word/charts/chart78.xml"/>
  <Override ContentType="application/vnd.ms-office.chartstyle+xml" PartName="/word/charts/style6.xml"/>
  <Override ContentType="application/vnd.ms-office.chartstyle+xml" PartName="/word/charts/style12.xml"/>
  <Override ContentType="application/vnd.openxmlformats-officedocument.drawingml.chart+xml" PartName="/word/charts/chart10.xml"/>
  <Override ContentType="application/vnd.openxmlformats-officedocument.drawingml.chart+xml" PartName="/word/charts/chart9.xml"/>
  <Override ContentType="application/vnd.openxmlformats-officedocument.drawingml.chart+xml" PartName="/word/charts/chart41.xml"/>
  <Override ContentType="application/vnd.ms-office.chartcolorstyle+xml" PartName="/word/charts/colors2.xml"/>
  <Override ContentType="application/vnd.ms-office.chartcolorstyle+xml" PartName="/word/charts/colors17.xml"/>
  <Override ContentType="application/vnd.openxmlformats-officedocument.drawingml.chart+xml" PartName="/word/charts/chart35.xml"/>
  <Override ContentType="application/vnd.openxmlformats-officedocument.drawingml.chart+xml" PartName="/word/charts/chart73.xml"/>
  <Override ContentType="application/vnd.openxmlformats-officedocument.drawingml.chart+xml" PartName="/word/charts/chart7.xml"/>
  <Override ContentType="application/vnd.ms-office.chartstyle+xml" PartName="/word/charts/style11.xml"/>
  <Override ContentType="application/vnd.openxmlformats-officedocument.drawingml.chartshapes+xml" PartName="/word/drawings/drawing1.xml"/>
  <Override ContentType="application/vnd.ms-office.chartcolorstyle+xml" PartName="/word/charts/colors9.xml"/>
  <Override ContentType="application/vnd.openxmlformats-officedocument.drawingml.chart+xml" PartName="/word/charts/chart8.xml"/>
  <Override ContentType="application/vnd.openxmlformats-officedocument.drawingml.chart+xml" PartName="/word/charts/chart82.xml"/>
  <Override ContentType="application/vnd.ms-office.chartcolorstyle+xml" PartName="/word/charts/colors6.xml"/>
  <Override ContentType="application/vnd.ms-office.chartcolorstyle+xml" PartName="/word/charts/colors4.xml"/>
  <Override ContentType="application/vnd.ms-office.chartstyle+xml" PartName="/word/charts/style1.xml"/>
  <Override ContentType="application/vnd.ms-office.chartcolorstyle+xml" PartName="/word/charts/colors1.xml"/>
  <Override ContentType="application/vnd.openxmlformats-officedocument.drawingml.chart+xml" PartName="/word/charts/chart5.xml"/>
  <Override ContentType="application/vnd.openxmlformats-officedocument.drawingml.chart+xml" PartName="/word/charts/chart61.xml"/>
  <Override ContentType="application/vnd.openxmlformats-officedocument.drawingml.chart+xml" PartName="/word/charts/chart2.xml"/>
  <Override ContentType="application/vnd.openxmlformats-officedocument.drawingml.chart+xml" PartName="/word/charts/chart3.xml"/>
  <Override ContentType="application/vnd.openxmlformats-officedocument.drawingml.chart+xml" PartName="/word/charts/chart1.xml"/>
  <Override ContentType="application/vnd.openxmlformats-officedocument.drawingml.chart+xml" PartName="/word/charts/chart30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ms-office.chartcolorstyle+xml" PartName="/word/charts/colors11.xml"/>
  <Override ContentType="application/vnd.ms-office.chartstyle+xml" PartName="/word/charts/style3.xml"/>
  <Override ContentType="application/vnd.openxmlformats-officedocument.drawingml.chart+xml" PartName="/word/charts/chart26.xml"/>
  <Override ContentType="application/vnd.openxmlformats-officedocument.drawingml.chart+xml" PartName="/word/charts/chart25.xml"/>
  <Override ContentType="application/vnd.openxmlformats-officedocument.wordprocessingml.footer+xml" PartName="/word/footer1.xml"/>
  <Override ContentType="application/vnd.openxmlformats-officedocument.drawingml.chart+xml" PartName="/word/charts/chart15.xml"/>
  <Override ContentType="application/vnd.ms-office.chartcolorstyle+xml" PartName="/word/charts/colors15.xml"/>
  <Override ContentType="application/vnd.openxmlformats-officedocument.wordprocessingml.header+xml" PartName="/word/header2.xml"/>
  <Override ContentType="application/vnd.ms-office.chartstyle+xml" PartName="/word/charts/style10.xml"/>
  <Override ContentType="application/vnd.openxmlformats-officedocument.drawingml.chart+xml" PartName="/word/charts/chart36.xml"/>
  <Override ContentType="application/vnd.ms-office.chartcolorstyle+xml" PartName="/word/charts/colors14.xml"/>
  <Override ContentType="application/vnd.openxmlformats-officedocument.wordprocessingml.header+xml" PartName="/word/header1.xml"/>
  <Override ContentType="application/vnd.openxmlformats-officedocument.drawingml.chart+xml" PartName="/word/charts/chart27.xml"/>
  <Override ContentType="application/vnd.openxmlformats-officedocument.drawingml.chart+xml" PartName="/word/charts/chart69.xml"/>
  <Override ContentType="application/vnd.openxmlformats-officedocument.wordprocessingml.webSettings+xml" PartName="/word/webSettings.xml"/>
  <Override ContentType="application/vnd.openxmlformats-officedocument.wordprocessingml.settings+xml" PartName="/word/settings.xml"/>
  <Override ContentType="application/vnd.ms-office.chartcolorstyle+xml" PartName="/word/charts/colors12.xml"/>
  <Override ContentType="application/vnd.openxmlformats-officedocument.drawingml.chart+xml" PartName="/word/charts/chart4.xml"/>
  <Override ContentType="application/vnd.openxmlformats-officedocument.drawingml.chart+xml" PartName="/word/charts/chart71.xml"/>
  <Override ContentType="application/vnd.openxmlformats-officedocument.wordprocessingml.document.main+xml" PartName="/word/document.xml"/>
  <Override ContentType="application/vnd.openxmlformats-officedocument.drawingml.chart+xml" PartName="/word/charts/chart17.xml"/>
  <Override ContentType="application/vnd.openxmlformats-officedocument.wordprocessingml.fontTable+xml" PartName="/word/fontTable.xml"/>
  <Override ContentType="application/vnd.openxmlformats-officedocument.drawingml.chart+xml" PartName="/word/charts/chart23.xml"/>
  <Override ContentType="application/vnd.ms-office.chartcolorstyle+xml" PartName="/word/charts/colors13.xml"/>
  <Override ContentType="application/vnd.openxmlformats-officedocument.wordprocessingml.endnotes+xml" PartName="/word/glossary/endnotes.xml"/>
  <Override ContentType="application/vnd.openxmlformats-officedocument.drawingml.chart+xml" PartName="/word/charts/chart16.xml"/>
  <Override ContentType="application/vnd.openxmlformats-officedocument.drawingml.chart+xml" PartName="/word/charts/chart40.xml"/>
  <Override ContentType="application/vnd.openxmlformats-officedocument.theme+xml" PartName="/word/theme/theme1.xml"/>
  <Override ContentType="application/vnd.openxmlformats-officedocument.wordprocessingml.endnotes+xml" PartName="/word/endnotes.xml"/>
  <Override ContentType="application/vnd.openxmlformats-officedocument.drawingml.chart+xml" PartName="/word/charts/chart11.xml"/>
  <Override ContentType="application/vnd.openxmlformats-officedocument.wordprocessingml.fontTable+xml" PartName="/word/glossary/fontTable.xml"/>
  <Override ContentType="application/vnd.openxmlformats-officedocument.wordprocessingml.footnotes+xml" PartName="/word/footnotes.xml"/>
  <Override ContentType="application/vnd.openxmlformats-officedocument.wordprocessingml.webSettings+xml" PartName="/word/glossary/webSettings.xml"/>
  <Override ContentType="application/vnd.openxmlformats-officedocument.drawingml.chart+xml" PartName="/word/charts/chart19.xml"/>
  <Override ContentType="application/vnd.openxmlformats-officedocument.wordprocessingml.footnotes+xml" PartName="/word/glossary/footnotes.xml"/>
  <Override ContentType="application/vnd.openxmlformats-officedocument.drawingml.chart+xml" PartName="/word/charts/chart12.xml"/>
  <Override ContentType="application/vnd.openxmlformats-officedocument.wordprocessingml.styles+xml" PartName="/word/styles.xml"/>
  <Override ContentType="application/vnd.openxmlformats-officedocument.drawingml.chart+xml" PartName="/word/charts/chart66.xml"/>
  <Override ContentType="application/vnd.openxmlformats-officedocument.drawingml.chart+xml" PartName="/word/charts/chart6.xml"/>
  <Override ContentType="application/vnd.openxmlformats-officedocument.wordprocessingml.settings+xml" PartName="/word/glossary/settings.xml"/>
  <Override ContentType="application/vnd.openxmlformats-officedocument.drawingml.chart+xml" PartName="/word/charts/chart49.xml"/>
  <Override ContentType="application/vnd.openxmlformats-officedocument.wordprocessingml.styles+xml" PartName="/word/glossary/styles.xml"/>
  <Override ContentType="application/vnd.openxmlformats-officedocument.wordprocessingml.numbering+xml" PartName="/word/numbering.xml"/>
  <Override ContentType="application/vnd.ms-office.chartstyle+xml" PartName="/word/charts/style2.xml"/>
  <Override ContentType="application/vnd.openxmlformats-officedocument.drawingml.chart+xml" PartName="/word/charts/chart58.xml"/>
  <Override ContentType="application/vnd.openxmlformats-officedocument.drawingml.chart+xml" PartName="/word/charts/chart54.xml"/>
  <Override ContentType="application/vnd.openxmlformats-officedocument.wordprocessingml.document.glossary+xml" PartName="/word/glossary/document.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68"/>
        <w:jc w:val="center"/>
        <w:rPr>
          <w:rFonts w:ascii="Liberation Sans" w:hAnsi="Liberation Sans" w:cs="Liberation Sans"/>
        </w:rPr>
        <w:outlineLvl w:val="0"/>
      </w:pPr>
      <w:r/>
      <w:bookmarkStart w:id="1" w:name="_Toc1"/>
      <w:r>
        <w:rPr>
          <w:rFonts w:ascii="Liberation Sans" w:hAnsi="Liberation Sans" w:cs="Liberation Sans"/>
        </w:rPr>
        <w:object w:dxaOrig="4935" w:dyaOrig="555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0" o:spid="_x0000_s0" type="#_x0000_t75" style="width:50.2pt;height:60.0pt;mso-wrap-distance-left:0.0pt;mso-wrap-distance-top:0.0pt;mso-wrap-distance-right:0.0pt;mso-wrap-distance-bottom:0.0pt;" filled="f" stroked="f">
            <v:path textboxrect="0,0,0,0"/>
            <v:imagedata r:id="rId13" o:title=""/>
          </v:shape>
          <o:OLEObject DrawAspect="Content" r:id="rId14" ObjectID="_1525040" ProgID="CorelDRAW.Graphic.12" ShapeID="_x0000_i0" Type="Embed"/>
        </w:object>
      </w:r>
      <w:bookmarkEnd w:id="1"/>
      <w:r>
        <w:rPr>
          <w:rFonts w:ascii="Liberation Sans" w:hAnsi="Liberation Sans" w:cs="Liberation Sans"/>
        </w:rPr>
      </w:r>
      <w:r/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356"/>
      </w:tblGrid>
      <w:tr>
        <w:trPr/>
        <w:tc>
          <w:tcPr>
            <w:tcW w:w="9356" w:type="dxa"/>
            <w:textDirection w:val="lrTb"/>
            <w:noWrap w:val="false"/>
          </w:tcPr>
          <w:p>
            <w:pPr>
              <w:pStyle w:val="968"/>
              <w:jc w:val="center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/>
                <w:bCs/>
                <w:sz w:val="36"/>
                <w:szCs w:val="36"/>
              </w:rPr>
              <w:t xml:space="preserve">ГОРОДСКАЯ ДУМА </w:t>
            </w:r>
            <w:r>
              <w:rPr>
                <w:rFonts w:ascii="Liberation Sans" w:hAnsi="Liberation Sans" w:cs="Liberation Sans"/>
              </w:rPr>
            </w:r>
            <w:r/>
          </w:p>
          <w:p>
            <w:pPr>
              <w:pStyle w:val="968"/>
              <w:jc w:val="center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/>
                <w:bCs/>
                <w:sz w:val="36"/>
                <w:szCs w:val="36"/>
              </w:rPr>
              <w:t xml:space="preserve">МУНИЦИПАЛЬНОГО ОБРАЗОВАНИЯ</w:t>
            </w:r>
            <w:r>
              <w:rPr>
                <w:rFonts w:ascii="Liberation Sans" w:hAnsi="Liberation Sans" w:cs="Liberation Sans"/>
              </w:rPr>
            </w:r>
            <w:r/>
          </w:p>
          <w:p>
            <w:pPr>
              <w:pStyle w:val="968"/>
              <w:jc w:val="center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/>
                <w:bCs/>
                <w:sz w:val="36"/>
                <w:szCs w:val="36"/>
              </w:rPr>
              <w:t xml:space="preserve">ГОРОД НОВЫЙ УРЕНГОЙ</w:t>
            </w:r>
            <w:r>
              <w:rPr>
                <w:rFonts w:ascii="Liberation Sans" w:hAnsi="Liberation Sans" w:cs="Liberation Sans"/>
              </w:rPr>
            </w:r>
            <w:r/>
          </w:p>
          <w:p>
            <w:pPr>
              <w:pStyle w:val="968"/>
              <w:jc w:val="center"/>
              <w:widowControl w:val="off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cs="Liberation Sans"/>
                <w:b/>
                <w:bCs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/>
          </w:p>
        </w:tc>
      </w:tr>
      <w:tr>
        <w:trPr/>
        <w:tc>
          <w:tcPr>
            <w:tcBorders>
              <w:top w:val="single" w:color="000000" w:sz="12" w:space="0"/>
              <w:left w:val="none" w:color="000000" w:sz="4" w:space="0"/>
              <w:bottom w:val="single" w:color="000000" w:sz="24" w:space="0"/>
              <w:right w:val="none" w:color="000000" w:sz="4" w:space="0"/>
            </w:tcBorders>
            <w:tcW w:w="9356" w:type="dxa"/>
            <w:textDirection w:val="lrTb"/>
            <w:noWrap w:val="false"/>
          </w:tcPr>
          <w:p>
            <w:pPr>
              <w:pStyle w:val="968"/>
              <w:jc w:val="center"/>
              <w:widowControl w:val="off"/>
              <w:rPr>
                <w:rFonts w:ascii="Liberation Sans" w:hAnsi="Liberation Sans" w:cs="Liberation Sans"/>
                <w:sz w:val="2"/>
                <w:szCs w:val="2"/>
              </w:rPr>
            </w:pPr>
            <w:r>
              <w:rPr>
                <w:rFonts w:ascii="Liberation Sans" w:hAnsi="Liberation Sans" w:cs="Liberation Sans"/>
                <w:b/>
                <w:bCs/>
                <w:sz w:val="2"/>
                <w:szCs w:val="2"/>
              </w:rPr>
            </w:r>
            <w:r>
              <w:rPr>
                <w:rFonts w:ascii="Liberation Sans" w:hAnsi="Liberation Sans" w:cs="Liberation Sans"/>
                <w:sz w:val="2"/>
                <w:szCs w:val="2"/>
              </w:rPr>
            </w:r>
            <w:r/>
          </w:p>
        </w:tc>
      </w:tr>
    </w:tbl>
    <w:p>
      <w:pPr>
        <w:pStyle w:val="968"/>
        <w:jc w:val="center"/>
        <w:widowControl w:val="off"/>
        <w:rPr>
          <w:rFonts w:ascii="Liberation Sans" w:hAnsi="Liberation Sans" w:cs="Liberation Sans"/>
          <w:sz w:val="20"/>
          <w:szCs w:val="20"/>
        </w:rPr>
      </w:pPr>
      <w:r>
        <w:rPr>
          <w:rFonts w:ascii="Liberation Sans" w:hAnsi="Liberation Sans" w:cs="Liberation Sans"/>
          <w:b/>
          <w:bCs/>
          <w:sz w:val="20"/>
          <w:szCs w:val="20"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pStyle w:val="968"/>
        <w:jc w:val="center"/>
        <w:widowControl w:val="off"/>
        <w:tabs>
          <w:tab w:val="clear" w:pos="7143" w:leader="none"/>
          <w:tab w:val="clear" w:pos="14287" w:leader="none"/>
        </w:tabs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  <w:bCs/>
          <w:sz w:val="36"/>
          <w:szCs w:val="36"/>
        </w:rPr>
        <w:t xml:space="preserve">РЕШЕНИЕ № </w:t>
      </w:r>
      <w:r>
        <w:rPr>
          <w:rFonts w:ascii="Liberation Sans" w:hAnsi="Liberation Sans" w:cs="Liberation Sans"/>
          <w:b/>
          <w:bCs/>
          <w:sz w:val="36"/>
          <w:szCs w:val="36"/>
        </w:rPr>
        <w:t xml:space="preserve">312</w:t>
      </w:r>
      <w:r/>
    </w:p>
    <w:p>
      <w:pPr>
        <w:pStyle w:val="968"/>
        <w:widowControl w:val="off"/>
        <w:rPr>
          <w:rFonts w:ascii="Liberation Sans" w:hAnsi="Liberation Sans" w:cs="Liberation Sans"/>
          <w:sz w:val="20"/>
          <w:szCs w:val="20"/>
        </w:rPr>
      </w:pPr>
      <w:r>
        <w:rPr>
          <w:rFonts w:ascii="Liberation Sans" w:hAnsi="Liberation Sans" w:cs="Liberation Sans"/>
          <w:b/>
          <w:bCs/>
        </w:rPr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pStyle w:val="968"/>
        <w:widowControl w:val="off"/>
        <w:rPr>
          <w:rFonts w:ascii="Liberation Sans" w:hAnsi="Liberation Sans" w:cs="Liberation Sans"/>
          <w:sz w:val="36"/>
          <w:szCs w:val="36"/>
        </w:rPr>
      </w:pPr>
      <w:r>
        <w:rPr>
          <w:rFonts w:ascii="Liberation Sans" w:hAnsi="Liberation Sans" w:cs="Liberation Sans"/>
          <w:b/>
          <w:bCs/>
          <w:sz w:val="28"/>
          <w:szCs w:val="28"/>
        </w:rPr>
        <w:t xml:space="preserve">25.04.2024                                                                   г. Новый Уренгой</w:t>
      </w:r>
      <w:r>
        <w:rPr>
          <w:rFonts w:ascii="Liberation Sans" w:hAnsi="Liberation Sans" w:cs="Liberation Sans"/>
          <w:sz w:val="36"/>
          <w:szCs w:val="36"/>
        </w:rPr>
      </w:r>
      <w:r/>
    </w:p>
    <w:p>
      <w:pPr>
        <w:pStyle w:val="968"/>
        <w:spacing w:after="0" w:afterAutospacing="0" w:line="240" w:lineRule="auto"/>
        <w:widowControl w:val="off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i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68"/>
        <w:ind w:left="0"/>
        <w:spacing w:after="0" w:afterAutospacing="0" w:line="240" w:lineRule="auto"/>
        <w:widowControl w:val="off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68"/>
        <w:ind w:left="0"/>
        <w:spacing w:after="0" w:afterAutospacing="0" w:line="240" w:lineRule="auto"/>
        <w:widowControl w:val="off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b/>
          <w:bCs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b/>
          <w:sz w:val="28"/>
          <w:szCs w:val="28"/>
        </w:rPr>
        <w:t xml:space="preserve">Об </w:t>
      </w:r>
      <w:r>
        <w:rPr>
          <w:rFonts w:ascii="Liberation Sans" w:hAnsi="Liberation Sans" w:cs="Liberation Sans"/>
          <w:b/>
          <w:sz w:val="28"/>
          <w:szCs w:val="28"/>
        </w:rPr>
        <w:t xml:space="preserve">отчёте Главы гор</w:t>
      </w:r>
      <w:r>
        <w:rPr>
          <w:rFonts w:ascii="Liberation Sans" w:hAnsi="Liberation Sans" w:cs="Liberation Sans"/>
          <w:b/>
          <w:sz w:val="28"/>
          <w:szCs w:val="28"/>
        </w:rPr>
        <w:t xml:space="preserve">ода Новый Уренгой </w:t>
      </w:r>
      <w:r>
        <w:rPr>
          <w:rFonts w:ascii="Liberation Sans" w:hAnsi="Liberation Sans" w:cs="Liberation Sans"/>
          <w:b/>
          <w:sz w:val="28"/>
          <w:szCs w:val="28"/>
        </w:rPr>
        <w:br/>
      </w:r>
      <w:r>
        <w:rPr>
          <w:rFonts w:ascii="Liberation Sans" w:hAnsi="Liberation Sans" w:cs="Liberation Sans"/>
          <w:b/>
          <w:sz w:val="28"/>
          <w:szCs w:val="28"/>
        </w:rPr>
        <w:t xml:space="preserve">о результатах</w:t>
      </w:r>
      <w:r>
        <w:rPr>
          <w:rFonts w:ascii="Liberation Sans" w:hAnsi="Liberation Sans" w:cs="Liberation Sans"/>
          <w:b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sz w:val="28"/>
          <w:szCs w:val="28"/>
        </w:rPr>
        <w:t xml:space="preserve">своей деятельнос</w:t>
      </w:r>
      <w:r>
        <w:rPr>
          <w:rFonts w:ascii="Liberation Sans" w:hAnsi="Liberation Sans" w:cs="Liberation Sans"/>
          <w:b/>
          <w:sz w:val="28"/>
          <w:szCs w:val="28"/>
        </w:rPr>
        <w:t xml:space="preserve">ти </w:t>
      </w:r>
      <w:r>
        <w:rPr>
          <w:rFonts w:ascii="Liberation Sans" w:hAnsi="Liberation Sans" w:cs="Liberation Sans"/>
          <w:b/>
          <w:sz w:val="28"/>
          <w:szCs w:val="28"/>
        </w:rPr>
        <w:t xml:space="preserve">и деятельности Администрации</w:t>
      </w:r>
      <w:r>
        <w:rPr>
          <w:rFonts w:ascii="Liberation Sans" w:hAnsi="Liberation Sans" w:cs="Liberation Sans"/>
          <w:b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sz w:val="28"/>
          <w:szCs w:val="28"/>
        </w:rPr>
        <w:t xml:space="preserve">города Новый Уренгой за 20</w:t>
      </w:r>
      <w:r>
        <w:rPr>
          <w:rFonts w:ascii="Liberation Sans" w:hAnsi="Liberation Sans" w:cs="Liberation Sans"/>
          <w:b/>
          <w:sz w:val="28"/>
          <w:szCs w:val="28"/>
        </w:rPr>
        <w:t xml:space="preserve">2</w:t>
      </w:r>
      <w:r>
        <w:rPr>
          <w:rFonts w:ascii="Liberation Sans" w:hAnsi="Liberation Sans" w:cs="Liberation Sans"/>
          <w:b/>
          <w:sz w:val="28"/>
          <w:szCs w:val="28"/>
        </w:rPr>
        <w:t xml:space="preserve">3 год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spacing w:after="0" w:afterAutospacing="0" w:line="240" w:lineRule="auto"/>
        <w:rPr>
          <w:rFonts w:ascii="Liberation Sans" w:hAnsi="Liberation Sans" w:cs="Liberation Sans"/>
          <w:sz w:val="24"/>
          <w:szCs w:val="28"/>
        </w:rPr>
      </w:pPr>
      <w:r>
        <w:rPr>
          <w:rFonts w:ascii="Liberation Sans" w:hAnsi="Liberation Sans" w:cs="Liberation Sans"/>
          <w:color w:val="ff0000"/>
          <w:sz w:val="24"/>
          <w:szCs w:val="28"/>
        </w:rPr>
      </w:r>
      <w:r>
        <w:rPr>
          <w:rFonts w:ascii="Liberation Sans" w:hAnsi="Liberation Sans" w:cs="Liberation Sans"/>
          <w:sz w:val="24"/>
          <w:szCs w:val="28"/>
        </w:rPr>
      </w:r>
      <w:r/>
    </w:p>
    <w:p>
      <w:pPr>
        <w:spacing w:after="0" w:afterAutospacing="0" w:line="240" w:lineRule="auto"/>
        <w:rPr>
          <w:rFonts w:ascii="Liberation Sans" w:hAnsi="Liberation Sans" w:cs="Liberation Sans"/>
          <w:sz w:val="24"/>
          <w:szCs w:val="28"/>
        </w:rPr>
      </w:pPr>
      <w:r>
        <w:rPr>
          <w:rFonts w:ascii="Liberation Sans" w:hAnsi="Liberation Sans" w:cs="Liberation Sans"/>
          <w:color w:val="ff0000"/>
          <w:sz w:val="24"/>
          <w:szCs w:val="28"/>
        </w:rPr>
      </w:r>
      <w:r>
        <w:rPr>
          <w:rFonts w:ascii="Liberation Sans" w:hAnsi="Liberation Sans" w:cs="Liberation Sans"/>
          <w:sz w:val="24"/>
          <w:szCs w:val="28"/>
        </w:rPr>
      </w:r>
      <w:r/>
    </w:p>
    <w:p>
      <w:pPr>
        <w:spacing w:after="0" w:afterAutospacing="0" w:line="240" w:lineRule="auto"/>
        <w:rPr>
          <w:rFonts w:ascii="Liberation Sans" w:hAnsi="Liberation Sans" w:cs="Liberation Sans"/>
          <w:sz w:val="24"/>
          <w:szCs w:val="28"/>
        </w:rPr>
      </w:pPr>
      <w:r>
        <w:rPr>
          <w:rFonts w:ascii="Liberation Sans" w:hAnsi="Liberation Sans" w:cs="Liberation Sans"/>
          <w:sz w:val="24"/>
          <w:szCs w:val="28"/>
        </w:rPr>
      </w:r>
      <w:r>
        <w:rPr>
          <w:rFonts w:ascii="Liberation Sans" w:hAnsi="Liberation Sans" w:cs="Liberation Sans"/>
          <w:sz w:val="24"/>
          <w:szCs w:val="28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  <w:t xml:space="preserve">Заслушав отчёт Главы города Новый Уренгой о результатах своей деятельности и деятельности Администрации города Новый Уренгой </w:t>
      </w:r>
      <w:r>
        <w:rPr>
          <w:rFonts w:ascii="Liberation Sans" w:hAnsi="Liberation Sans" w:cs="Liberation Sans"/>
          <w:sz w:val="28"/>
          <w:szCs w:val="28"/>
        </w:rPr>
        <w:br/>
      </w:r>
      <w:r>
        <w:rPr>
          <w:rFonts w:ascii="Liberation Sans" w:hAnsi="Liberation Sans" w:cs="Liberation Sans"/>
          <w:sz w:val="28"/>
          <w:szCs w:val="28"/>
        </w:rPr>
        <w:t xml:space="preserve">за 20</w:t>
      </w:r>
      <w:r>
        <w:rPr>
          <w:rFonts w:ascii="Liberation Sans" w:hAnsi="Liberation Sans" w:cs="Liberation Sans"/>
          <w:sz w:val="28"/>
          <w:szCs w:val="28"/>
        </w:rPr>
        <w:t xml:space="preserve">2</w:t>
      </w:r>
      <w:r>
        <w:rPr>
          <w:rFonts w:ascii="Liberation Sans" w:hAnsi="Liberation Sans" w:cs="Liberation Sans"/>
          <w:sz w:val="28"/>
          <w:szCs w:val="28"/>
        </w:rPr>
        <w:t xml:space="preserve">3 год, в соответствии с Федеральным законом от 06.10.2003 </w:t>
        <w:br/>
      </w:r>
      <w:r>
        <w:rPr>
          <w:rFonts w:ascii="Liberation Sans" w:hAnsi="Liberation Sans" w:cs="Liberation Sans"/>
          <w:sz w:val="28"/>
          <w:szCs w:val="28"/>
        </w:rPr>
        <w:t xml:space="preserve">№ </w:t>
      </w:r>
      <w:r>
        <w:rPr>
          <w:rFonts w:ascii="Liberation Sans" w:hAnsi="Liberation Sans" w:cs="Liberation Sans"/>
          <w:sz w:val="28"/>
          <w:szCs w:val="28"/>
        </w:rPr>
        <w:t xml:space="preserve">131-ФЗ «Об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общих принципах организации местного самоуправления в Российской Федерации», ре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шением Городской Думы муниципального образования город Новый Уренгой от 25.05.2023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№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231 «Об организации доступа к информа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ции о деятельности органов местного самоуправления муниципального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образования город Новый Уренгой», руководствуяс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ь Уставом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муниципального образования город Новый Уренгой, Городская Дум</w:t>
      </w:r>
      <w:r>
        <w:rPr>
          <w:rFonts w:ascii="Liberation Sans" w:hAnsi="Liberation Sans" w:cs="Liberation Sans"/>
          <w:sz w:val="28"/>
          <w:szCs w:val="28"/>
        </w:rPr>
        <w:t xml:space="preserve">а муниципального образования город Новый Уренгой</w:t>
      </w:r>
      <w:bookmarkEnd w:id="0"/>
      <w:r>
        <w:rPr>
          <w:rFonts w:ascii="Liberation Sans" w:hAnsi="Liberation Sans" w:cs="Liberation Sans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18"/>
          <w:szCs w:val="18"/>
        </w:rPr>
      </w:pPr>
      <w:r>
        <w:rPr>
          <w:rFonts w:ascii="Liberation Sans" w:hAnsi="Liberation Sans" w:cs="Liberation Sans"/>
          <w:sz w:val="22"/>
          <w:szCs w:val="22"/>
        </w:rPr>
      </w:r>
      <w:r>
        <w:rPr>
          <w:rFonts w:ascii="Liberation Sans" w:hAnsi="Liberation Sans" w:cs="Liberation Sans"/>
          <w:sz w:val="18"/>
          <w:szCs w:val="18"/>
        </w:rPr>
      </w:r>
      <w:r/>
    </w:p>
    <w:p>
      <w:pPr>
        <w:jc w:val="both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8"/>
          <w:szCs w:val="28"/>
        </w:rPr>
        <w:t xml:space="preserve">РЕШИЛА:</w:t>
      </w:r>
      <w:r>
        <w:rPr>
          <w:rFonts w:ascii="Liberation Sans" w:hAnsi="Liberation Sans" w:cs="Liberation Sans"/>
        </w:rPr>
      </w:r>
      <w:r/>
    </w:p>
    <w:p>
      <w:pPr>
        <w:jc w:val="both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</w:rPr>
      </w:r>
      <w:r/>
    </w:p>
    <w:p>
      <w:pPr>
        <w:ind w:left="0" w:right="0" w:firstLine="709"/>
        <w:jc w:val="both"/>
        <w:spacing w:after="0" w:line="240" w:lineRule="auto"/>
        <w:widowControl w:val="off"/>
        <w:tabs>
          <w:tab w:val="num" w:pos="360" w:leader="none"/>
          <w:tab w:val="left" w:pos="900" w:leader="none"/>
          <w:tab w:val="left" w:pos="1080" w:leader="none"/>
        </w:tabs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8"/>
          <w:szCs w:val="28"/>
        </w:rPr>
        <w:t xml:space="preserve">1. Принять к сведению отчёт Главы города Новый Уренгой </w:t>
      </w:r>
      <w:r>
        <w:rPr>
          <w:rFonts w:ascii="Liberation Sans" w:hAnsi="Liberation Sans" w:cs="Liberation Sans"/>
          <w:sz w:val="28"/>
          <w:szCs w:val="28"/>
        </w:rPr>
        <w:br/>
      </w:r>
      <w:r>
        <w:rPr>
          <w:rFonts w:ascii="Liberation Sans" w:hAnsi="Liberation Sans" w:cs="Liberation Sans"/>
          <w:sz w:val="28"/>
          <w:szCs w:val="28"/>
        </w:rPr>
        <w:t xml:space="preserve">о результатах своей деятельности и деятельности Администрации города Новый Уренгой за 20</w:t>
      </w:r>
      <w:r>
        <w:rPr>
          <w:rFonts w:ascii="Liberation Sans" w:hAnsi="Liberation Sans" w:cs="Liberation Sans"/>
          <w:sz w:val="28"/>
          <w:szCs w:val="28"/>
        </w:rPr>
        <w:t xml:space="preserve">2</w:t>
      </w:r>
      <w:r>
        <w:rPr>
          <w:rFonts w:ascii="Liberation Sans" w:hAnsi="Liberation Sans" w:cs="Liberation Sans"/>
          <w:sz w:val="28"/>
          <w:szCs w:val="28"/>
        </w:rPr>
        <w:t xml:space="preserve">3 год согласно приложению к настоящему решению.</w:t>
      </w:r>
      <w:r>
        <w:rPr>
          <w:rFonts w:ascii="Liberation Sans" w:hAnsi="Liberation Sans" w:cs="Liberation Sans"/>
        </w:rPr>
      </w:r>
      <w:r/>
    </w:p>
    <w:p>
      <w:pPr>
        <w:ind w:left="0" w:right="0" w:firstLine="709"/>
        <w:jc w:val="both"/>
        <w:spacing w:after="0" w:line="240" w:lineRule="auto"/>
        <w:widowControl w:val="off"/>
        <w:tabs>
          <w:tab w:val="num" w:pos="360" w:leader="none"/>
          <w:tab w:val="left" w:pos="900" w:leader="none"/>
          <w:tab w:val="left" w:pos="1080" w:leader="none"/>
        </w:tabs>
        <w:rPr>
          <w:rFonts w:ascii="Liberation Sans" w:hAnsi="Liberation Sans" w:cs="Liberation Sans"/>
          <w:sz w:val="28"/>
          <w:szCs w:val="28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2. Признать деятельность Главы города Новый Уренгой </w:t>
      </w:r>
      <w:r>
        <w:rPr>
          <w:rFonts w:ascii="Liberation Sans" w:hAnsi="Liberation Sans" w:cs="Liberation Sans"/>
          <w:sz w:val="28"/>
          <w:szCs w:val="28"/>
        </w:rPr>
        <w:br/>
        <w:t xml:space="preserve">и Администрации города Новый Уренгой удовлетворительной.</w:t>
      </w:r>
      <w:r>
        <w:rPr>
          <w:rFonts w:ascii="Liberation Sans" w:hAnsi="Liberation Sans" w:cs="Liberation Sans"/>
          <w:sz w:val="28"/>
          <w:szCs w:val="28"/>
          <w14:ligatures w14:val="none"/>
        </w:rPr>
      </w:r>
      <w:r/>
    </w:p>
    <w:p>
      <w:pPr>
        <w:ind w:left="0" w:right="0" w:firstLine="709"/>
        <w:jc w:val="both"/>
        <w:spacing w:after="0" w:line="240" w:lineRule="auto"/>
        <w:widowControl w:val="off"/>
        <w:tabs>
          <w:tab w:val="num" w:pos="360" w:leader="none"/>
          <w:tab w:val="left" w:pos="900" w:leader="none"/>
          <w:tab w:val="left" w:pos="1080" w:leader="none"/>
        </w:tabs>
        <w:rPr>
          <w:rFonts w:ascii="Liberation Sans" w:hAnsi="Liberation Sans" w:cs="Liberation Sans"/>
          <w:sz w:val="28"/>
          <w:szCs w:val="28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3. </w:t>
      </w:r>
      <w:r>
        <w:rPr>
          <w:rFonts w:ascii="Liberation Sans" w:hAnsi="Liberation Sans" w:cs="Liberation Sans"/>
          <w:sz w:val="28"/>
          <w:szCs w:val="28"/>
        </w:rPr>
        <w:t xml:space="preserve">Р</w:t>
      </w:r>
      <w:r>
        <w:rPr>
          <w:rFonts w:ascii="Liberation Sans" w:hAnsi="Liberation Sans" w:cs="Liberation Sans"/>
          <w:sz w:val="28"/>
          <w:szCs w:val="28"/>
        </w:rPr>
        <w:t xml:space="preserve">азместить</w:t>
      </w:r>
      <w:r>
        <w:rPr>
          <w:rFonts w:ascii="Liberation Sans" w:hAnsi="Liberation Sans" w:cs="Liberation Sans"/>
          <w:sz w:val="28"/>
          <w:szCs w:val="28"/>
        </w:rPr>
        <w:t xml:space="preserve"> настоящее решение</w:t>
      </w:r>
      <w:r>
        <w:rPr>
          <w:rFonts w:ascii="Liberation Sans" w:hAnsi="Liberation Sans" w:cs="Liberation Sans"/>
          <w:sz w:val="28"/>
          <w:szCs w:val="28"/>
        </w:rPr>
        <w:t xml:space="preserve"> в </w:t>
      </w:r>
      <w:r>
        <w:rPr>
          <w:rFonts w:ascii="Liberation Sans" w:hAnsi="Liberation Sans" w:cs="Liberation Sans"/>
          <w:sz w:val="28"/>
          <w:szCs w:val="28"/>
        </w:rPr>
        <w:t xml:space="preserve">сетевом издании «Импульс Севера»</w:t>
      </w:r>
      <w:r>
        <w:rPr>
          <w:rFonts w:ascii="Liberation Sans" w:hAnsi="Liberation Sans" w:cs="Liberation Sans"/>
          <w:sz w:val="28"/>
          <w:szCs w:val="28"/>
        </w:rPr>
        <w:t xml:space="preserve">.</w:t>
      </w:r>
      <w:r>
        <w:rPr>
          <w:rFonts w:ascii="Liberation Sans" w:hAnsi="Liberation Sans" w:cs="Liberation Sans"/>
          <w:sz w:val="28"/>
          <w:szCs w:val="28"/>
          <w14:ligatures w14:val="none"/>
        </w:rPr>
      </w:r>
      <w:r/>
    </w:p>
    <w:p>
      <w:pPr>
        <w:ind w:left="0" w:right="0" w:firstLine="709"/>
        <w:jc w:val="both"/>
        <w:spacing w:after="0" w:line="240" w:lineRule="auto"/>
        <w:widowControl w:val="off"/>
        <w:tabs>
          <w:tab w:val="num" w:pos="360" w:leader="none"/>
          <w:tab w:val="left" w:pos="900" w:leader="none"/>
          <w:tab w:val="left" w:pos="1080" w:leader="none"/>
        </w:tabs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4. Решение вступает в силу со дня его принятия.</w:t>
      </w:r>
      <w:r>
        <w:rPr>
          <w:rFonts w:ascii="Liberation Sans" w:hAnsi="Liberation Sans" w:cs="Liberation Sans"/>
          <w:sz w:val="28"/>
          <w:szCs w:val="28"/>
          <w14:ligatures w14:val="none"/>
        </w:rPr>
      </w:r>
      <w:r/>
    </w:p>
    <w:p>
      <w:pPr>
        <w:ind w:left="0" w:right="0" w:firstLine="709"/>
        <w:jc w:val="both"/>
        <w:spacing w:after="0" w:line="240" w:lineRule="auto"/>
        <w:widowControl w:val="off"/>
        <w:tabs>
          <w:tab w:val="num" w:pos="360" w:leader="none"/>
          <w:tab w:val="left" w:pos="900" w:leader="none"/>
          <w:tab w:val="left" w:pos="1080" w:leader="none"/>
        </w:tabs>
        <w:rPr>
          <w:rFonts w:ascii="Liberation Sans" w:hAnsi="Liberation Sans" w:cs="Liberation Sans"/>
          <w:sz w:val="28"/>
          <w:szCs w:val="28"/>
          <w14:ligatures w14:val="none"/>
        </w:rPr>
      </w:pPr>
      <w:r>
        <w:rPr>
          <w:rFonts w:ascii="Liberation Sans" w:hAnsi="Liberation Sans" w:cs="Liberation Sans"/>
          <w:sz w:val="28"/>
          <w:szCs w:val="28"/>
          <w14:ligatures w14:val="none"/>
        </w:rPr>
      </w:r>
      <w:r>
        <w:rPr>
          <w:rFonts w:ascii="Liberation Sans" w:hAnsi="Liberation Sans" w:cs="Liberation Sans"/>
          <w:sz w:val="28"/>
          <w:szCs w:val="28"/>
          <w14:ligatures w14:val="none"/>
        </w:rPr>
      </w:r>
      <w:r/>
    </w:p>
    <w:p>
      <w:pPr>
        <w:ind w:left="0" w:right="0" w:firstLine="709"/>
        <w:jc w:val="both"/>
        <w:spacing w:after="0" w:line="240" w:lineRule="auto"/>
        <w:widowControl w:val="off"/>
        <w:tabs>
          <w:tab w:val="num" w:pos="360" w:leader="none"/>
          <w:tab w:val="left" w:pos="900" w:leader="none"/>
          <w:tab w:val="left" w:pos="1080" w:leader="none"/>
        </w:tabs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left="0" w:right="0" w:firstLine="709"/>
        <w:jc w:val="both"/>
        <w:spacing w:after="0" w:line="240" w:lineRule="auto"/>
        <w:widowControl w:val="off"/>
        <w:tabs>
          <w:tab w:val="num" w:pos="360" w:leader="none"/>
          <w:tab w:val="left" w:pos="900" w:leader="none"/>
          <w:tab w:val="left" w:pos="1080" w:leader="none"/>
        </w:tabs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19"/>
        <w:gridCol w:w="1984"/>
        <w:gridCol w:w="2552"/>
      </w:tblGrid>
      <w:tr>
        <w:trPr/>
        <w:tc>
          <w:tcPr>
            <w:tcW w:w="4819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Председатель Городской Думы</w:t>
            </w:r>
            <w:r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r>
            <w:r/>
          </w:p>
        </w:tc>
        <w:tc>
          <w:tcPr>
            <w:tcW w:w="1984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   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 П.М. </w:t>
            </w:r>
            <w:r>
              <w:rPr>
                <w:rFonts w:ascii="Liberation Sans" w:hAnsi="Liberation Sans" w:cs="Liberation Sans"/>
                <w:sz w:val="28"/>
                <w:szCs w:val="28"/>
              </w:rPr>
              <w:t xml:space="preserve">Шумова</w:t>
            </w:r>
            <w:r>
              <w:rPr>
                <w:rFonts w:ascii="Liberation Sans" w:hAnsi="Liberation Sans" w:cs="Liberation Sans"/>
                <w:sz w:val="28"/>
                <w:szCs w:val="28"/>
                <w:highlight w:val="none"/>
              </w:rPr>
            </w:r>
            <w:r/>
          </w:p>
        </w:tc>
      </w:tr>
    </w:tbl>
    <w:p>
      <w:pPr>
        <w:jc w:val="both"/>
        <w:spacing w:after="0" w:line="240" w:lineRule="auto"/>
        <w:rPr>
          <w:rFonts w:ascii="Liberation Sans" w:hAnsi="Liberation Sans" w:cs="Liberation Sans"/>
        </w:rPr>
        <w:sectPr>
          <w:headerReference w:type="default" r:id="rId10"/>
          <w:headerReference w:type="first" r:id="rId11"/>
          <w:footerReference w:type="first" r:id="rId12"/>
          <w:footnotePr/>
          <w:endnotePr/>
          <w:type w:val="nextPage"/>
          <w:pgSz w:w="11906" w:h="16838" w:orient="portrait"/>
          <w:pgMar w:top="820" w:right="850" w:bottom="285" w:left="1701" w:header="567" w:footer="567" w:gutter="0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/>
    </w:p>
    <w:p>
      <w:pPr>
        <w:ind w:left="4248"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Приложение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left="4956" w:firstLine="709"/>
        <w:jc w:val="both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</w:rPr>
      </w:r>
      <w:r/>
    </w:p>
    <w:p>
      <w:pPr>
        <w:ind w:left="4248" w:firstLine="708"/>
        <w:jc w:val="both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8"/>
          <w:szCs w:val="28"/>
        </w:rPr>
        <w:t xml:space="preserve">к решению Городской Думы</w:t>
      </w:r>
      <w:r>
        <w:rPr>
          <w:rFonts w:ascii="Liberation Sans" w:hAnsi="Liberation Sans" w:cs="Liberation Sans"/>
        </w:rPr>
      </w:r>
      <w:r/>
    </w:p>
    <w:p>
      <w:pPr>
        <w:ind w:left="4956"/>
        <w:jc w:val="both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8"/>
          <w:szCs w:val="28"/>
        </w:rPr>
        <w:t xml:space="preserve">муниципального образования</w:t>
      </w:r>
      <w:r>
        <w:rPr>
          <w:rFonts w:ascii="Liberation Sans" w:hAnsi="Liberation Sans" w:cs="Liberation Sans"/>
        </w:rPr>
      </w:r>
      <w:r/>
    </w:p>
    <w:p>
      <w:pPr>
        <w:ind w:left="4248" w:firstLine="708"/>
        <w:jc w:val="both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8"/>
          <w:szCs w:val="28"/>
        </w:rPr>
        <w:t xml:space="preserve">город Новый Уренгой</w:t>
      </w:r>
      <w:r>
        <w:rPr>
          <w:rFonts w:ascii="Liberation Sans" w:hAnsi="Liberation Sans" w:cs="Liberation Sans"/>
        </w:rPr>
      </w:r>
      <w:r/>
    </w:p>
    <w:p>
      <w:pPr>
        <w:ind w:left="4248"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от </w:t>
      </w:r>
      <w:r>
        <w:rPr>
          <w:rFonts w:ascii="Liberation Sans" w:hAnsi="Liberation Sans" w:cs="Liberation Sans"/>
          <w:sz w:val="28"/>
          <w:szCs w:val="28"/>
        </w:rPr>
        <w:t xml:space="preserve">25.04.202</w:t>
      </w:r>
      <w:r>
        <w:rPr>
          <w:rFonts w:ascii="Liberation Sans" w:hAnsi="Liberation Sans" w:cs="Liberation Sans"/>
          <w:sz w:val="28"/>
          <w:szCs w:val="28"/>
        </w:rPr>
        <w:t xml:space="preserve">4 </w:t>
      </w:r>
      <w:r>
        <w:rPr>
          <w:rFonts w:ascii="Liberation Sans" w:hAnsi="Liberation Sans" w:cs="Liberation Sans"/>
          <w:sz w:val="28"/>
          <w:szCs w:val="28"/>
        </w:rPr>
        <w:t xml:space="preserve">№ </w:t>
      </w:r>
      <w:r>
        <w:rPr>
          <w:rFonts w:ascii="Liberation Sans" w:hAnsi="Liberation Sans" w:cs="Liberation Sans"/>
          <w:sz w:val="28"/>
          <w:szCs w:val="28"/>
        </w:rPr>
        <w:t xml:space="preserve">312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4247" w:firstLine="709"/>
        <w:jc w:val="both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</w:rPr>
      </w:r>
      <w:r/>
    </w:p>
    <w:p>
      <w:pPr>
        <w:jc w:val="center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bookmarkStart w:id="0" w:name="undefined"/>
      <w:r>
        <w:rPr>
          <w:rFonts w:ascii="Liberation Sans" w:hAnsi="Liberation Sans" w:cs="Liberation Sans"/>
        </w:rPr>
      </w:r>
      <w:bookmarkStart w:id="0" w:name="undefined"/>
      <w:r>
        <w:rPr>
          <w:rFonts w:ascii="Liberation Sans" w:hAnsi="Liberation Sans" w:cs="Liberation Sans"/>
        </w:rPr>
      </w:r>
      <w:bookmarkStart w:id="0" w:name="undefined"/>
      <w:r>
        <w:rPr>
          <w:rFonts w:ascii="Liberation Sans" w:hAnsi="Liberation Sans" w:cs="Liberation Sans"/>
        </w:rPr>
      </w:r>
      <w:bookmarkStart w:id="0" w:name="undefined"/>
      <w:r>
        <w:rPr>
          <w:rFonts w:ascii="Liberation Sans" w:hAnsi="Liberation Sans" w:cs="Liberation Sans"/>
        </w:rPr>
      </w:r>
      <w:r/>
    </w:p>
    <w:p>
      <w:pPr>
        <w:jc w:val="center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  <w:bCs/>
          <w:caps/>
          <w:sz w:val="28"/>
          <w:szCs w:val="28"/>
        </w:rPr>
      </w:r>
      <w:r>
        <w:rPr>
          <w:rFonts w:ascii="Liberation Sans" w:hAnsi="Liberation Sans" w:cs="Liberation Sans"/>
        </w:rPr>
      </w:r>
      <w:r/>
    </w:p>
    <w:p>
      <w:pPr>
        <w:jc w:val="center"/>
        <w:spacing w:after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  <w:bCs/>
          <w:caps/>
          <w:sz w:val="28"/>
          <w:szCs w:val="28"/>
        </w:rPr>
      </w:r>
      <w:r>
        <w:rPr>
          <w:rFonts w:ascii="Liberation Sans" w:hAnsi="Liberation Sans" w:cs="Liberation Sans"/>
        </w:rPr>
      </w:r>
      <w:r/>
    </w:p>
    <w:p>
      <w:pPr>
        <w:jc w:val="center"/>
        <w:spacing w:after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  <w:bCs/>
          <w:caps/>
          <w:sz w:val="28"/>
          <w:szCs w:val="28"/>
        </w:rPr>
      </w:r>
      <w:r>
        <w:rPr>
          <w:rFonts w:ascii="Liberation Sans" w:hAnsi="Liberation Sans" w:cs="Liberation Sans"/>
        </w:rPr>
      </w:r>
      <w:r/>
    </w:p>
    <w:p>
      <w:pPr>
        <w:jc w:val="center"/>
        <w:spacing w:after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  <w:bCs/>
          <w:caps/>
          <w:sz w:val="28"/>
          <w:szCs w:val="28"/>
        </w:rPr>
      </w:r>
      <w:r>
        <w:rPr>
          <w:rFonts w:ascii="Liberation Sans" w:hAnsi="Liberation Sans" w:cs="Liberation Sans"/>
        </w:rPr>
      </w:r>
      <w:r/>
    </w:p>
    <w:p>
      <w:pPr>
        <w:jc w:val="center"/>
        <w:spacing w:after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  <w:bCs/>
          <w:caps/>
          <w:sz w:val="28"/>
          <w:szCs w:val="28"/>
        </w:rPr>
      </w:r>
      <w:r>
        <w:rPr>
          <w:rFonts w:ascii="Liberation Sans" w:hAnsi="Liberation Sans" w:cs="Liberation Sans"/>
        </w:rPr>
      </w:r>
      <w:r/>
    </w:p>
    <w:p>
      <w:pPr>
        <w:jc w:val="center"/>
        <w:spacing w:after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  <w:bCs/>
          <w:caps/>
          <w:sz w:val="28"/>
          <w:szCs w:val="28"/>
        </w:rPr>
      </w:r>
      <w:r>
        <w:rPr>
          <w:rFonts w:ascii="Liberation Sans" w:hAnsi="Liberation Sans" w:cs="Liberation Sans"/>
        </w:rPr>
      </w:r>
      <w:r/>
    </w:p>
    <w:p>
      <w:pPr>
        <w:jc w:val="center"/>
        <w:spacing w:after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  <w:bCs/>
          <w:caps/>
          <w:sz w:val="28"/>
          <w:szCs w:val="28"/>
        </w:rPr>
        <w:t xml:space="preserve">Отч</w:t>
      </w:r>
      <w:r>
        <w:rPr>
          <w:rFonts w:ascii="Liberation Sans" w:hAnsi="Liberation Sans" w:cs="Liberation Sans"/>
          <w:b/>
          <w:bCs/>
          <w:caps/>
          <w:sz w:val="28"/>
          <w:szCs w:val="28"/>
        </w:rPr>
        <w:t xml:space="preserve">Ё</w:t>
      </w:r>
      <w:r>
        <w:rPr>
          <w:rFonts w:ascii="Liberation Sans" w:hAnsi="Liberation Sans" w:cs="Liberation Sans"/>
          <w:b/>
          <w:bCs/>
          <w:caps/>
          <w:sz w:val="28"/>
          <w:szCs w:val="28"/>
        </w:rPr>
        <w:t xml:space="preserve">т</w:t>
      </w:r>
      <w:bookmarkEnd w:id="0"/>
      <w:r>
        <w:rPr>
          <w:rFonts w:ascii="Liberation Sans" w:hAnsi="Liberation Sans" w:cs="Liberation Sans"/>
        </w:rPr>
      </w:r>
      <w:r/>
    </w:p>
    <w:p>
      <w:pPr>
        <w:jc w:val="center"/>
        <w:spacing w:after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  <w:bCs/>
          <w:sz w:val="28"/>
          <w:szCs w:val="28"/>
        </w:rPr>
        <w:t xml:space="preserve">Главы города </w:t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Новый Уренгой </w:t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о результатах своей деятельности </w:t>
      </w:r>
      <w:r>
        <w:rPr>
          <w:rFonts w:ascii="Liberation Sans" w:hAnsi="Liberation Sans" w:cs="Liberation Sans"/>
          <w:b/>
          <w:bCs/>
          <w:sz w:val="28"/>
          <w:szCs w:val="28"/>
        </w:rPr>
        <w:br/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и деятельности Администрации города Новый Уренгой</w:t>
      </w:r>
      <w:r>
        <w:rPr>
          <w:rFonts w:ascii="Liberation Sans" w:hAnsi="Liberation Sans" w:cs="Liberation Sans"/>
        </w:rPr>
      </w:r>
      <w:r/>
    </w:p>
    <w:p>
      <w:pPr>
        <w:jc w:val="center"/>
        <w:spacing w:after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bookmarkStart w:id="0" w:name="undefined"/>
      <w:r>
        <w:rPr>
          <w:rFonts w:ascii="Liberation Sans" w:hAnsi="Liberation Sans" w:cs="Liberation Sans"/>
        </w:rPr>
      </w:r>
      <w:bookmarkStart w:id="0" w:name="undefined"/>
      <w:r>
        <w:rPr>
          <w:rFonts w:ascii="Liberation Sans" w:hAnsi="Liberation Sans" w:cs="Liberation Sans"/>
        </w:rPr>
      </w:r>
      <w:bookmarkStart w:id="0" w:name="undefined"/>
      <w:r>
        <w:rPr>
          <w:rFonts w:ascii="Liberation Sans" w:hAnsi="Liberation Sans" w:cs="Liberation Sans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  <w:t xml:space="preserve">за 20</w:t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2</w:t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3 год</w:t>
      </w:r>
      <w:bookmarkEnd w:id="0"/>
      <w:r>
        <w:rPr>
          <w:rFonts w:ascii="Liberation Sans" w:hAnsi="Liberation Sans" w:cs="Liberation Sans"/>
        </w:rPr>
      </w:r>
      <w:r/>
    </w:p>
    <w:p>
      <w:pPr>
        <w:jc w:val="center"/>
        <w:spacing w:after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  <w:bCs/>
          <w:sz w:val="28"/>
          <w:szCs w:val="28"/>
        </w:rPr>
      </w:r>
      <w:r>
        <w:rPr>
          <w:rFonts w:ascii="Liberation Sans" w:hAnsi="Liberation Sans" w:cs="Liberation Sans"/>
        </w:rPr>
      </w:r>
      <w:r/>
    </w:p>
    <w:p>
      <w:pPr>
        <w:ind w:firstLine="709"/>
        <w:jc w:val="center"/>
        <w:spacing w:after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  <w:bCs/>
          <w:sz w:val="28"/>
          <w:szCs w:val="28"/>
        </w:rPr>
      </w:r>
      <w:r>
        <w:rPr>
          <w:rFonts w:ascii="Liberation Sans" w:hAnsi="Liberation Sans" w:cs="Liberation Sans"/>
        </w:rPr>
      </w:r>
      <w:r/>
    </w:p>
    <w:p>
      <w:pPr>
        <w:ind w:firstLine="709"/>
        <w:jc w:val="right"/>
        <w:spacing w:after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  <w:bCs/>
          <w:sz w:val="28"/>
          <w:szCs w:val="28"/>
        </w:rPr>
      </w:r>
      <w:r>
        <w:rPr>
          <w:rFonts w:ascii="Liberation Sans" w:hAnsi="Liberation Sans" w:cs="Liberation Sans"/>
        </w:rPr>
      </w:r>
      <w:r/>
    </w:p>
    <w:p>
      <w:pPr>
        <w:ind w:firstLine="709"/>
        <w:jc w:val="center"/>
        <w:spacing w:after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  <w:bCs/>
          <w:sz w:val="28"/>
          <w:szCs w:val="28"/>
        </w:rPr>
      </w:r>
      <w:r>
        <w:rPr>
          <w:rFonts w:ascii="Liberation Sans" w:hAnsi="Liberation Sans" w:cs="Liberation Sans"/>
        </w:rPr>
      </w:r>
      <w:r/>
    </w:p>
    <w:p>
      <w:pPr>
        <w:ind w:firstLine="709"/>
        <w:jc w:val="center"/>
        <w:spacing w:after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  <w:bCs/>
          <w:sz w:val="28"/>
          <w:szCs w:val="28"/>
        </w:rPr>
      </w:r>
      <w:r>
        <w:rPr>
          <w:rFonts w:ascii="Liberation Sans" w:hAnsi="Liberation Sans" w:cs="Liberation Sans"/>
        </w:rPr>
      </w:r>
      <w:r/>
    </w:p>
    <w:p>
      <w:pPr>
        <w:ind w:firstLine="709"/>
        <w:jc w:val="center"/>
        <w:spacing w:after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  <w:bCs/>
          <w:sz w:val="28"/>
          <w:szCs w:val="28"/>
        </w:rPr>
      </w:r>
      <w:r>
        <w:rPr>
          <w:rFonts w:ascii="Liberation Sans" w:hAnsi="Liberation Sans" w:cs="Liberation Sans"/>
        </w:rPr>
      </w:r>
      <w:r/>
    </w:p>
    <w:p>
      <w:pPr>
        <w:ind w:firstLine="709"/>
        <w:jc w:val="center"/>
        <w:spacing w:after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/>
    </w:p>
    <w:p>
      <w:pPr>
        <w:ind w:firstLine="709"/>
        <w:jc w:val="center"/>
        <w:spacing w:after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/>
    </w:p>
    <w:p>
      <w:pPr>
        <w:ind w:firstLine="709"/>
        <w:jc w:val="center"/>
        <w:spacing w:after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/>
    </w:p>
    <w:p>
      <w:pPr>
        <w:ind w:firstLine="709"/>
        <w:jc w:val="center"/>
        <w:spacing w:after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  <w:bCs/>
          <w:sz w:val="28"/>
          <w:szCs w:val="28"/>
        </w:rPr>
      </w:r>
      <w:r>
        <w:rPr>
          <w:rFonts w:ascii="Liberation Sans" w:hAnsi="Liberation Sans" w:cs="Liberation Sans"/>
        </w:rPr>
      </w:r>
      <w:r/>
    </w:p>
    <w:p>
      <w:pPr>
        <w:ind w:firstLine="709"/>
        <w:jc w:val="center"/>
        <w:spacing w:after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  <w:bCs/>
          <w:sz w:val="28"/>
          <w:szCs w:val="28"/>
        </w:rPr>
      </w:r>
      <w:r>
        <w:rPr>
          <w:rFonts w:ascii="Liberation Sans" w:hAnsi="Liberation Sans" w:cs="Liberation Sans"/>
        </w:rPr>
      </w:r>
      <w:r/>
    </w:p>
    <w:p>
      <w:pPr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bookmarkStart w:id="0" w:name="undefined"/>
      <w:r>
        <w:rPr>
          <w:rFonts w:ascii="Liberation Sans" w:hAnsi="Liberation Sans" w:cs="Liberation Sans"/>
        </w:rPr>
      </w:r>
      <w:r/>
    </w:p>
    <w:p>
      <w:pPr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/>
    </w:p>
    <w:p>
      <w:pPr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/>
    </w:p>
    <w:p>
      <w:pPr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/>
    </w:p>
    <w:p>
      <w:pPr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/>
    </w:p>
    <w:p>
      <w:pPr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/>
    </w:p>
    <w:p>
      <w:pPr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/>
    </w:p>
    <w:p>
      <w:pPr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/>
    </w:p>
    <w:p>
      <w:pPr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/>
    </w:p>
    <w:p>
      <w:pPr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/>
    </w:p>
    <w:p>
      <w:pPr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/>
    </w:p>
    <w:p>
      <w:pPr>
        <w:jc w:val="center"/>
        <w:spacing w:after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  <w:bCs/>
          <w:sz w:val="28"/>
          <w:szCs w:val="28"/>
        </w:rPr>
        <w:t xml:space="preserve">Новый Уренгой</w:t>
      </w:r>
      <w:r>
        <w:rPr>
          <w:rFonts w:ascii="Liberation Sans" w:hAnsi="Liberation Sans" w:cs="Liberation Sans"/>
        </w:rPr>
      </w:r>
      <w:r/>
    </w:p>
    <w:p>
      <w:pPr>
        <w:jc w:val="center"/>
        <w:spacing w:after="0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b/>
          <w:bCs/>
          <w:sz w:val="28"/>
          <w:szCs w:val="28"/>
        </w:rPr>
        <w:t xml:space="preserve">20</w:t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24</w:t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 год</w:t>
      </w:r>
      <w:r>
        <w:rPr>
          <w:rFonts w:ascii="Liberation Sans" w:hAnsi="Liberation Sans" w:cs="Liberation Sans"/>
          <w:highlight w:val="none"/>
        </w:rPr>
      </w:r>
      <w:r/>
    </w:p>
    <w:p>
      <w:pPr>
        <w:pStyle w:val="1130"/>
        <w:ind w:firstLine="709"/>
        <w:jc w:val="both"/>
        <w:spacing w:before="0" w:beforeAutospacing="0" w:after="0" w:afterAutospacing="0"/>
        <w:shd w:val="clear" w:color="auto" w:fill="ffffff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</w:rPr>
      </w:r>
      <w:r/>
    </w:p>
    <w:p>
      <w:pPr>
        <w:pStyle w:val="1131"/>
        <w:ind w:left="0" w:firstLine="708"/>
        <w:jc w:val="both"/>
        <w:spacing w:after="0"/>
        <w:rPr>
          <w:rFonts w:ascii="Liberation Sans" w:hAnsi="Liberation Sans" w:cs="Liberation Sans"/>
        </w:rPr>
        <w:sectPr>
          <w:footnotePr/>
          <w:endnotePr/>
          <w:type w:val="nextPage"/>
          <w:pgSz w:w="11906" w:h="16838" w:orient="portrait"/>
          <w:pgMar w:top="964" w:right="850" w:bottom="1134" w:left="1701" w:header="709" w:footer="709" w:gutter="0"/>
          <w:pgNumType w:start="1"/>
          <w:cols w:num="1" w:sep="0" w:space="708" w:equalWidth="1"/>
          <w:docGrid w:linePitch="360"/>
          <w:titlePg/>
        </w:sect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</w:rPr>
      </w:r>
      <w:r/>
    </w:p>
    <w:sdt>
      <w:sdtPr>
        <w15:appearance w15:val="boundingBox"/>
        <w:placeholder>
          <w:docPart w:val="DefaultPlaceholder_TEXT"/>
        </w:placeholder>
        <w:docPartObj>
          <w:docPartGallery w:val="Table of Contents"/>
          <w:docPartUnique w:val="true"/>
        </w:docPartObj>
        <w:rPr>
          <w:rFonts w:ascii="Liberation Sans" w:hAnsi="Liberation Sans" w:cs="Liberation Sans"/>
          <w:highlight w:val="none"/>
        </w:rPr>
      </w:sdtPr>
      <w:sdtContent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  <w:suppressLineNumbers w:val="0"/>
          </w:pPr>
          <w:r>
            <w:rPr>
              <w:rFonts w:ascii="Liberation Sans" w:hAnsi="Liberation Sans" w:cs="Liberation Sans"/>
              <w:highlight w:val="none"/>
            </w:rPr>
          </w:r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  <w:fldChar w:fldCharType="begin"/>
            <w:instrText xml:space="preserve">TOC \o "1-9" \h </w:instrText>
            <w:fldChar w:fldCharType="separate"/>
          </w:r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hyperlink w:tooltip="#_Toc2" w:anchor="_Toc2" w:history="1">
            <w:r>
              <w:rPr>
                <w:rStyle w:val="1125"/>
                <w:rFonts w:ascii="Liberation Sans" w:hAnsi="Liberation Sans" w:cs="Liberation Sans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ВВЕДЕНИЕ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_Toc2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5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  <w14:ligatures w14:val="none"/>
            </w:rPr>
          </w:pPr>
          <w:r/>
          <w:hyperlink w:tooltip="#_Toc3" w:anchor="_Toc3" w:history="1">
            <w:r>
              <w:rPr>
                <w:rStyle w:val="1125"/>
                <w:rFonts w:ascii="Liberation Sans" w:hAnsi="Liberation Sans" w:cs="Liberation Sans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РАЗДЕЛ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  <w:lang w:val="en-US"/>
              </w:rPr>
              <w:t xml:space="preserve">I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ОСНОВНЫЕ ИТОГИ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СОЦИАЛЬНО-ЭКОНОМИЧЕСКОГО РАЗВИТИЯ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_Toc3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6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  <w14:ligatures w14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4" w:anchor="_Toc4" w:history="1"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1.1.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О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бщие индикаторы развития экономики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_Toc4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6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5" w:anchor="_Toc5" w:history="1"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1.2.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А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нализ состояния экономики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_Toc5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8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6" w:anchor="_Toc6" w:history="1">
            <w:r>
              <w:rPr>
                <w:rStyle w:val="1125"/>
                <w:rFonts w:ascii="Liberation Sans" w:hAnsi="Liberation Sans" w:cs="Liberation Sans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1.2.1.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О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борот организаций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_Toc6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8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pPr>
          <w:r/>
          <w:hyperlink w:tooltip="#_Toc7" w:anchor="_Toc7" w:history="1">
            <w:r>
              <w:rPr>
                <w:rStyle w:val="1125"/>
                <w:rFonts w:ascii="Liberation Sans" w:hAnsi="Liberation Sans" w:cs="Liberation Sans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1.2.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2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.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Промышленность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_Toc7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9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Style w:val="947"/>
              <w:rFonts w:ascii="Liberation Sans" w:hAnsi="Liberation Sans" w:cs="Liberation Sans"/>
              <w:b w:val="0"/>
              <w:bCs w:val="0"/>
              <w:sz w:val="28"/>
              <w:szCs w:val="28"/>
              <w14:ligatures w14:val="none"/>
            </w:rPr>
          </w:pPr>
          <w:r/>
          <w:hyperlink w:tooltip="#_Toc8" w:anchor="_Toc8" w:history="1">
            <w:r>
              <w:rPr>
                <w:rStyle w:val="1125"/>
                <w:rFonts w:ascii="Liberation Sans" w:hAnsi="Liberation Sans" w:cs="Liberation Sans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1.2.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3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.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Тр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анспорт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_Toc8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10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Style w:val="947"/>
              <w:rFonts w:ascii="Liberation Sans" w:hAnsi="Liberation Sans" w:cs="Liberation Sans"/>
              <w:b w:val="0"/>
              <w:bCs w:val="0"/>
              <w:sz w:val="28"/>
              <w:szCs w:val="28"/>
              <w14:ligatures w14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Style w:val="1125"/>
              <w:rFonts w:ascii="Liberation Sans" w:hAnsi="Liberation Sans" w:cs="Liberation Sans"/>
              <w:b w:val="0"/>
              <w:bCs w:val="0"/>
              <w:sz w:val="28"/>
              <w:szCs w:val="28"/>
              <w14:ligatures w14:val="none"/>
            </w:rPr>
          </w:pPr>
          <w:r>
            <w:rPr>
              <w:rStyle w:val="1125"/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hyperlink w:tooltip="#_Toc9" w:anchor="_Toc9" w:history="1"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1.2.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4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.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С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троительство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_Toc9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13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Style w:val="1125"/>
              <w:rFonts w:ascii="Liberation Sans" w:hAnsi="Liberation Sans" w:cs="Liberation Sans"/>
              <w:b w:val="0"/>
              <w:bCs w:val="0"/>
              <w:sz w:val="28"/>
              <w:szCs w:val="28"/>
              <w14:ligatures w14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pPr>
          <w:r>
            <w:rPr>
              <w:rStyle w:val="1125"/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hyperlink w:tooltip="#_Toc10" w:anchor="_Toc10" w:history="1"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1.2.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sz w:val="28"/>
                <w:szCs w:val="28"/>
                <w:highlight w:val="none"/>
              </w:rPr>
              <w:t xml:space="preserve">5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sz w:val="28"/>
                <w:szCs w:val="28"/>
                <w:highlight w:val="none"/>
              </w:rPr>
              <w:t xml:space="preserve">.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  <w:highlight w:val="none"/>
              </w:rPr>
              <w:t xml:space="preserve">Потребительский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  <w:highlight w:val="none"/>
              </w:rPr>
              <w:t xml:space="preserve">рынок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_Toc10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14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  <w14:ligatures w14:val="none"/>
            </w:rPr>
          </w:pPr>
          <w:r/>
          <w:hyperlink w:tooltip="#_Toc11" w:anchor="_Toc11" w:history="1">
            <w:r>
              <w:rPr>
                <w:rStyle w:val="1125"/>
                <w:rFonts w:ascii="Liberation Sans" w:hAnsi="Liberation Sans" w:cs="Liberation Sans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1.2.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6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  <w:highlight w:val="none"/>
              </w:rPr>
              <w:t xml:space="preserve"> Ценовая политика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_Toc11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18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  <w14:ligatures w14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  <w14:ligatures w14:val="none"/>
            </w:rPr>
          </w:pPr>
          <w:r/>
          <w:hyperlink w:tooltip="#_Toc12" w:anchor="_Toc12" w:history="1">
            <w:r>
              <w:rPr>
                <w:rStyle w:val="1125"/>
                <w:rFonts w:ascii="Liberation Sans" w:hAnsi="Liberation Sans" w:cs="Liberation Sans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1.2.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7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  <w:highlight w:val="none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  <w:highlight w:val="none"/>
              </w:rPr>
              <w:t xml:space="preserve">Финансы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_Toc12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19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  <w14:ligatures w14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i w:val="0"/>
              <w:sz w:val="28"/>
              <w:szCs w:val="28"/>
              <w14:ligatures w14:val="none"/>
            </w:rPr>
          </w:pPr>
          <w:r/>
          <w:hyperlink w:tooltip="#_Toc13" w:anchor="_Toc13" w:history="1"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1.3.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 Д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емографические показатели,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труд и занятость,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уровень жизни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_Toc13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26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i w:val="0"/>
              <w:sz w:val="28"/>
              <w:szCs w:val="28"/>
              <w14:ligatures w14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  <w14:ligatures w14:val="none"/>
            </w:rPr>
          </w:pPr>
          <w:r/>
          <w:hyperlink w:tooltip="#_Toc14" w:anchor="_Toc14" w:history="1">
            <w:r>
              <w:rPr>
                <w:rStyle w:val="1125"/>
                <w:rFonts w:ascii="Liberation Sans" w:hAnsi="Liberation Sans" w:cs="Liberation Sans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1.3.1.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Демографические показатели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_Toc14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26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  <w14:ligatures w14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pPr>
          <w:r/>
          <w:hyperlink w:tooltip="#_Toc15" w:anchor="_Toc15" w:history="1">
            <w:r>
              <w:rPr>
                <w:rStyle w:val="1125"/>
                <w:rFonts w:ascii="Liberation Sans" w:hAnsi="Liberation Sans" w:cs="Liberation Sans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1.3.2.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Труд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,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занятость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и уровень жизни населения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_Toc15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27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16" w:anchor="_Toc16" w:history="1"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1.4.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 Осуществление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за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купок товаров, работ, услуг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для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муниципальных нужд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_Toc16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30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17" w:anchor="_Toc17" w:history="1"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1.5.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 Развитие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предпринимательств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а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 Инвестиции.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Инфраструктура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,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условия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ведения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 бизнеса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_Toc17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32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26" w:anchor="_Toc26" w:history="1"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1.6.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Осуществление международных и внешнеэкономических связей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_Toc26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37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27" w:anchor="_Toc27" w:history="1"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1.7.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Специальная военная операция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_Toc27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37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28" w:anchor="_Toc28" w:history="1">
            <w:r>
              <w:rPr>
                <w:rStyle w:val="1125"/>
                <w:rFonts w:ascii="Liberation Sans" w:hAnsi="Liberation Sans" w:cs="Liberation Sans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РАЗДЕЛ II.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РЕАЛИЗАЦИЯ ВОПРОСОВ МЕСТНОГО ЗНАЧЕНИЯ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_Toc28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44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29" w:anchor="_Toc29" w:history="1"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2.1.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Муниципальное имущество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 и земельные отношения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_Toc29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44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i w:val="0"/>
              <w:sz w:val="28"/>
              <w:szCs w:val="28"/>
              <w14:ligatures w14:val="none"/>
            </w:rPr>
          </w:pPr>
          <w:r/>
          <w:hyperlink w:tooltip="#_Toc30" w:anchor="_Toc30" w:history="1"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2.2.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Строительство и архитектура,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_Toc30 \h</w:instrText>
              <w:fldChar w:fldCharType="separate"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i w:val="0"/>
              <w:sz w:val="28"/>
              <w:szCs w:val="28"/>
              <w14:ligatures w14:val="none"/>
            </w:rPr>
          </w:r>
          <w:hyperlink w:tooltip="#_Toc31" w:anchor="_Toc31" w:history="1">
            <w:r>
              <w:rPr>
                <w:rStyle w:val="1125"/>
                <w:rFonts w:ascii="Liberation Sans" w:hAnsi="Liberation Sans" w:cs="Liberation Sans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территориальное планирование муниципального образования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_Toc31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50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i w:val="0"/>
              <w:sz w:val="28"/>
              <w:szCs w:val="28"/>
              <w14:ligatures w14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32" w:anchor="_Toc32" w:history="1"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2.3.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Жилищно-коммунальное хозяйство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_Toc32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55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33" w:anchor="_Toc33" w:history="1"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2.3.1.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Ж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илищн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ый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фонд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_Toc33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55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34" w:anchor="_Toc34" w:history="1"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2.3.2.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Обеспечение граждан жилыми помещениями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_Toc34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58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35" w:anchor="_Toc35" w:history="1"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2.3.3.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Р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еализация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мероприятий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в области энергосбережения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и повышения энергетической эффективности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_Toc35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60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36" w:anchor="_Toc36" w:history="1"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2.3.4.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Организация благоустройства территории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_Toc36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61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37" w:anchor="_Toc37" w:history="1"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2.3.5.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Организация рит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уальных услуг и содержание мест захоронения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_Toc37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65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38" w:anchor="_Toc38" w:history="1"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2.3.6.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Организация в границах муниципального образования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город Новый Уренгой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электро-, тепло-, газо- и водоснабжения населения, водоотведения, снабжения населения топливом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_Toc38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66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45" w:anchor="_Toc45" w:history="1"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2.3.7.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Создание условий для массового отдыха жителей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и организация обустройства мест массового отдыха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населения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_Toc45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71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46" w:anchor="_Toc46" w:history="1"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2.4.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Дорожная деятельность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_Toc46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72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pPr>
          <w:r/>
          <w:hyperlink w:tooltip="#_Toc47" w:anchor="_Toc47" w:history="1"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2.5.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  <w:highlight w:val="none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С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о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з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дани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е условий для обеспечения жителей услугами </w:t>
              <w:br/>
              <w:t xml:space="preserve">связи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_Toc47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75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pPr>
          <w:r/>
          <w:hyperlink w:tooltip="#_Toc48" w:anchor="_Toc48" w:history="1"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2.6.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Экология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_Toc48 \h</w:instrText>
              <w:fldChar w:fldCharType="separate"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76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pPr>
          <w:r>
            <w:rPr>
              <w:rStyle w:val="1125"/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hyperlink w:tooltip="#_Toc49" w:anchor="_Toc49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2.6.1.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sz w:val="28"/>
                <w:szCs w:val="28"/>
                <w:highlight w:val="none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Организация мероприятий по охране окружающей </w:t>
              <w:br/>
              <w:t xml:space="preserve">среды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sz w:val="28"/>
                <w:szCs w:val="28"/>
                <w:highlight w:val="none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_Toc49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76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50" w:anchor="_Toc50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2.6.2.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Деятельность по обращению с животными </w:t>
              <w:br/>
              <w:t xml:space="preserve">без владельцев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_Toc50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77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51" w:anchor="_Toc51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2.6.3.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Участие в организации деятельности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по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накоплению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(в том числе по раздельному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накоплению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),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сбору,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транспортированию, обработке, утилизации, обезвреживанию,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захоронению твердых коммунальных отходов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_Toc51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78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52" w:anchor="_Toc52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2.7.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 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Социальная сфера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_Toc52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79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53" w:anchor="_Toc53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2.7.1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Образование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_Toc53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79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57" w:anchor="_Toc57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2.7.2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Культура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_Toc57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105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58" w:anchor="_Toc58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2.7.3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Ф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изическ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ая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культур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а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и массов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ый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спорт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_Toc58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114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Style w:val="947"/>
              <w:rFonts w:ascii="Liberation Sans" w:hAnsi="Liberation Sans" w:cs="Liberation Sans"/>
              <w:b w:val="0"/>
              <w:bCs w:val="0"/>
              <w:sz w:val="28"/>
              <w:szCs w:val="28"/>
              <w14:ligatures w14:val="none"/>
            </w:rPr>
          </w:pPr>
          <w:r/>
          <w:hyperlink w:tooltip="#_Toc59" w:anchor="_Toc59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2.7.4.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 Р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абот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а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 с молод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е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жью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iCs w:val="0"/>
                <w:sz w:val="28"/>
                <w:szCs w:val="28"/>
              </w:rPr>
              <w:t xml:space="preserve"> и несовершеннолетними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_Toc59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120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Style w:val="947"/>
              <w:rFonts w:ascii="Liberation Sans" w:hAnsi="Liberation Sans" w:cs="Liberation Sans"/>
              <w:b w:val="0"/>
              <w:bCs w:val="0"/>
              <w:sz w:val="28"/>
              <w:szCs w:val="28"/>
              <w14:ligatures w14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Style w:val="947"/>
              <w:rFonts w:ascii="Liberation Sans" w:hAnsi="Liberation Sans" w:cs="Liberation Sans"/>
              <w:b w:val="0"/>
              <w:bCs w:val="0"/>
              <w:sz w:val="28"/>
              <w:szCs w:val="28"/>
              <w14:ligatures w14:val="none"/>
            </w:rPr>
          </w:pPr>
          <w:r/>
          <w:hyperlink w:tooltip="#_Toc60" w:anchor="_Toc60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2.7.5.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Социальная защита населения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_Toc60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132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Style w:val="947"/>
              <w:rFonts w:ascii="Liberation Sans" w:hAnsi="Liberation Sans" w:cs="Liberation Sans"/>
              <w:b w:val="0"/>
              <w:bCs w:val="0"/>
              <w:sz w:val="28"/>
              <w:szCs w:val="28"/>
              <w14:ligatures w14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pPr>
          <w:r/>
          <w:hyperlink w:tooltip="#_Toc61" w:anchor="_Toc61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2.7.6.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Формирование доступной среды жизнедеятельности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  <w:br/>
              <w:t xml:space="preserve">для маломобильных групп населения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_Toc61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134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Style w:val="947"/>
              <w:rFonts w:ascii="Liberation Sans" w:hAnsi="Liberation Sans" w:cs="Liberation Sans"/>
              <w:b w:val="0"/>
              <w:bCs w:val="0"/>
              <w:sz w:val="28"/>
              <w:szCs w:val="28"/>
              <w14:ligatures w14:val="none"/>
            </w:rPr>
          </w:pPr>
          <w:r/>
          <w:hyperlink w:tooltip="#_Toc62" w:anchor="_Toc62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2.7.7.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sz w:val="28"/>
                <w:szCs w:val="28"/>
                <w:highlight w:val="none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Создание условий для оказания медицинской помощи населению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_Toc62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136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Style w:val="947"/>
              <w:rFonts w:ascii="Liberation Sans" w:hAnsi="Liberation Sans" w:cs="Liberation Sans"/>
              <w:b w:val="0"/>
              <w:bCs w:val="0"/>
              <w:sz w:val="28"/>
              <w:szCs w:val="28"/>
              <w14:ligatures w14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pPr>
          <w:r/>
          <w:hyperlink w:tooltip="#_Toc63" w:anchor="_Toc63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2.8.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eastAsia="Calibri" w:cs="Liberation Sans"/>
                <w:b w:val="0"/>
                <w:bCs w:val="0"/>
                <w:i w:val="0"/>
                <w:sz w:val="28"/>
                <w:szCs w:val="28"/>
                <w:highlight w:val="none"/>
              </w:rPr>
              <w:t xml:space="preserve"> </w:t>
            </w:r>
            <w:r>
              <w:rPr>
                <w:rStyle w:val="1125"/>
                <w:rFonts w:ascii="Liberation Sans" w:hAnsi="Liberation Sans" w:eastAsia="Calibri" w:cs="Liberation Sans"/>
                <w:b w:val="0"/>
                <w:bCs w:val="0"/>
                <w:sz w:val="28"/>
                <w:szCs w:val="28"/>
              </w:rPr>
              <w:t xml:space="preserve">Создание условий для развития туризма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_Toc63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138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64" w:anchor="_Toc64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2.9.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sz w:val="28"/>
                <w:szCs w:val="28"/>
              </w:rPr>
              <w:t xml:space="preserve"> 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Поддержка социально ориентированных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некоммерческих организаци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й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_Toc64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140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65" w:anchor="_Toc65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2.10.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Безопасность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_Toc65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144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66" w:anchor="_Toc66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2.10.1.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П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редупреждени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е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и ликвидаци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я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посл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едствий чрезвычайных ситуаций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_Toc66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144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67" w:anchor="_Toc67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2.10.2.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Гражданская оборона, защита населения и территории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от чрезвычайных ситуаций природного и техногенного характера,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о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беспечение первичных мер пожарной безопасности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_Toc67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144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68" w:anchor="_Toc68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2.10.3.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Д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еятельност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ь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аварийно-спасательных служб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и (или) аварийно-спасательных ф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ормирований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_Toc68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147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69" w:anchor="_Toc69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2.10.4.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О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беспечени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е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безопасности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людей на водных объектах,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охрана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их жизни и здоровья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_Toc69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147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  <w14:ligatures w14:val="none"/>
            </w:rPr>
          </w:pPr>
          <w:r/>
          <w:hyperlink w:tooltip="#_Toc70" w:anchor="_Toc70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2.10.5.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М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обилизационн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ая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подготовк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а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муниципальных предприятий и учреждений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_Toc70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149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  <w14:ligatures w14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71" w:anchor="_Toc71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2.10.6.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О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хран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а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общественного порядка, создание условий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для деятельности народных дружин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.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Деятельность административной комиссии, муниципальной инспекции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в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муниципально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м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образовани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и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город Новый Уренгой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_Toc71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149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72" w:anchor="_Toc72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2.10.7.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i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П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рофилактик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а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терроризма,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экстремизма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,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наркомании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,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алкоголизма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_Toc72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154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73" w:anchor="_Toc73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2.11.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Формирование и содержание муниципального архива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_Toc73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156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pPr>
          <w:r/>
          <w:hyperlink w:tooltip="#_Toc74" w:anchor="_Toc74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2.12.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Работа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с обращениями граждан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и обеспечение обратной связи с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населением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_Toc74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158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pPr>
          <w:r/>
          <w:hyperlink w:tooltip="#_Toc75" w:anchor="_Toc75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2.13.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Организация предоставления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государственных и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муниципальных услуг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_Toc75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161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pPr>
          <w:r/>
          <w:hyperlink w:tooltip="#_Toc76" w:anchor="_Toc76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2.14.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Осуществление мер по противодействию коррупции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_Toc76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162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pPr>
          <w:r/>
          <w:hyperlink w:tooltip="#_Toc77" w:anchor="_Toc77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2.15.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Правовое и информационное обеспечение деятельности Администрации города Новый Уренгой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_Toc77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163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pPr>
          <w:r/>
          <w:hyperlink w:tooltip="#_Toc78" w:anchor="_Toc78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2.15.1.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Приведение Устава муниципального образования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город Новый Уренгой в соответствие действующ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е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м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у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законодательств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у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_Toc78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163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pPr>
          <w:r/>
          <w:hyperlink w:tooltip="#_Toc79" w:anchor="_Toc79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2.15.2.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Организация правового обеспечения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деятельно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сти Администрации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города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_Toc79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164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pPr>
          <w:r/>
          <w:hyperlink w:tooltip="#_Toc80" w:anchor="_Toc80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2.15.3.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Представительство в судах, подготовка исков в защиту интересов муниципального образования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город Новый Уренгой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_Toc80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166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pPr>
          <w:r/>
          <w:hyperlink w:tooltip="#_Toc81" w:anchor="_Toc81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2.15.4.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Информ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ационная политика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Администрации города Новый Уренгой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_Toc81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167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pPr>
          <w:r/>
          <w:hyperlink w:tooltip="#_Toc82" w:anchor="_Toc82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2.15.5.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Социально-экономическое самочувствие жителей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_Toc82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168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r>
          <w:r/>
        </w:p>
        <w:p>
          <w:pPr>
            <w:pStyle w:val="1107"/>
            <w:ind w:firstLine="709"/>
            <w:jc w:val="both"/>
            <w:spacing w:after="0" w:afterAutospacing="0" w:line="240" w:lineRule="auto"/>
            <w:tabs>
              <w:tab w:val="right" w:pos="9355" w:leader="dot"/>
            </w:tabs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pPr>
          <w:r/>
          <w:hyperlink w:tooltip="#_Toc83" w:anchor="_Toc83" w:history="1"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2.16.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Основные задачи Администрации города Новый Уренгой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 на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очередной год и 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 xml:space="preserve">среднесрочную перспективу</w:t>
            </w:r>
            <w:r>
              <w:rPr>
                <w:rStyle w:val="1125"/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tab/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begin"/>
              <w:instrText xml:space="preserve">PAGEREF _Toc83 \h</w:instrText>
              <w:fldChar w:fldCharType="separate"/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sz w:val="28"/>
                <w:szCs w:val="28"/>
              </w:rPr>
              <w:t xml:space="preserve">170</w:t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</w:r>
            <w:r>
              <w:rPr>
                <w:rFonts w:ascii="Liberation Sans" w:hAnsi="Liberation Sans" w:cs="Liberation Sans"/>
                <w:b w:val="0"/>
                <w:bCs w:val="0"/>
                <w:sz w:val="28"/>
                <w:szCs w:val="28"/>
              </w:rPr>
              <w:fldChar w:fldCharType="end"/>
            </w:r>
          </w:hyperlink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/>
        </w:p>
        <w:p>
          <w:pPr>
            <w:jc w:val="both"/>
            <w:spacing w:after="0" w:afterAutospacing="0" w:line="240" w:lineRule="auto"/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pPr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</w:r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ascii="Liberation Sans" w:hAnsi="Liberation Sans" w:cs="Liberation Sans"/>
              <w:b w:val="0"/>
              <w:bCs w:val="0"/>
              <w:sz w:val="28"/>
              <w:szCs w:val="28"/>
              <w:highlight w:val="none"/>
            </w:rPr>
          </w:r>
          <w:r/>
        </w:p>
      </w:sdtContent>
    </w:sdt>
    <w:p>
      <w:pPr>
        <w:shd w:val="nil" w:color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highlight w:val="none"/>
        </w:rPr>
        <w:br w:type="page" w:clear="all"/>
      </w:r>
      <w:r>
        <w:rPr>
          <w:rFonts w:ascii="Liberation Sans" w:hAnsi="Liberation Sans" w:cs="Liberation Sans"/>
          <w:highlight w:val="none"/>
        </w:rPr>
      </w:r>
      <w:r/>
    </w:p>
    <w:p>
      <w:pPr>
        <w:pStyle w:val="942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highlight w:val="none"/>
        </w:rPr>
      </w:pPr>
      <w:r/>
      <w:bookmarkStart w:id="2" w:name="_Toc2"/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 w:val="0"/>
          <w:bCs w:val="0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  <w:t xml:space="preserve">ВВЕДЕНИЕ</w:t>
      </w:r>
      <w:bookmarkEnd w:id="0"/>
      <w:r/>
      <w:bookmarkEnd w:id="2"/>
      <w:r>
        <w:rPr>
          <w:rFonts w:ascii="Liberation Sans" w:hAnsi="Liberation Sans" w:cs="Liberation Sans"/>
          <w:highlight w:val="none"/>
        </w:rPr>
      </w:r>
      <w:r/>
    </w:p>
    <w:p>
      <w:pPr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widowControl w:val="off"/>
        <w:rPr>
          <w:rFonts w:ascii="Liberation Sans" w:hAnsi="Liberation Sans" w:cs="Liberation Sans"/>
          <w:color w:val="000000"/>
          <w:highlight w:val="none"/>
        </w:rPr>
      </w:pPr>
      <w:r>
        <w:rPr>
          <w:rFonts w:ascii="Liberation Sans" w:hAnsi="Liberation Sans" w:cs="Liberation Sans"/>
          <w:highlight w:val="none"/>
        </w:rPr>
      </w:r>
      <w:bookmarkStart w:id="0" w:name="undefined"/>
      <w:r>
        <w:rPr>
          <w:rFonts w:ascii="Liberation Sans" w:hAnsi="Liberation Sans" w:cs="Liberation Sans"/>
          <w:highlight w:val="none"/>
        </w:rPr>
      </w:r>
      <w:bookmarkStart w:id="0" w:name="undefined"/>
      <w:r>
        <w:rPr>
          <w:rFonts w:ascii="Liberation Sans" w:hAnsi="Liberation Sans" w:cs="Liberation Sans"/>
          <w:highlight w:val="none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Настоящий отчет подготовлен в соответствии с Федеральным законом Российской Федерации от 06.10.2003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№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131-ФЗ «Об общих принципах организации местного самоуправления в Российской Федерации», Уставом муниципального образования город Новый Уренгой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(далее - муниципальное образование, город, г. Новый Уренгой, Новый Уренгой)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 содержит информацию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 результатах деятельности Главы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города Новый Уренгой и деятельности Админи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страции города Новый Уренгой за 2023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год.</w:t>
      </w:r>
      <w:r>
        <w:rPr>
          <w:rFonts w:ascii="Liberation Sans" w:hAnsi="Liberation Sans" w:cs="Liberation Sans"/>
          <w:color w:val="000000"/>
          <w:highlight w:val="none"/>
        </w:rPr>
      </w:r>
      <w:r/>
    </w:p>
    <w:p>
      <w:pPr>
        <w:pStyle w:val="1130"/>
        <w:ind w:firstLine="709"/>
        <w:jc w:val="both"/>
        <w:spacing w:before="0" w:beforeAutospacing="0" w:after="0" w:afterAutospacing="0"/>
        <w:shd w:val="clear" w:color="auto" w:fill="ffffff"/>
        <w:rPr>
          <w:color w:val="000000" w:themeColor="text1"/>
          <w:highlight w:val="none"/>
        </w:rPr>
      </w:pP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Приоритетные направления в работе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Главы города Новый Уренгой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(далее - Глава города)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Администрации города Новый Уренгой (далее - Администрация города) определены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 в стратегии социально-экономического развития муниципального образования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, обусловлены достижением целей и решением задач,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обозначенных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Президентом Российской Федерации, Губернатором Ямало-Ненецкого автономного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округа 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(далее - автономный округ, ЯНАО)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решением вопросов, поставленных Городской Думой муниципального образования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город Новый Уренгой (далее - Городская Дума)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по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ступившими в адрес Главы города и Администрации города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предложени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ями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 и обращени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ями граждан и их объединений.</w:t>
      </w:r>
      <w:r>
        <w:rPr>
          <w:color w:val="000000" w:themeColor="text1"/>
          <w:highlight w:val="none"/>
        </w:rPr>
      </w:r>
      <w:r/>
    </w:p>
    <w:p>
      <w:pPr>
        <w:pStyle w:val="1130"/>
        <w:ind w:firstLine="709"/>
        <w:jc w:val="both"/>
        <w:spacing w:before="0" w:beforeAutospacing="0" w:after="0" w:afterAutospacing="0"/>
        <w:shd w:val="clear" w:color="auto" w:fill="ffffff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В 202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3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году при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орит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етными в деятельности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Главы города и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Администрации города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являлись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 следующие направ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ления: 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строительство и ремонт объектов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социальной сферы,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улучшение жилищных условий граждан,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 развитие дорожной и транспортной инфраструктуры,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благоустройство городской среды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 поддержка предпринимательства,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экология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безопасность.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1130"/>
        <w:ind w:firstLine="709"/>
        <w:jc w:val="both"/>
        <w:spacing w:before="0" w:beforeAutospacing="0" w:after="0" w:afterAutospacing="0"/>
        <w:shd w:val="clear" w:color="auto" w:fill="ffffff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 особом контроле находились вопросы, связанные с оказанием поддержки участникам специальной военной операции и их семьям.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pStyle w:val="1130"/>
        <w:contextualSpacing w:val="0"/>
        <w:ind w:firstLine="709"/>
        <w:jc w:val="both"/>
        <w:spacing w:before="0" w:beforeAutospacing="0" w:after="0" w:afterAutospacing="0"/>
        <w:shd w:val="clear" w:color="auto" w:fill="ffffff"/>
        <w:rPr>
          <w:rFonts w:ascii="Liberation Sans" w:hAnsi="Liberation Sans" w:cs="Liberation Sans"/>
          <w:color w:val="000000" w:themeColor="text1"/>
          <w:spacing w:val="-6"/>
          <w:highlight w:val="none"/>
        </w:rPr>
        <w:suppressLineNumbers w:val="0"/>
      </w:pP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Продолжена реализация 13 муниципальных программ, направленных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 на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благоустройство городской среды,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улучшение жилищных условий граждан, развитие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сфер образования, спорта,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культуры,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молодежной политики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адресную социальную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 поддержку отдельных категорий граждан,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профилактику терроризма, экстремизма, </w:t>
      </w:r>
      <w:r>
        <w:rPr>
          <w:rFonts w:ascii="Liberation Sans" w:hAnsi="Liberation Sans" w:cs="Liberation Sans"/>
          <w:bCs/>
          <w:color w:val="000000" w:themeColor="text1"/>
          <w:spacing w:val="-6"/>
          <w:sz w:val="28"/>
          <w:szCs w:val="28"/>
          <w:highlight w:val="none"/>
        </w:rPr>
        <w:t xml:space="preserve">правонарушений, развитие малого и </w:t>
      </w:r>
      <w:r>
        <w:rPr>
          <w:rFonts w:ascii="Liberation Sans" w:hAnsi="Liberation Sans" w:cs="Liberation Sans"/>
          <w:bCs/>
          <w:color w:val="000000" w:themeColor="text1"/>
          <w:spacing w:val="-6"/>
          <w:sz w:val="28"/>
          <w:szCs w:val="28"/>
          <w:highlight w:val="none"/>
        </w:rPr>
        <w:t xml:space="preserve">среднего предпринимательства и пр</w:t>
      </w:r>
      <w:r>
        <w:rPr>
          <w:rFonts w:ascii="Liberation Sans" w:hAnsi="Liberation Sans" w:cs="Liberation Sans"/>
          <w:bCs/>
          <w:color w:val="000000" w:themeColor="text1"/>
          <w:spacing w:val="-6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pacing w:val="-6"/>
          <w:highlight w:val="none"/>
        </w:rPr>
      </w:r>
      <w:r/>
    </w:p>
    <w:p>
      <w:pPr>
        <w:ind w:firstLine="709"/>
        <w:jc w:val="both"/>
        <w:spacing w:after="0" w:line="240" w:lineRule="auto"/>
        <w:widowControl w:val="off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Муниципальное образование приняло участие в реализации </w:t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7 региональных проектов в рамках 7 национальных 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роектов - «Жильё и городская среда», «Демография», «Образование», «Культура», 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Цифровая экономика», «Безопасные и качественные автомобильные дороги»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«Производительность труда».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spacing w:after="0" w:afterAutospacing="0" w:line="240" w:lineRule="auto"/>
        <w:shd w:val="nil" w:color="000000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spacing w:after="0" w:afterAutospacing="0" w:line="240" w:lineRule="auto"/>
        <w:shd w:val="nil" w:color="000000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spacing w:after="0" w:afterAutospacing="0" w:line="240" w:lineRule="auto"/>
        <w:shd w:val="nil" w:color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spacing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spacing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spacing w:after="0" w:afterAutospacing="0" w:line="283" w:lineRule="atLeast"/>
        <w:rPr>
          <w:rFonts w:ascii="Liberation Sans" w:hAnsi="Liberation Sans" w:cs="Liberation Sans"/>
        </w:rPr>
        <w:sectPr>
          <w:footnotePr/>
          <w:endnotePr/>
          <w:type w:val="nextPage"/>
          <w:pgSz w:w="11906" w:h="16838" w:orient="portrait"/>
          <w:pgMar w:top="964" w:right="850" w:bottom="1134" w:left="1701" w:header="709" w:footer="709" w:gutter="0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/>
    </w:p>
    <w:p>
      <w:pPr>
        <w:pStyle w:val="942"/>
        <w:jc w:val="center"/>
        <w:spacing w:before="0" w:beforeAutospacing="0" w:after="0" w:afterAutospacing="0" w:line="240" w:lineRule="auto"/>
        <w:rPr>
          <w:sz w:val="28"/>
          <w:szCs w:val="28"/>
          <w14:ligatures w14:val="none"/>
        </w:rPr>
      </w:pPr>
      <w:r/>
      <w:bookmarkStart w:id="3" w:name="_Toc3"/>
      <w:r>
        <w:rPr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  <w:t xml:space="preserve">РАЗДЕЛ </w:t>
      </w:r>
      <w:r>
        <w:rPr>
          <w:rFonts w:ascii="Liberation Sans" w:hAnsi="Liberation Sans" w:cs="Liberation Sans"/>
          <w:b/>
          <w:bCs/>
          <w:sz w:val="28"/>
          <w:szCs w:val="28"/>
          <w:lang w:val="en-US"/>
        </w:rPr>
        <w:t xml:space="preserve">I</w:t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. ОСНОВНЫЕ ИТОГИ </w:t>
      </w:r>
      <w:r>
        <w:rPr>
          <w:rFonts w:ascii="Liberation Sans" w:hAnsi="Liberation Sans" w:cs="Liberation Sans"/>
          <w:b/>
          <w:bCs/>
          <w:sz w:val="28"/>
          <w:szCs w:val="28"/>
        </w:rPr>
        <w:br/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СОЦИАЛЬНО-ЭКОНОМИЧЕСКОГО РАЗВИТИЯ</w:t>
      </w:r>
      <w:bookmarkEnd w:id="0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</w:r>
      <w:bookmarkEnd w:id="3"/>
      <w:r>
        <w:rPr>
          <w:sz w:val="28"/>
          <w:szCs w:val="28"/>
          <w14:ligatures w14:val="none"/>
        </w:rPr>
      </w:r>
      <w:r/>
    </w:p>
    <w:p>
      <w:pPr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46"/>
        <w:numPr>
          <w:ilvl w:val="1"/>
          <w:numId w:val="1"/>
        </w:numPr>
        <w:ind w:lef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b/>
          <w:bCs/>
          <w:sz w:val="28"/>
          <w:szCs w:val="28"/>
        </w:rPr>
      </w:pPr>
      <w:r/>
      <w:bookmarkStart w:id="4" w:name="_Toc4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Общие индикаторы развития экономики</w:t>
      </w:r>
      <w:bookmarkEnd w:id="0"/>
      <w:r>
        <w:rPr>
          <w:sz w:val="28"/>
          <w:szCs w:val="28"/>
        </w:rPr>
      </w:r>
      <w:bookmarkEnd w:id="4"/>
      <w:r>
        <w:rPr>
          <w:rFonts w:ascii="Liberation Sans" w:hAnsi="Liberation Sans" w:cs="Liberation Sans"/>
          <w:b/>
          <w:bCs/>
          <w:sz w:val="28"/>
          <w:szCs w:val="28"/>
        </w:rPr>
      </w:r>
      <w:r/>
    </w:p>
    <w:p>
      <w:pPr>
        <w:ind w:firstLine="567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567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Основные показатели социально-экономического развития муниципального образования приведены </w:t>
        <w:br/>
      </w:r>
      <w:r>
        <w:rPr>
          <w:rFonts w:ascii="Liberation Sans" w:hAnsi="Liberation Sans" w:cs="Liberation Sans"/>
          <w:sz w:val="28"/>
          <w:szCs w:val="28"/>
        </w:rPr>
        <w:t xml:space="preserve">в таблице 1.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21"/>
        <w:ind w:left="-142"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21"/>
        <w:ind w:firstLine="284"/>
        <w:jc w:val="right"/>
        <w:rPr>
          <w:rFonts w:ascii="Liberation Sans" w:hAnsi="Liberation Sans" w:cs="Liberation Sans"/>
          <w:sz w:val="22"/>
          <w:szCs w:val="22"/>
        </w:rPr>
      </w:pPr>
      <w:r>
        <w:rPr>
          <w:rFonts w:ascii="Liberation Sans" w:hAnsi="Liberation Sans" w:cs="Liberation Sans"/>
          <w:sz w:val="28"/>
          <w:szCs w:val="28"/>
        </w:rPr>
        <w:t xml:space="preserve">Таблица 1</w:t>
      </w:r>
      <w:r>
        <w:rPr>
          <w:rFonts w:ascii="Liberation Sans" w:hAnsi="Liberation Sans" w:cs="Liberation Sans"/>
          <w:sz w:val="22"/>
          <w:szCs w:val="22"/>
        </w:rPr>
      </w:r>
      <w:r/>
    </w:p>
    <w:tbl>
      <w:tblPr>
        <w:tblW w:w="14740" w:type="dxa"/>
        <w:tblInd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5"/>
        <w:gridCol w:w="1276"/>
        <w:gridCol w:w="1559"/>
        <w:gridCol w:w="1417"/>
        <w:gridCol w:w="1559"/>
        <w:gridCol w:w="1559"/>
        <w:gridCol w:w="1843"/>
        <w:gridCol w:w="1843"/>
      </w:tblGrid>
      <w:tr>
        <w:trPr>
          <w:trHeight w:val="317"/>
          <w:tblHeader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39" w:type="dxa"/>
              <w:top w:w="11" w:type="dxa"/>
              <w:right w:w="39" w:type="dxa"/>
              <w:bottom w:w="0" w:type="dxa"/>
            </w:tcMar>
            <w:tcW w:w="3685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Наименование показателя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2020 год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факт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2021 год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факт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2022 год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факт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2023 год 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оценка*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2023 год факт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2023 год (факт) 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к 2023 году (оценка), %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2023 год (факт) 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br/>
              <w:t xml:space="preserve">к 2022 году (факт), %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</w:tr>
      <w:tr>
        <w:trPr>
          <w:trHeight w:val="280"/>
          <w:tblHeader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39" w:type="dxa"/>
              <w:top w:w="11" w:type="dxa"/>
              <w:right w:w="39" w:type="dxa"/>
              <w:bottom w:w="0" w:type="dxa"/>
            </w:tcMar>
            <w:tcW w:w="3685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1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2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3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4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5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6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7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8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</w:tr>
      <w:tr>
        <w:trPr>
          <w:trHeight w:val="324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39" w:type="dxa"/>
              <w:top w:w="11" w:type="dxa"/>
              <w:right w:w="39" w:type="dxa"/>
              <w:bottom w:w="0" w:type="dxa"/>
            </w:tcMar>
            <w:tcW w:w="3685" w:type="dxa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Среднегодовая численность постоянного населения, человек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118 074</w:t>
            </w:r>
            <w:r>
              <w:rPr>
                <w:rFonts w:ascii="Liberation Sans" w:hAnsi="Liberation Sans" w:cs="Liberation Sans"/>
                <w:color w:val="000000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118 391</w:t>
            </w:r>
            <w:r>
              <w:rPr>
                <w:rFonts w:ascii="Liberation Sans" w:hAnsi="Liberation Sans" w:cs="Liberation Sans"/>
                <w:color w:val="000000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106 943</w:t>
            </w:r>
            <w:r>
              <w:rPr>
                <w:rFonts w:ascii="Liberation Sans" w:hAnsi="Liberation Sans" w:cs="Liberation Sans"/>
                <w:color w:val="000000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eastAsia="Liberation Serif" w:cs="Liberation Sans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107 092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106 827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99,8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99,9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</w:tr>
      <w:tr>
        <w:trPr>
          <w:trHeight w:val="573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39" w:type="dxa"/>
              <w:top w:w="11" w:type="dxa"/>
              <w:right w:w="39" w:type="dxa"/>
              <w:bottom w:w="0" w:type="dxa"/>
            </w:tcMar>
            <w:tcW w:w="3685" w:type="dxa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Среднемесячная номинальная начисленная заработная плата одного работника в орг</w:t>
            </w: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анизациях (без субъектов малого предпринимательства) </w:t>
            </w: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(далее - среднемесячная </w:t>
            </w: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заработная</w:t>
            </w: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 </w:t>
            </w: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плата)</w:t>
            </w: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, руб. 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122 734,8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127 097,7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147 973,0**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eastAsia="Liberation Serif" w:cs="Liberation Sans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155 624,6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eastAsia="Liberation Serif" w:cs="Liberation Sans"/>
                <w:b w:val="0"/>
                <w:bCs w:val="0"/>
                <w:i w:val="0"/>
                <w:iC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158 311,3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101,7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107,0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</w:tr>
      <w:tr>
        <w:trPr>
          <w:trHeight w:val="293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39" w:type="dxa"/>
              <w:top w:w="11" w:type="dxa"/>
              <w:right w:w="39" w:type="dxa"/>
              <w:bottom w:w="0" w:type="dxa"/>
            </w:tcMar>
            <w:tcW w:w="3685" w:type="dxa"/>
            <w:vMerge w:val="restart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Среднесписочная численность </w:t>
            </w: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работников в организациях </w:t>
              <w:br/>
              <w:t xml:space="preserve">(без субъектов малого предпринимательства)</w:t>
            </w: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 </w:t>
            </w: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(далее - </w:t>
            </w: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среднесписочная численность работников</w:t>
            </w: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)</w:t>
            </w: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, человек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276" w:type="dxa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59 708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60 037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417" w:type="dxa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63 488**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eastAsia="Liberation Serif" w:cs="Liberation Sans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65 081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68 042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104,5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107,2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</w:tr>
      <w:tr>
        <w:trPr>
          <w:trHeight w:val="293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39" w:type="dxa"/>
              <w:top w:w="11" w:type="dxa"/>
              <w:right w:w="39" w:type="dxa"/>
              <w:bottom w:w="0" w:type="dxa"/>
            </w:tcMar>
            <w:tcW w:w="3685" w:type="dxa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Уровень официально зарегистрированной безработицы, % 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1,9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0,3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0,2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eastAsia="Liberation Serif" w:cs="Liberation Sans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0,1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0,1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-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-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</w:tr>
      <w:tr>
        <w:trPr>
          <w:trHeight w:val="853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39" w:type="dxa"/>
              <w:top w:w="11" w:type="dxa"/>
              <w:right w:w="39" w:type="dxa"/>
              <w:bottom w:w="0" w:type="dxa"/>
            </w:tcMar>
            <w:tcW w:w="3685" w:type="dxa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14:ligatures w14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Объем отгруженных товаров собственного производства, выполненных работ и услуг собственными силами организаций (без субъектов малого предпринимательства) по отдельным видам экономической деятельности </w:t>
            </w: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(далее - объем отгруженной промышленной продукции)</w:t>
            </w: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, млн руб.</w:t>
            </w:r>
            <w:r>
              <w:rPr>
                <w:rFonts w:ascii="Liberation Sans" w:hAnsi="Liberation Sans" w:cs="Liberation Sans"/>
                <w:sz w:val="24"/>
                <w:szCs w:val="24"/>
                <w14:ligatures w14:val="none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46 826,4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57 088,8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66 609,1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eastAsia="Liberation Serif" w:cs="Liberation Sans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70 379,4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67 922,9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96,5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102,0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</w:tr>
      <w:tr>
        <w:trPr>
          <w:trHeight w:val="853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39" w:type="dxa"/>
              <w:top w:w="11" w:type="dxa"/>
              <w:right w:w="39" w:type="dxa"/>
              <w:bottom w:w="0" w:type="dxa"/>
            </w:tcMar>
            <w:tcW w:w="3685" w:type="dxa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14:ligatures w14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Объем строительных работ, выполненных собственными силами организаций (без субъектов малого </w:t>
            </w: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предпринимательства) по виду деятельности «строительство» </w:t>
            </w: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 (далее - объем строительных работ),</w:t>
            </w: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 млн руб. </w:t>
            </w:r>
            <w:r>
              <w:rPr>
                <w:rFonts w:ascii="Liberation Sans" w:hAnsi="Liberation Sans" w:cs="Liberation Sans"/>
                <w:sz w:val="24"/>
                <w:szCs w:val="24"/>
                <w14:ligatures w14:val="none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19 620,9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38 510,8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32 351,2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eastAsia="Liberation Serif" w:cs="Liberation Sans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33 904,1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57 266,7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168,9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177,0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</w:tr>
      <w:tr>
        <w:trPr>
          <w:trHeight w:val="226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39" w:type="dxa"/>
              <w:top w:w="11" w:type="dxa"/>
              <w:right w:w="39" w:type="dxa"/>
              <w:bottom w:w="0" w:type="dxa"/>
            </w:tcMar>
            <w:tcW w:w="3685" w:type="dxa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Ввод в действие жилых домов, </w:t>
              <w:br/>
              <w:t xml:space="preserve">тыс. кв. м 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50,1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70,6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41,3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eastAsia="Liberation Serif" w:cs="Liberation Sans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98,9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108,4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109,6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262,4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</w:tr>
      <w:tr>
        <w:trPr>
          <w:trHeight w:val="323"/>
        </w:trPr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39" w:type="dxa"/>
              <w:top w:w="11" w:type="dxa"/>
              <w:right w:w="39" w:type="dxa"/>
              <w:bottom w:w="0" w:type="dxa"/>
            </w:tcMar>
            <w:tcW w:w="3685" w:type="dxa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color w:val="auto"/>
                <w:sz w:val="24"/>
                <w:szCs w:val="24"/>
                <w14:ligatures w14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</w:rPr>
              <w:t xml:space="preserve">Инвестиции в основной капитал организаций 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</w:rPr>
              <w:t xml:space="preserve">(без субъектов м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</w:rPr>
              <w:t xml:space="preserve">алого предпринимательства) 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</w:rPr>
              <w:t xml:space="preserve">(далее - объем инвестиций)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</w:rPr>
              <w:t xml:space="preserve">,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</w:rPr>
              <w:t xml:space="preserve"> млн руб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</w:rPr>
              <w:t xml:space="preserve">.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  <w14:ligatures w14:val="none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37 589,4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54 255,8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41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68 754,6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**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>
              <w:rPr>
                <w:rFonts w:ascii="Liberation Sans" w:hAnsi="Liberation Sans" w:eastAsia="Liberation Serif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52 971,7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eastAsia="Liberation Serif" w:cs="Liberation Sans"/>
                <w:b w:val="0"/>
                <w:bCs w:val="0"/>
                <w:i w:val="0"/>
                <w:iCs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46 301,3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87,4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67,3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</w:tr>
    </w:tbl>
    <w:p>
      <w:pPr>
        <w:ind w:left="0" w:firstLine="0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/>
    </w:p>
    <w:p>
      <w:pPr>
        <w:ind w:left="0" w:firstLine="0"/>
        <w:jc w:val="both"/>
        <w:spacing w:after="0" w:line="240" w:lineRule="auto"/>
        <w:rPr>
          <w:rFonts w:ascii="Liberation Sans" w:hAnsi="Liberation Sans" w:cs="Liberation Sans"/>
          <w:sz w:val="20"/>
          <w:szCs w:val="20"/>
        </w:rPr>
      </w:pPr>
      <w:r>
        <w:rPr>
          <w:rFonts w:ascii="Liberation Sans" w:hAnsi="Liberation Sans" w:cs="Liberation Sans"/>
          <w:sz w:val="20"/>
          <w:szCs w:val="20"/>
        </w:rPr>
        <w:t xml:space="preserve">*В соответствии с </w:t>
      </w:r>
      <w:r>
        <w:rPr>
          <w:rFonts w:ascii="Liberation Sans" w:hAnsi="Liberation Sans" w:eastAsia="Liberation Serif" w:cs="Liberation Sans"/>
          <w:i w:val="0"/>
          <w:sz w:val="20"/>
          <w:szCs w:val="20"/>
          <w:highlight w:val="none"/>
        </w:rPr>
        <w:t xml:space="preserve">прогнозом социально-экономического развития муниципального образования город Новый Уренгой на 2024-2026 годы, утвержденным распоряжением Администрации города Новый Уренгой от 13.11.2023 № 2247-р</w:t>
      </w:r>
      <w:r>
        <w:rPr>
          <w:sz w:val="20"/>
          <w:szCs w:val="20"/>
        </w:rPr>
        <w:t xml:space="preserve">.</w:t>
      </w:r>
      <w:r>
        <w:rPr>
          <w:rFonts w:ascii="Liberation Sans" w:hAnsi="Liberation Sans" w:cs="Liberation Sans"/>
          <w:sz w:val="20"/>
          <w:szCs w:val="20"/>
        </w:rPr>
      </w:r>
      <w:r/>
    </w:p>
    <w:p>
      <w:pPr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0"/>
          <w:szCs w:val="20"/>
        </w:rPr>
        <w:t xml:space="preserve">**Уточнено</w:t>
      </w:r>
      <w:r>
        <w:rPr>
          <w:rFonts w:ascii="Liberation Sans" w:hAnsi="Liberation Sans" w:cs="Liberation Sans"/>
        </w:rPr>
        <w:t xml:space="preserve">.</w:t>
      </w:r>
      <w:r>
        <w:rPr>
          <w:rFonts w:ascii="Liberation Sans" w:hAnsi="Liberation Sans" w:cs="Liberation Sans"/>
        </w:rPr>
      </w:r>
      <w:r/>
    </w:p>
    <w:p>
      <w:pPr>
        <w:shd w:val="nil" w:color="auto"/>
        <w:rPr>
          <w:rFonts w:ascii="Liberation Sans" w:hAnsi="Liberation Sans" w:cs="Liberation Sans"/>
        </w:rPr>
        <w:sectPr>
          <w:footnotePr/>
          <w:endnotePr/>
          <w:type w:val="nextPage"/>
          <w:pgSz w:w="16838" w:h="11906" w:orient="landscape"/>
          <w:pgMar w:top="1701" w:right="964" w:bottom="850" w:left="1134" w:header="709" w:footer="709" w:gutter="0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pacing w:val="2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Показатели социально-экономического развития муниципального образования за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2023 год по отношению к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2022 году характеризуются положительной динамикой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по объемам ввода в действие жилых домов (+в 2,6 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аза),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строительных работ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(+1,8 раза),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отгруженной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промышленной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родукции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(+2%),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росту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среднемесячной заработной платы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(+7%),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среднесписочной численност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работников (+7,2%), </w:t>
      </w:r>
      <w:r>
        <w:rPr>
          <w:rFonts w:ascii="Liberation Sans" w:hAnsi="Liberation Sans" w:cs="Liberation Sans"/>
          <w:color w:val="000000" w:themeColor="text1"/>
          <w:spacing w:val="2"/>
          <w:sz w:val="28"/>
          <w:szCs w:val="28"/>
          <w:highlight w:val="none"/>
        </w:rPr>
        <w:t xml:space="preserve">снижению уровня официально зарегистрированной безработицы</w:t>
      </w:r>
      <w:r>
        <w:rPr>
          <w:color w:val="000000" w:themeColor="text1"/>
          <w:highlight w:val="none"/>
        </w:rPr>
        <w:t xml:space="preserve">. </w:t>
      </w:r>
      <w:r>
        <w:rPr>
          <w:rFonts w:ascii="Liberation Sans" w:hAnsi="Liberation Sans" w:cs="Liberation Sans"/>
          <w:color w:val="000000" w:themeColor="text1"/>
          <w:spacing w:val="2"/>
          <w:sz w:val="28"/>
          <w:szCs w:val="28"/>
          <w:highlight w:val="none"/>
        </w:rPr>
        <w:t xml:space="preserve">Вместе с тем </w:t>
      </w:r>
      <w:r>
        <w:rPr>
          <w:rFonts w:ascii="Liberation Sans" w:hAnsi="Liberation Sans" w:cs="Liberation Sans"/>
          <w:color w:val="000000" w:themeColor="text1"/>
          <w:spacing w:val="2"/>
          <w:sz w:val="28"/>
          <w:szCs w:val="28"/>
          <w:highlight w:val="none"/>
        </w:rPr>
        <w:t xml:space="preserve">отмечена</w:t>
      </w:r>
      <w:r>
        <w:rPr>
          <w:rFonts w:ascii="Liberation Sans" w:hAnsi="Liberation Sans" w:cs="Liberation Sans"/>
          <w:color w:val="000000" w:themeColor="text1"/>
          <w:spacing w:val="2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pacing w:val="2"/>
          <w:sz w:val="28"/>
          <w:szCs w:val="28"/>
          <w:highlight w:val="none"/>
        </w:rPr>
        <w:t xml:space="preserve">отрицательная </w:t>
      </w:r>
      <w:r>
        <w:rPr>
          <w:rFonts w:ascii="Liberation Sans" w:hAnsi="Liberation Sans" w:cs="Liberation Sans"/>
          <w:color w:val="000000" w:themeColor="text1"/>
          <w:spacing w:val="2"/>
          <w:sz w:val="28"/>
          <w:szCs w:val="28"/>
          <w:highlight w:val="none"/>
        </w:rPr>
        <w:t xml:space="preserve">динамика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объему инвестиций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(-32,7%).</w:t>
      </w:r>
      <w:r>
        <w:rPr>
          <w:rFonts w:ascii="Liberation Sans" w:hAnsi="Liberation Sans" w:cs="Liberation Sans"/>
          <w:color w:val="000000" w:themeColor="text1"/>
          <w:spacing w:val="2"/>
          <w:sz w:val="28"/>
          <w:szCs w:val="28"/>
          <w:highlight w:val="none"/>
        </w:rPr>
      </w:r>
      <w:r/>
    </w:p>
    <w:p>
      <w:pPr>
        <w:pStyle w:val="1121"/>
        <w:ind w:firstLine="709"/>
        <w:jc w:val="both"/>
        <w:spacing w:line="240" w:lineRule="auto"/>
        <w:rPr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Несмотря на непростую обстанов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ку в России из-за введения международных финансово-экономических санкций в отношении российской экономики, организации, осуществляющие деятельность на территории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муниципального образования, находят пути и возможности для обеспечения стабильной деятельности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pStyle w:val="1121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46"/>
        <w:numPr>
          <w:ilvl w:val="1"/>
          <w:numId w:val="1"/>
        </w:numPr>
        <w:ind w:left="0" w:firstLine="0"/>
        <w:jc w:val="center"/>
        <w:spacing w:before="0" w:beforeAutospacing="0" w:after="0" w:afterAutospacing="0" w:line="240" w:lineRule="auto"/>
        <w:tabs>
          <w:tab w:val="left" w:pos="426" w:leader="none"/>
        </w:tabs>
        <w:rPr>
          <w:rFonts w:ascii="Liberation Sans" w:hAnsi="Liberation Sans" w:cs="Liberation Sans"/>
          <w:b/>
          <w:bCs/>
          <w:sz w:val="28"/>
          <w:szCs w:val="28"/>
        </w:rPr>
      </w:pPr>
      <w:r/>
      <w:bookmarkStart w:id="5" w:name="_Toc5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 </w:t>
      </w:r>
      <w:bookmarkStart w:id="0" w:name="undefined"/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Анализ состояния экономики</w:t>
      </w:r>
      <w:bookmarkEnd w:id="0"/>
      <w:r>
        <w:rPr>
          <w:sz w:val="28"/>
          <w:szCs w:val="28"/>
        </w:rPr>
      </w:r>
      <w:bookmarkEnd w:id="5"/>
      <w:r>
        <w:rPr>
          <w:rFonts w:ascii="Liberation Sans" w:hAnsi="Liberation Sans" w:cs="Liberation Sans"/>
          <w:b/>
          <w:bCs/>
          <w:sz w:val="28"/>
          <w:szCs w:val="28"/>
        </w:rPr>
      </w:r>
      <w:r/>
    </w:p>
    <w:p>
      <w:pPr>
        <w:spacing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46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/>
      <w:bookmarkStart w:id="6" w:name="_Toc6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sz w:val="28"/>
          <w:szCs w:val="28"/>
        </w:rPr>
        <w:t xml:space="preserve">1.2.1. </w:t>
      </w:r>
      <w:bookmarkEnd w:id="0"/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Оборот организаций</w:t>
      </w:r>
      <w:r>
        <w:rPr>
          <w:sz w:val="28"/>
          <w:szCs w:val="28"/>
        </w:rPr>
      </w:r>
      <w:bookmarkEnd w:id="6"/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31"/>
        <w:ind w:left="0"/>
        <w:jc w:val="both"/>
        <w:spacing w:before="0" w:beforeAutospacing="0" w:after="0" w:afterAutospacing="0" w:line="240" w:lineRule="auto"/>
        <w:widowControl w:val="off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году оборот организаций (без субъектов малого пред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принимательства) по видам экономической деятельности (далее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- оборот организаций) соста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вил 261 425,6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млн руб., что на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24,1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больше, </w:t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чем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году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Значительный рост оборота организаций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 сравнению </w:t>
        <w:br/>
        <w:t xml:space="preserve">с 2022 годом произошел по следующим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видам деятельности: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ятельность гостиниц и предприятий об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щественного питания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  <w:br/>
        <w:t xml:space="preserve">(+1,9 раза),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деятельность в области информации и связ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(+ в 1,7 раза),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деятель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сть административная и сопутствующие дополнительные услуги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(+ в 1,7 раза)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строительство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(+ в 1,6 раза)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18"/>
          <w:szCs w:val="18"/>
          <w:highlight w:val="none"/>
        </w:rPr>
        <w:drawing>
          <wp:inline distT="0" distB="0" distL="0" distR="0">
            <wp:extent cx="5362567" cy="1685916"/>
            <wp:effectExtent l="3175" t="3175" r="3175" b="3175"/>
            <wp:docPr id="2" name="Диаграмма 16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rFonts w:ascii="Liberation Sans" w:hAnsi="Liberation Sans" w:cs="Liberation Sans"/>
          <w:highlight w:val="none"/>
        </w:rPr>
      </w:r>
      <w:r/>
    </w:p>
    <w:p>
      <w:pPr>
        <w:pStyle w:val="1121"/>
        <w:ind w:firstLine="709"/>
        <w:jc w:val="both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21"/>
        <w:ind w:firstLine="709"/>
        <w:jc w:val="both"/>
        <w:rPr>
          <w:rFonts w:ascii="Liberation Sans" w:hAnsi="Liberation Sans" w:cs="Liberation Sans"/>
          <w:color w:val="auto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структуре оборота организаций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основную долю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(80,7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%)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составили следующие виды деятельн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ости:</w:t>
      </w:r>
      <w:r>
        <w:rPr>
          <w:rFonts w:ascii="Liberation Sans" w:hAnsi="Liberation Sans" w:cs="Liberation Sans"/>
          <w:color w:val="auto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строительство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60 168,2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млн руб.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%) (20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год -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38 445,9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млн руб.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18,2%)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);</w:t>
      </w:r>
      <w:r>
        <w:rPr>
          <w:rFonts w:ascii="Liberation Sans" w:hAnsi="Liberation Sans" w:cs="Liberation Sans"/>
          <w:highlight w:val="none"/>
        </w:rPr>
      </w:r>
      <w:r/>
    </w:p>
    <w:p>
      <w:pPr>
        <w:pStyle w:val="1121"/>
        <w:ind w:firstLine="709"/>
        <w:jc w:val="both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добыча полезных ископаемых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52 256,8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 руб.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(20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50 505,5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млн руб.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24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));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21"/>
        <w:ind w:firstLine="708"/>
        <w:jc w:val="both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обеспечение электрической энергией, газом, паром, кондиционирование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воздуха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35 090,9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млн руб.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13,4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%) (20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год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28 682,8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млн руб.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13,6%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highlight w:val="none"/>
        </w:rPr>
      </w:r>
      <w:r/>
    </w:p>
    <w:p>
      <w:pPr>
        <w:pStyle w:val="1121"/>
        <w:ind w:firstLine="708"/>
        <w:jc w:val="both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транспортировка и хранение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33 791,4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млн руб.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12,9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%)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(20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28 970,3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млн руб.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13,7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highlight w:val="none"/>
        </w:rPr>
      </w:r>
      <w:r/>
    </w:p>
    <w:p>
      <w:pPr>
        <w:pStyle w:val="1121"/>
        <w:ind w:firstLine="708"/>
        <w:jc w:val="both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торговля оптовая и розничная; ремонт автотранспортных средств и мотоциклов - 29 744,9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млн руб. (11,4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%) (20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год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28 714,8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млн руб. (1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3,6%)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highlight w:val="none"/>
        </w:rPr>
        <w:t xml:space="preserve">.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В общем объеме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оборота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организаций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 на территории автономного округа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д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оля муниципального образования 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составила 3,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8%. </w:t>
        <w:br/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На протяжении 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последних 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7 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лет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о данн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ому показателю в абсолютном выражении муни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ципальное образование занимает 1 место среди городских округов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автономного округа.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21"/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</w:pP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</w:r>
      <w:r/>
    </w:p>
    <w:p>
      <w:pPr>
        <w:pStyle w:val="946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/>
      <w:bookmarkStart w:id="7" w:name="_Toc7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sz w:val="28"/>
          <w:szCs w:val="28"/>
          <w:highlight w:val="none"/>
        </w:rPr>
        <w:t xml:space="preserve">1.2.</w:t>
      </w:r>
      <w:r>
        <w:rPr>
          <w:rFonts w:ascii="Liberation Sans" w:hAnsi="Liberation Sans" w:cs="Liberation Sans"/>
          <w:b/>
          <w:bCs/>
          <w:i w:val="0"/>
          <w:sz w:val="28"/>
          <w:szCs w:val="28"/>
          <w:highlight w:val="none"/>
        </w:rPr>
        <w:t xml:space="preserve">2</w:t>
      </w:r>
      <w:r>
        <w:rPr>
          <w:rFonts w:ascii="Liberation Sans" w:hAnsi="Liberation Sans" w:cs="Liberation Sans"/>
          <w:b/>
          <w:bCs/>
          <w:i w:val="0"/>
          <w:sz w:val="28"/>
          <w:szCs w:val="28"/>
          <w:highlight w:val="none"/>
        </w:rPr>
        <w:t xml:space="preserve">.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Промышленность</w:t>
      </w:r>
      <w:bookmarkEnd w:id="0"/>
      <w:r>
        <w:rPr>
          <w:rFonts w:ascii="Liberation Sans" w:hAnsi="Liberation Sans" w:cs="Liberation Sans"/>
          <w:sz w:val="28"/>
          <w:szCs w:val="28"/>
        </w:rPr>
      </w:r>
      <w:bookmarkEnd w:id="7"/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31"/>
        <w:ind w:left="0"/>
        <w:jc w:val="both"/>
        <w:spacing w:before="0" w:beforeAutospacing="0" w:after="0" w:afterAutospacing="0" w:line="240" w:lineRule="auto"/>
        <w:widowControl w:val="off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Объем отгруженной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промышленной продукции за 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год соста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вил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67 922,9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млн руб., что на 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больше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чем в 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году.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pacing w:val="-4"/>
          <w:sz w:val="28"/>
          <w:szCs w:val="28"/>
          <w:highlight w:val="none"/>
        </w:rPr>
      </w:pPr>
      <w:r>
        <w:rPr>
          <w:rFonts w:ascii="Liberation Sans" w:hAnsi="Liberation Sans" w:cs="Liberation Sans"/>
          <w:spacing w:val="-4"/>
          <w:sz w:val="28"/>
          <w:szCs w:val="28"/>
          <w:highlight w:val="none"/>
        </w:rPr>
        <w:t xml:space="preserve">В общем объеме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отгруженной промышленной продукции</w:t>
      </w:r>
      <w:r>
        <w:rPr>
          <w:rFonts w:ascii="Liberation Sans" w:hAnsi="Liberation Sans" w:cs="Liberation Sans"/>
          <w:spacing w:val="-4"/>
          <w:sz w:val="28"/>
          <w:szCs w:val="28"/>
          <w:highlight w:val="none"/>
        </w:rPr>
        <w:t xml:space="preserve"> </w:t>
        <w:br/>
        <w:t xml:space="preserve">на территории автономного округа д</w:t>
      </w:r>
      <w:r>
        <w:rPr>
          <w:rFonts w:ascii="Liberation Sans" w:hAnsi="Liberation Sans" w:cs="Liberation Sans"/>
          <w:spacing w:val="-4"/>
          <w:sz w:val="28"/>
          <w:szCs w:val="28"/>
          <w:highlight w:val="none"/>
        </w:rPr>
        <w:t xml:space="preserve">оля муниципального образования </w:t>
      </w:r>
      <w:r>
        <w:rPr>
          <w:rFonts w:ascii="Liberation Sans" w:hAnsi="Liberation Sans" w:cs="Liberation Sans"/>
          <w:spacing w:val="-4"/>
          <w:sz w:val="28"/>
          <w:szCs w:val="28"/>
          <w:highlight w:val="none"/>
        </w:rPr>
        <w:t xml:space="preserve">составила 1,</w:t>
      </w:r>
      <w:r>
        <w:rPr>
          <w:rFonts w:ascii="Liberation Sans" w:hAnsi="Liberation Sans" w:cs="Liberation Sans"/>
          <w:spacing w:val="-4"/>
          <w:sz w:val="28"/>
          <w:szCs w:val="28"/>
          <w:highlight w:val="none"/>
        </w:rPr>
        <w:t xml:space="preserve">3%. </w:t>
      </w:r>
      <w:r>
        <w:rPr>
          <w:rFonts w:ascii="Liberation Sans" w:hAnsi="Liberation Sans" w:cs="Liberation Sans"/>
          <w:spacing w:val="-4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spacing w:val="-4"/>
          <w:sz w:val="28"/>
          <w:szCs w:val="28"/>
          <w:highlight w:val="none"/>
        </w:rPr>
        <w:t xml:space="preserve">По данному показателю в абсолютном выражении муниципальное образование по итогам 2023 года занимает 2 место среди городских округов автономного округа.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erif" w:hAnsi="Liberation Serif" w:cs="Liberation Serif"/>
          <w:sz w:val="28"/>
          <w:szCs w:val="28"/>
          <w:highlight w:val="none"/>
        </w:rPr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</w:r>
      <w:r/>
    </w:p>
    <w:p>
      <w:pPr>
        <w:pStyle w:val="1121"/>
        <w:ind w:firstLine="709"/>
        <w:jc w:val="both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drawing>
          <wp:inline distT="0" distB="0" distL="0" distR="0">
            <wp:extent cx="5077800" cy="2305217"/>
            <wp:effectExtent l="3175" t="3175" r="3175" b="3175"/>
            <wp:docPr id="3" name="Диаграмма 16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rFonts w:ascii="Liberation Sans" w:hAnsi="Liberation Sans" w:cs="Liberation Sans"/>
          <w:highlight w:val="none"/>
        </w:rPr>
      </w:r>
      <w:r/>
    </w:p>
    <w:p>
      <w:pPr>
        <w:pStyle w:val="1121"/>
        <w:ind w:firstLine="709"/>
        <w:jc w:val="both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21"/>
        <w:ind w:firstLine="709"/>
        <w:jc w:val="center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бъем отгруженной промышленной продукции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21"/>
        <w:ind w:firstLine="709"/>
        <w:jc w:val="center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21"/>
        <w:ind w:firstLine="709"/>
        <w:jc w:val="right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Таблица 2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tbl>
      <w:tblPr>
        <w:tblW w:w="5075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V w:val="single" w:color="000000" w:sz="4" w:space="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827"/>
        <w:gridCol w:w="992"/>
        <w:gridCol w:w="1134"/>
        <w:gridCol w:w="1276"/>
        <w:gridCol w:w="1134"/>
        <w:gridCol w:w="1133"/>
      </w:tblGrid>
      <w:tr>
        <w:trPr>
          <w:trHeight w:val="21"/>
          <w:tblHeader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3827" w:type="dxa"/>
            <w:vAlign w:val="top"/>
            <w:vMerge w:val="restart"/>
            <w:textDirection w:val="lrTb"/>
            <w:noWrap w:val="false"/>
          </w:tcPr>
          <w:p>
            <w:pPr>
              <w:pStyle w:val="1121"/>
              <w:jc w:val="center"/>
              <w:spacing w:after="0" w:afterAutospacing="0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Наименование показателя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  <w:p>
            <w:pPr>
              <w:pStyle w:val="1121"/>
              <w:jc w:val="center"/>
              <w:spacing w:after="0" w:afterAutospacing="0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pStyle w:val="1121"/>
              <w:jc w:val="center"/>
              <w:spacing w:after="0" w:afterAutospacing="0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Ед.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  <w:p>
            <w:pPr>
              <w:pStyle w:val="1121"/>
              <w:jc w:val="center"/>
              <w:spacing w:after="0" w:afterAutospacing="0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изм.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121"/>
              <w:jc w:val="center"/>
              <w:spacing w:after="0" w:afterAutospacing="0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021 год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276" w:type="dxa"/>
            <w:vAlign w:val="top"/>
            <w:vMerge w:val="restart"/>
            <w:textDirection w:val="lrTb"/>
            <w:noWrap w:val="false"/>
          </w:tcPr>
          <w:p>
            <w:pPr>
              <w:pStyle w:val="1121"/>
              <w:jc w:val="center"/>
              <w:spacing w:after="0" w:afterAutospacing="0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022 год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134" w:type="dxa"/>
            <w:vAlign w:val="top"/>
            <w:vMerge w:val="restart"/>
            <w:textDirection w:val="lrTb"/>
            <w:noWrap w:val="false"/>
          </w:tcPr>
          <w:p>
            <w:pPr>
              <w:pStyle w:val="1121"/>
              <w:jc w:val="center"/>
              <w:spacing w:after="0" w:afterAutospacing="0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023 год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133" w:type="dxa"/>
            <w:vAlign w:val="top"/>
            <w:vMerge w:val="restart"/>
            <w:textDirection w:val="lrTb"/>
            <w:noWrap w:val="false"/>
          </w:tcPr>
          <w:p>
            <w:pPr>
              <w:pStyle w:val="1121"/>
              <w:jc w:val="center"/>
              <w:spacing w:after="0" w:afterAutospacing="0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2023 год 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br/>
              <w:t xml:space="preserve">к 2022 году, %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>
          <w:trHeight w:val="21"/>
          <w:tblHeader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3827" w:type="dxa"/>
            <w:vAlign w:val="top"/>
            <w:vMerge w:val="restart"/>
            <w:textDirection w:val="lrTb"/>
            <w:noWrap w:val="false"/>
          </w:tcPr>
          <w:p>
            <w:pPr>
              <w:pStyle w:val="1121"/>
              <w:jc w:val="center"/>
              <w:spacing w:after="0" w:afterAutospacing="0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992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spacing w:after="0" w:afterAutospacing="0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134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spacing w:after="0" w:afterAutospacing="0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276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spacing w:after="0" w:afterAutospacing="0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134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spacing w:after="0" w:afterAutospacing="0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133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spacing w:after="0" w:afterAutospacing="0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6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</w:tr>
      <w:tr>
        <w:trPr>
          <w:cantSplit/>
          <w:trHeight w:val="21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3827" w:type="dxa"/>
            <w:vAlign w:val="top"/>
            <w:textDirection w:val="lrTb"/>
            <w:noWrap w:val="false"/>
          </w:tcPr>
          <w:p>
            <w:pPr>
              <w:pStyle w:val="1121"/>
              <w:jc w:val="left"/>
              <w:spacing w:after="0" w:afterAutospacing="0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bookmarkStart w:id="0" w:name="undefined"/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Объем отгруженных товаров собственного производства, выполненных работ и услуг собственными силами организаций (без субъектов малого предпринимательства)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 - всего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jc w:val="center"/>
              <w:spacing w:after="0" w:afterAutospacing="0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Млн руб.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134" w:type="dxa"/>
            <w:vAlign w:val="top"/>
            <w:textDirection w:val="lrTb"/>
            <w:noWrap w:val="false"/>
          </w:tcPr>
          <w:p>
            <w:pPr>
              <w:jc w:val="center"/>
              <w:spacing w:after="0" w:afterAutospacing="0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57 088,8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276" w:type="dxa"/>
            <w:vAlign w:val="top"/>
            <w:textDirection w:val="lrTb"/>
            <w:noWrap w:val="false"/>
          </w:tcPr>
          <w:p>
            <w:pPr>
              <w:jc w:val="center"/>
              <w:spacing w:after="0" w:afterAutospacing="0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66 609,1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134" w:type="dxa"/>
            <w:vAlign w:val="top"/>
            <w:textDirection w:val="lrTb"/>
            <w:noWrap w:val="false"/>
          </w:tcPr>
          <w:p>
            <w:pPr>
              <w:jc w:val="center"/>
              <w:spacing w:after="0" w:afterAutospacing="0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67 922,9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133" w:type="dxa"/>
            <w:vAlign w:val="top"/>
            <w:textDirection w:val="lrTb"/>
            <w:noWrap w:val="false"/>
          </w:tcPr>
          <w:p>
            <w:pPr>
              <w:jc w:val="center"/>
              <w:spacing w:after="0" w:afterAutospacing="0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102,0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</w:tr>
      <w:tr>
        <w:trPr>
          <w:cantSplit/>
          <w:trHeight w:val="21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3827" w:type="dxa"/>
            <w:vAlign w:val="top"/>
            <w:textDirection w:val="lrTb"/>
            <w:noWrap w:val="false"/>
          </w:tcPr>
          <w:p>
            <w:pPr>
              <w:pStyle w:val="1121"/>
              <w:jc w:val="left"/>
              <w:spacing w:after="0" w:afterAutospacing="0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 </w:t>
            </w:r>
            <w:bookmarkStart w:id="0" w:name="undefined"/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в том числе по видам деятельности:</w:t>
            </w:r>
            <w:bookmarkEnd w:id="0"/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gridSpan w:val="5"/>
            <w:tcBorders>
              <w:top w:val="single" w:color="000000" w:sz="4" w:space="0"/>
              <w:bottom w:val="single" w:color="000000" w:sz="4" w:space="0"/>
            </w:tcBorders>
            <w:tcW w:w="5668" w:type="dxa"/>
            <w:vAlign w:val="top"/>
            <w:textDirection w:val="lrTb"/>
            <w:noWrap w:val="false"/>
          </w:tcPr>
          <w:p>
            <w:pPr>
              <w:jc w:val="center"/>
              <w:spacing w:after="0" w:afterAutospacing="0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</w:tr>
      <w:tr>
        <w:trPr>
          <w:cantSplit/>
          <w:trHeight w:val="583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3827" w:type="dxa"/>
            <w:vAlign w:val="top"/>
            <w:textDirection w:val="lrTb"/>
            <w:noWrap w:val="false"/>
          </w:tcPr>
          <w:p>
            <w:pPr>
              <w:pStyle w:val="1121"/>
              <w:jc w:val="left"/>
              <w:spacing w:after="0" w:afterAutospacing="0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bookmarkStart w:id="0" w:name="undefined"/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- добыча полезных ископаемых</w:t>
            </w:r>
            <w:bookmarkEnd w:id="0"/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jc w:val="center"/>
              <w:spacing w:after="0" w:afterAutospacing="0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Млн руб.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134" w:type="dxa"/>
            <w:vAlign w:val="top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40 255,6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276" w:type="dxa"/>
            <w:vAlign w:val="top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47 988,1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134" w:type="dxa"/>
            <w:vAlign w:val="top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47 452,1</w:t>
            </w:r>
            <w:r>
              <w:rPr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133" w:type="dxa"/>
            <w:vAlign w:val="top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98,9</w:t>
            </w:r>
            <w:r>
              <w:rPr>
                <w:sz w:val="24"/>
                <w:szCs w:val="24"/>
                <w:highlight w:val="none"/>
              </w:rPr>
            </w:r>
            <w:r/>
          </w:p>
        </w:tc>
      </w:tr>
      <w:tr>
        <w:trPr>
          <w:trHeight w:val="546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3827" w:type="dxa"/>
            <w:vAlign w:val="top"/>
            <w:vMerge w:val="restart"/>
            <w:textDirection w:val="lrTb"/>
            <w:noWrap w:val="false"/>
          </w:tcPr>
          <w:p>
            <w:pPr>
              <w:pStyle w:val="1121"/>
              <w:jc w:val="left"/>
              <w:spacing w:after="0" w:afterAutospacing="0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- 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обеспечение электрической энергией, газом и паром; кондиционирование воздуха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992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spacing w:after="0" w:afterAutospacing="0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Млн руб.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134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Arial" w:cs="Liberation Sans"/>
                <w:b w:val="0"/>
                <w:i w:val="0"/>
                <w:strike w:val="0"/>
                <w:color w:val="000000"/>
                <w:sz w:val="24"/>
                <w:szCs w:val="24"/>
                <w:highlight w:val="none"/>
                <w:u w:val="none"/>
              </w:rPr>
              <w:t xml:space="preserve">12 628,2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276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Arial" w:cs="Liberation Sans"/>
                <w:b w:val="0"/>
                <w:i w:val="0"/>
                <w:strike w:val="0"/>
                <w:color w:val="000000"/>
                <w:sz w:val="24"/>
                <w:szCs w:val="24"/>
                <w:highlight w:val="none"/>
                <w:u w:val="none"/>
              </w:rPr>
              <w:t xml:space="preserve">14 682,0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134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15 283,4</w:t>
            </w:r>
            <w:r>
              <w:rPr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133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104,1</w:t>
            </w:r>
            <w:r>
              <w:rPr>
                <w:sz w:val="24"/>
                <w:szCs w:val="24"/>
                <w:highlight w:val="none"/>
              </w:rPr>
            </w:r>
            <w:r/>
          </w:p>
        </w:tc>
      </w:tr>
      <w:tr>
        <w:trPr>
          <w:cantSplit/>
          <w:trHeight w:val="546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3827" w:type="dxa"/>
            <w:vAlign w:val="top"/>
            <w:textDirection w:val="lrTb"/>
            <w:noWrap w:val="false"/>
          </w:tcPr>
          <w:p>
            <w:pPr>
              <w:pStyle w:val="1121"/>
              <w:jc w:val="left"/>
              <w:spacing w:after="0" w:afterAutospacing="0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bookmarkStart w:id="0" w:name="undefined"/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- обрабатывающие производства</w:t>
            </w:r>
            <w:bookmarkEnd w:id="0"/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992" w:type="dxa"/>
            <w:vAlign w:val="top"/>
            <w:textDirection w:val="lrTb"/>
            <w:noWrap w:val="false"/>
          </w:tcPr>
          <w:p>
            <w:pPr>
              <w:jc w:val="center"/>
              <w:spacing w:after="0" w:afterAutospacing="0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Млн руб.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134" w:type="dxa"/>
            <w:vAlign w:val="top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3 163,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0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276" w:type="dxa"/>
            <w:vAlign w:val="top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2 853,0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134" w:type="dxa"/>
            <w:vAlign w:val="top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3 409,7</w:t>
            </w:r>
            <w:r>
              <w:rPr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133" w:type="dxa"/>
            <w:vAlign w:val="top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119,5</w:t>
            </w:r>
            <w:r>
              <w:rPr>
                <w:sz w:val="24"/>
                <w:szCs w:val="24"/>
                <w:highlight w:val="none"/>
              </w:rPr>
            </w:r>
            <w:r/>
          </w:p>
        </w:tc>
      </w:tr>
      <w:tr>
        <w:trPr>
          <w:trHeight w:val="21"/>
        </w:trPr>
        <w:tc>
          <w:tcPr>
            <w:tcBorders>
              <w:top w:val="single" w:color="000000" w:sz="4" w:space="0"/>
              <w:bottom w:val="single" w:color="000000" w:sz="4" w:space="0"/>
            </w:tcBorders>
            <w:tcW w:w="3827" w:type="dxa"/>
            <w:vAlign w:val="top"/>
            <w:vMerge w:val="restart"/>
            <w:textDirection w:val="lrTb"/>
            <w:noWrap w:val="false"/>
          </w:tcPr>
          <w:p>
            <w:pPr>
              <w:pStyle w:val="1121"/>
              <w:jc w:val="left"/>
              <w:spacing w:after="0" w:afterAutospacing="0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- 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водоснабжение; водоотведение, организация сбора и утилизации отходов, деятельность по ликвидации загрязнений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992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spacing w:after="0" w:afterAutospacing="0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Млн руб.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134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1 042,0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276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1 086,0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134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1 777,7</w:t>
            </w:r>
            <w:r>
              <w:rPr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bottom w:val="single" w:color="000000" w:sz="4" w:space="0"/>
            </w:tcBorders>
            <w:tcW w:w="1133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163,7*</w:t>
            </w:r>
            <w:r>
              <w:rPr>
                <w:sz w:val="24"/>
                <w:szCs w:val="24"/>
                <w:highlight w:val="none"/>
              </w:rPr>
            </w:r>
            <w:r/>
          </w:p>
        </w:tc>
      </w:tr>
    </w:tbl>
    <w:p>
      <w:pPr>
        <w:pStyle w:val="1121"/>
        <w:ind w:left="0" w:firstLine="0"/>
        <w:jc w:val="both"/>
        <w:rPr>
          <w:rFonts w:ascii="Liberation Sans" w:hAnsi="Liberation Sans" w:cs="Liberation Sans"/>
          <w:sz w:val="24"/>
          <w:szCs w:val="24"/>
          <w:highlight w:val="none"/>
        </w:rPr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auto"/>
          <w:sz w:val="20"/>
          <w:szCs w:val="20"/>
          <w:highlight w:val="none"/>
        </w:rPr>
        <w:t xml:space="preserve">*</w:t>
      </w:r>
      <w:r>
        <w:rPr>
          <w:rFonts w:ascii="Liberation Sans" w:hAnsi="Liberation Sans" w:cs="Liberation Sans"/>
          <w:color w:val="auto"/>
          <w:sz w:val="20"/>
          <w:szCs w:val="20"/>
          <w:highlight w:val="none"/>
        </w:rPr>
        <w:t xml:space="preserve">Увеличение в связи с вводом </w:t>
      </w:r>
      <w:r>
        <w:rPr>
          <w:rFonts w:ascii="Liberation Sans" w:hAnsi="Liberation Sans" w:eastAsia="Liberation Sans" w:cs="Liberation Sans"/>
          <w:color w:val="auto"/>
          <w:sz w:val="20"/>
          <w:szCs w:val="20"/>
          <w:highlight w:val="none"/>
          <w:lang w:val="ru-RU"/>
        </w:rPr>
        <w:t xml:space="preserve">в эксплуатацию новых объектов жилищного фонда</w:t>
      </w:r>
      <w:r>
        <w:rPr>
          <w:rFonts w:ascii="Liberation Sans" w:hAnsi="Liberation Sans" w:cs="Liberation Sans"/>
          <w:color w:val="auto"/>
          <w:sz w:val="20"/>
          <w:szCs w:val="20"/>
          <w:highlight w:val="none"/>
        </w:rPr>
        <w:t xml:space="preserve">.</w:t>
      </w:r>
      <w:r>
        <w:rPr>
          <w:rFonts w:ascii="Liberation Sans" w:hAnsi="Liberation Sans" w:cs="Liberation Sans"/>
          <w:sz w:val="24"/>
          <w:szCs w:val="24"/>
          <w:highlight w:val="none"/>
        </w:rPr>
      </w:r>
      <w:r/>
    </w:p>
    <w:p>
      <w:pPr>
        <w:pStyle w:val="1121"/>
        <w:ind w:left="0" w:firstLine="0"/>
        <w:jc w:val="both"/>
        <w:rPr>
          <w:rFonts w:ascii="Liberation Sans" w:hAnsi="Liberation Sans" w:cs="Liberation Sans"/>
          <w:color w:val="auto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sz w:val="36"/>
          <w:szCs w:val="36"/>
          <w:highlight w:val="none"/>
        </w:rPr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/>
    </w:p>
    <w:p>
      <w:pPr>
        <w:pStyle w:val="1131"/>
        <w:ind w:left="0"/>
        <w:jc w:val="center"/>
        <w:spacing w:before="0" w:beforeAutospacing="0" w:after="0" w:afterAutospacing="0" w:line="240" w:lineRule="auto"/>
        <w:widowControl w:val="off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drawing>
          <wp:inline distT="0" distB="0" distL="0" distR="0">
            <wp:extent cx="6025069" cy="2771942"/>
            <wp:effectExtent l="3175" t="3175" r="3175" b="3175"/>
            <wp:docPr id="4" name="Диаграмма 1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rFonts w:ascii="Liberation Sans" w:hAnsi="Liberation Sans" w:cs="Liberation Sans"/>
          <w:highlight w:val="none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946"/>
        <w:jc w:val="center"/>
        <w:spacing w:before="0" w:beforeAutospacing="0" w:after="0" w:afterAutospacing="0" w:line="240" w:lineRule="auto"/>
        <w:rPr>
          <w:rStyle w:val="947"/>
          <w:rFonts w:ascii="Liberation Sans" w:hAnsi="Liberation Sans" w:cs="Liberation Sans"/>
          <w:b/>
          <w:bCs/>
          <w:sz w:val="28"/>
          <w:szCs w:val="28"/>
          <w14:ligatures w14:val="none"/>
        </w:rPr>
      </w:pPr>
      <w:r/>
      <w:bookmarkStart w:id="8" w:name="_Toc8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sz w:val="28"/>
          <w:szCs w:val="28"/>
        </w:rPr>
        <w:t xml:space="preserve">1.2.</w:t>
      </w:r>
      <w:r>
        <w:rPr>
          <w:rFonts w:ascii="Liberation Sans" w:hAnsi="Liberation Sans" w:cs="Liberation Sans"/>
          <w:b/>
          <w:bCs/>
          <w:i w:val="0"/>
          <w:sz w:val="28"/>
          <w:szCs w:val="28"/>
        </w:rPr>
        <w:t xml:space="preserve">3</w:t>
      </w:r>
      <w:r>
        <w:rPr>
          <w:rFonts w:ascii="Liberation Sans" w:hAnsi="Liberation Sans" w:cs="Liberation Sans"/>
          <w:b/>
          <w:bCs/>
          <w:i w:val="0"/>
          <w:sz w:val="28"/>
          <w:szCs w:val="28"/>
        </w:rPr>
        <w:t xml:space="preserve">.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Транспорт</w:t>
      </w:r>
      <w:bookmarkEnd w:id="0"/>
      <w:r>
        <w:rPr>
          <w:rFonts w:ascii="Liberation Sans" w:hAnsi="Liberation Sans" w:cs="Liberation Sans"/>
          <w:sz w:val="28"/>
          <w:szCs w:val="28"/>
        </w:rPr>
      </w:r>
      <w:bookmarkEnd w:id="8"/>
      <w:r>
        <w:rPr>
          <w:rStyle w:val="947"/>
          <w:rFonts w:ascii="Liberation Sans" w:hAnsi="Liberation Sans" w:cs="Liberation Sans"/>
          <w:b/>
          <w:bCs/>
          <w:sz w:val="28"/>
          <w:szCs w:val="28"/>
          <w14:ligatures w14:val="none"/>
        </w:rPr>
      </w:r>
      <w:r/>
    </w:p>
    <w:p>
      <w:pPr>
        <w:pStyle w:val="1131"/>
        <w:ind w:left="0"/>
        <w:jc w:val="both"/>
        <w:spacing w:before="0" w:beforeAutospacing="0" w:after="0" w:afterAutospacing="0" w:line="240" w:lineRule="auto"/>
        <w:widowControl w:val="off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Регулярные па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ссажирские перевозки осуществлялись муниципальным унитарным предприятием автомобильного транспорта (далее - МУПАТ)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13 автобусным маршрутам.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С 01.01.2023 начали осуществляться пассажирские перевозки </w:t>
        <w:br/>
        <w:t xml:space="preserve">по новому маршруту № 101 «Авиаэкспресс: ж/д вокзал - аэропор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Для транспортного обслуживания населения задействовано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  <w:br/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83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ав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тобуса с ежедневным выходом на линию 63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автобу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ов.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Для учета пассажиропотока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определения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востребованности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маршрутов и загруженности общественн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ого транспорта </w:t>
        <w:br/>
        <w:t xml:space="preserve">в определенные интерва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лы времени в 2023 году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приобретено специальное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оборудование</w:t>
      </w:r>
      <w:r>
        <w:rPr>
          <w:rFonts w:ascii="Liberation Sans" w:hAnsi="Liberation Sans" w:cs="Liberation Sans"/>
          <w:highlight w:val="none"/>
        </w:rPr>
        <w:t xml:space="preserve">.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Системой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учета пассажиропотока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оснащено 83 автобуса.</w:t>
      </w:r>
      <w:r>
        <w:rPr>
          <w:rFonts w:ascii="Liberation Sans" w:hAnsi="Liberation Sans" w:cs="Liberation Sans"/>
          <w:highlight w:val="none"/>
        </w:rPr>
        <w:t xml:space="preserve"> </w:t>
      </w:r>
      <w:r>
        <w:rPr>
          <w:rFonts w:ascii="Liberation Sans" w:hAnsi="Liberation Sans" w:cs="Liberation Sans"/>
          <w:highlight w:val="none"/>
        </w:rPr>
      </w:r>
      <w:r/>
    </w:p>
    <w:p>
      <w:pPr>
        <w:ind w:left="0" w:right="0"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Доля а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втобусов, обор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удованных для перевозки маломобильных групп населения, от общего количества автобусов, задействованных </w:t>
        <w:br/>
        <w:t xml:space="preserve">в пассажирских перевозка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х,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составила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100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%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(2022 год - 81,5%, </w:t>
        <w:br/>
        <w:t xml:space="preserve">2021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год - 66,7%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)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.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color w:val="000000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целях улучшения транспортного обслуживания жителей города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за отчетный период приобретено 30 газомоторных автобусов.</w:t>
      </w:r>
      <w:r>
        <w:rPr>
          <w:color w:val="000000"/>
        </w:rPr>
      </w:r>
      <w:r/>
    </w:p>
    <w:p>
      <w:pPr>
        <w:ind w:left="0" w:right="0" w:firstLine="709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Доля автоб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усов, использующих в качестве моторного топлива компримированный природный газ (метан), от общего количества автобусов,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задействованных в пассажирских перевозках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, составила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74,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7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%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(2022 год -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39,5%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, 2021 год - 36,1%)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left="0" w:right="0" w:firstLine="709"/>
        <w:jc w:val="both"/>
        <w:spacing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С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тоимость проезда в 2023 году осталась без изменений </w:t>
        <w:br/>
        <w:t xml:space="preserve">(тариф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на перевозку 1 пассажира по у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часткам городских маршрутов Новый Уренгой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-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Коротчаево, Коротчаево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-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Новый Уренгой, Новый Уренгой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-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Лимбяяха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Лимбяях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а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-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Но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вый Уре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нго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й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1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10 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руб., на перевозку </w:t>
        <w:br/>
        <w:t xml:space="preserve">1 па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ссажира по иным городским маршрутам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- 30 руб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left="0" w:right="0" w:firstLine="709"/>
        <w:jc w:val="both"/>
        <w:spacing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В рамках проекта «Теплые остановки»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2023 году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установлено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</w:t>
        <w:br/>
        <w:t xml:space="preserve">17 остановочных павильонов, из них:</w:t>
      </w:r>
      <w:r>
        <w:rPr>
          <w:highlight w:val="none"/>
        </w:rPr>
      </w:r>
      <w:r/>
    </w:p>
    <w:p>
      <w:pPr>
        <w:ind w:left="0" w:right="0"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- 13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теплых остановочных павильонов на следующих остановках: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«пр-т Ленинградский» (сторона д. 3,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сторона д. 4А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),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«д/с Гнездышко» (сторона д. 16)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«ул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ица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Юбилейная» (ст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орона д. 3),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«улица Индустриальная» (сторона д. 2),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«улица Индустриальная» (сторона </w:t>
        <w:br/>
        <w:t xml:space="preserve">д. 1, ул. Надымская),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«Администрация» (сторона мкр. Советский),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«Виктория» (сторона д. 5/3, мкр. Советский),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«Православный храм» (сторона д. 5/2, мкр. Восточный),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«мкр. Восточный» (сторона д. 4/2 ), </w:t>
        <w:br/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ул. Мира, участок №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2 (сторона мкр. Славянский (Арктический лицей),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«Лимбяяха»,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«пр-т Мира» (сторона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д. 49);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after="0" w:afterAutospacing="0" w:line="240" w:lineRule="auto"/>
        <w:shd w:val="clear" w:color="auto" w:fill="auto"/>
        <w:rPr>
          <w:highlight w:val="none"/>
        </w:rPr>
        <w:suppressLineNumbers w:val="0"/>
      </w:pP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- 4 металлических павильона с обогреваемой секцией </w:t>
        <w:br/>
        <w:t xml:space="preserve">на автобусных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остановках по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ул. Таежн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ой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left="0" w:right="0" w:firstLine="709"/>
        <w:jc w:val="both"/>
        <w:spacing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Общее количество теплых павильонов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с учетом ранее установленных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в муниципальном образовании составило 42 единицы.</w:t>
      </w:r>
      <w:r>
        <w:rPr>
          <w:highlight w:val="none"/>
        </w:rPr>
      </w:r>
      <w:r/>
    </w:p>
    <w:p>
      <w:pPr>
        <w:ind w:left="0" w:right="0"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Также установлено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5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павильонов из композитных материалов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</w:t>
        <w:br/>
        <w:t xml:space="preserve">на останов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ках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: «д/с Созвездие» (сторона мкр. Олимпийский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, сторона мкр. Славянский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),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ул. Приполярная (сторона котельной № 4 </w:t>
        <w:br/>
        <w:t xml:space="preserve">АО «Уренгойтеплогенерация-1»),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«Гимназия» (сторона сквера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«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Полярная сова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»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),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остановка «Арктический лицей» (сторона гаражного кооператива «Мастер»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).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after="0" w:afterAutospacing="0" w:line="240" w:lineRule="auto"/>
        <w:shd w:val="clear" w:color="auto" w:fill="auto"/>
        <w:rPr>
          <w:color w:val="auto"/>
        </w:rPr>
      </w:pP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В 2023 году городски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м пассажирским транспортом перевезено</w:t>
        <w:br/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7 253,3 тыс.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человек, в том числе в районы Коротчаево и Лимбяяха -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121,2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тыс. человек (2022 год -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117,0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тыс. человек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)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. Пассажиропоток </w:t>
        <w:br/>
        <w:t xml:space="preserve">на городских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маршрутах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по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сравнению с 2022 годом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увеличился </w:t>
        <w:br/>
      </w:r>
      <w:r>
        <w:rPr>
          <w:rFonts w:ascii="Liberation Sans" w:hAnsi="Liberation Sans" w:eastAsia="PT Astra Serif" w:cs="Liberation Sans"/>
          <w:color w:val="auto"/>
          <w:sz w:val="28"/>
          <w:szCs w:val="28"/>
          <w:highlight w:val="none"/>
        </w:rPr>
        <w:t xml:space="preserve">на 10,5%</w:t>
      </w:r>
      <w:r>
        <w:rPr>
          <w:rFonts w:ascii="Liberation Sans" w:hAnsi="Liberation Sans" w:eastAsia="PT Astra Serif" w:cs="Liberation Sans"/>
          <w:color w:val="auto"/>
          <w:sz w:val="28"/>
          <w:szCs w:val="28"/>
          <w:highlight w:val="none"/>
        </w:rPr>
        <w:t xml:space="preserve">.</w:t>
      </w:r>
      <w:r>
        <w:rPr>
          <w:color w:val="auto"/>
        </w:rPr>
        <w:t xml:space="preserve"> </w:t>
      </w:r>
      <w:r>
        <w:rPr>
          <w:rFonts w:ascii="Liberation Sans" w:hAnsi="Liberation Sans" w:eastAsia="PT Astra Serif" w:cs="Liberation Sans"/>
          <w:color w:val="auto"/>
          <w:sz w:val="28"/>
          <w:szCs w:val="28"/>
          <w:highlight w:val="none"/>
        </w:rPr>
        <w:t xml:space="preserve">Из общего количества перевезенных пассажиров </w:t>
      </w:r>
      <w:r>
        <w:rPr>
          <w:rFonts w:ascii="Liberation Sans" w:hAnsi="Liberation Sans" w:eastAsia="PT Astra Serif" w:cs="Liberation Sans"/>
          <w:color w:val="auto"/>
          <w:sz w:val="28"/>
          <w:szCs w:val="28"/>
          <w:highlight w:val="none"/>
        </w:rPr>
        <w:t xml:space="preserve">граждане льго</w:t>
      </w:r>
      <w:r>
        <w:rPr>
          <w:rFonts w:ascii="Liberation Sans" w:hAnsi="Liberation Sans" w:eastAsia="PT Astra Serif" w:cs="Liberation Sans"/>
          <w:color w:val="auto"/>
          <w:sz w:val="28"/>
          <w:szCs w:val="28"/>
          <w:highlight w:val="none"/>
        </w:rPr>
        <w:t xml:space="preserve">тной категории составили </w:t>
      </w:r>
      <w:r>
        <w:rPr>
          <w:rFonts w:ascii="Liberation Sans" w:hAnsi="Liberation Sans" w:eastAsia="PT Astra Serif" w:cs="Liberation Sans"/>
          <w:color w:val="auto"/>
          <w:sz w:val="28"/>
          <w:szCs w:val="28"/>
          <w:highlight w:val="none"/>
        </w:rPr>
        <w:t xml:space="preserve">2 324,7 тыс. человек, в том числе школьники и студенты - 1 915,1 тыс. человек, по единому проездному билету - 409,6 тыс. человек. </w:t>
      </w:r>
      <w:r>
        <w:rPr>
          <w:color w:val="auto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09.02.2023 то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ржественно открыт новый терминал аэропорта Нового Уренгоя имени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И.М. Губкина. Новый аэровокзальный комплекс осн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ащён современным оборудованием для обслуживания пассажиров </w:t>
        <w:br/>
        <w:t xml:space="preserve">и обработки багажа.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center"/>
        <w:spacing w:after="0" w:afterAutospacing="0" w:line="240" w:lineRule="auto"/>
        <w:shd w:val="clear" w:color="auto" w:fill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Показатели деятельности организаций в сфере транспорта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center"/>
        <w:spacing w:after="0" w:afterAutospacing="0" w:line="240" w:lineRule="auto"/>
        <w:shd w:val="clear" w:color="auto" w:fill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 данным перевозчиков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center"/>
        <w:spacing w:after="0" w:afterAutospacing="0" w:line="240" w:lineRule="auto"/>
        <w:shd w:val="clear" w:color="auto" w:fill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right"/>
        <w:spacing w:after="0" w:afterAutospacing="0" w:line="240" w:lineRule="auto"/>
        <w:shd w:val="clear" w:color="auto" w:fill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Таблица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3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tbl>
      <w:tblPr>
        <w:tblStyle w:val="974"/>
        <w:tblW w:w="9573" w:type="dxa"/>
        <w:tblLayout w:type="fixed"/>
        <w:tblLook w:val="04A0" w:firstRow="1" w:lastRow="0" w:firstColumn="1" w:lastColumn="0" w:noHBand="0" w:noVBand="1"/>
      </w:tblPr>
      <w:tblGrid>
        <w:gridCol w:w="673"/>
        <w:gridCol w:w="2445"/>
        <w:gridCol w:w="1243"/>
        <w:gridCol w:w="1308"/>
        <w:gridCol w:w="1385"/>
        <w:gridCol w:w="1188"/>
        <w:gridCol w:w="1331"/>
      </w:tblGrid>
      <w:tr>
        <w:trPr/>
        <w:tc>
          <w:tcPr>
            <w:tcW w:w="673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shd w:val="clear" w:color="auto" w:fill="auto"/>
              <w:widowControl w:val="off"/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№ </w:t>
            </w:r>
            <w:r>
              <w:rPr>
                <w:highlight w:val="none"/>
              </w:rPr>
            </w:r>
            <w:r/>
          </w:p>
          <w:p>
            <w:pPr>
              <w:ind w:right="-1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п/п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2445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Показатели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43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Ед. изм.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08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2021 год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85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2022 год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188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2023 год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2023 год </w:t>
            </w:r>
            <w:r>
              <w:rPr>
                <w:rFonts w:ascii="Liberation Sans" w:hAnsi="Liberation Sans" w:cs="Liberation Sans"/>
                <w:highlight w:val="none"/>
              </w:rPr>
              <w:br/>
              <w:t xml:space="preserve">к 2022 году, %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/>
        <w:tc>
          <w:tcPr>
            <w:tcW w:w="673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2445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43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08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85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188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6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7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/>
        <w:tc>
          <w:tcPr>
            <w:tcW w:w="673" w:type="dxa"/>
            <w:vMerge w:val="restart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gridSpan w:val="6"/>
            <w:tcW w:w="8900" w:type="dxa"/>
            <w:textDirection w:val="lrTb"/>
            <w:noWrap w:val="false"/>
          </w:tcPr>
          <w:p>
            <w:pPr>
              <w:pStyle w:val="1131"/>
              <w:ind w:left="0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b/>
                <w:bCs/>
                <w:highlight w:val="none"/>
              </w:rPr>
              <w:t xml:space="preserve">Перевезено грузов: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/>
        <w:tc>
          <w:tcPr>
            <w:tcW w:w="673" w:type="dxa"/>
            <w:vMerge w:val="continue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2445" w:type="dxa"/>
            <w:textDirection w:val="lrTb"/>
            <w:noWrap w:val="false"/>
          </w:tcPr>
          <w:p>
            <w:pPr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воздушным транспортом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Тыс. тонн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5,1*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4,8*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1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4,1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85,4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/>
        <w:tc>
          <w:tcPr>
            <w:tcW w:w="673" w:type="dxa"/>
            <w:vMerge w:val="continue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2445" w:type="dxa"/>
            <w:textDirection w:val="lrTb"/>
            <w:noWrap w:val="false"/>
          </w:tcPr>
          <w:p>
            <w:pPr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железнодорожным транспортом 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Тыс. тонн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5 581,4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6 943,4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1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5 705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82,2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/>
        <w:tc>
          <w:tcPr>
            <w:tcW w:w="673" w:type="dxa"/>
            <w:vMerge w:val="restart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Cs w:val="28"/>
                <w:highlight w:val="none"/>
              </w:rPr>
              <w:t xml:space="preserve">2.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gridSpan w:val="6"/>
            <w:tcW w:w="8900" w:type="dxa"/>
            <w:textDirection w:val="lrTb"/>
            <w:noWrap w:val="false"/>
          </w:tcPr>
          <w:p>
            <w:pPr>
              <w:pStyle w:val="1131"/>
              <w:ind w:left="0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b/>
                <w:bCs/>
                <w:highlight w:val="none"/>
              </w:rPr>
              <w:t xml:space="preserve">Грузооборот: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/>
        <w:tc>
          <w:tcPr>
            <w:tcW w:w="673" w:type="dxa"/>
            <w:vMerge w:val="continue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szCs w:val="28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2445" w:type="dxa"/>
            <w:textDirection w:val="lrTb"/>
            <w:noWrap w:val="false"/>
          </w:tcPr>
          <w:p>
            <w:pPr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железнодорожным транспортом 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Тыс. 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br/>
              <w:t xml:space="preserve">тонн км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08" w:type="dxa"/>
            <w:textDirection w:val="lrTb"/>
            <w:noWrap w:val="false"/>
          </w:tcPr>
          <w:p>
            <w:pPr>
              <w:pStyle w:val="1131"/>
              <w:ind w:left="0"/>
              <w:jc w:val="right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227 682,2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249 201,0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1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215 522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86,5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/>
        <w:tc>
          <w:tcPr>
            <w:tcW w:w="673" w:type="dxa"/>
            <w:vMerge w:val="restart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Cs w:val="28"/>
                <w:highlight w:val="none"/>
              </w:rPr>
              <w:t xml:space="preserve">3.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gridSpan w:val="6"/>
            <w:tcW w:w="8900" w:type="dxa"/>
            <w:textDirection w:val="lrTb"/>
            <w:noWrap w:val="false"/>
          </w:tcPr>
          <w:p>
            <w:pPr>
              <w:pStyle w:val="1131"/>
              <w:ind w:left="0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b/>
                <w:bCs/>
                <w:highlight w:val="none"/>
              </w:rPr>
              <w:t xml:space="preserve">Перевезено пассажиров</w:t>
            </w:r>
            <w:r>
              <w:rPr>
                <w:rFonts w:ascii="Liberation Sans" w:hAnsi="Liberation Sans" w:cs="Liberation Sans"/>
                <w:highlight w:val="none"/>
              </w:rPr>
              <w:t xml:space="preserve">: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/>
        <w:tc>
          <w:tcPr>
            <w:tcW w:w="673" w:type="dxa"/>
            <w:vMerge w:val="continue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szCs w:val="28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2445" w:type="dxa"/>
            <w:textDirection w:val="lrTb"/>
            <w:noWrap w:val="false"/>
          </w:tcPr>
          <w:p>
            <w:pPr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воздушным транспортом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Тыс. человек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08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955,0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1 032,0*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1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1 055,0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102,2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/>
        <w:tc>
          <w:tcPr>
            <w:tcW w:w="673" w:type="dxa"/>
            <w:vMerge w:val="continue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szCs w:val="28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2445" w:type="dxa"/>
            <w:textDirection w:val="lrTb"/>
            <w:noWrap w:val="false"/>
          </w:tcPr>
          <w:p>
            <w:pPr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автомобильным транспортом 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Тыс. человек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08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6 704,4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6 56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5,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9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W w:w="11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7 253,3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110,5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</w:tr>
      <w:tr>
        <w:trPr/>
        <w:tc>
          <w:tcPr>
            <w:tcW w:w="673" w:type="dxa"/>
            <w:vMerge w:val="continue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szCs w:val="28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2445" w:type="dxa"/>
            <w:textDirection w:val="lrTb"/>
            <w:noWrap w:val="false"/>
          </w:tcPr>
          <w:p>
            <w:pPr>
              <w:spacing w:after="0" w:line="240" w:lineRule="auto"/>
              <w:shd w:val="clear" w:color="auto" w:fill="auto"/>
              <w:widowControl w:val="off"/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железнодорожным транспортом </w:t>
            </w:r>
            <w:r>
              <w:rPr>
                <w:highlight w:val="none"/>
              </w:rPr>
            </w:r>
            <w:r/>
          </w:p>
        </w:tc>
        <w:tc>
          <w:tcPr>
            <w:tcW w:w="12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Тыс. человек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08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315,1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325,3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1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279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85,8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/>
        <w:tc>
          <w:tcPr>
            <w:tcW w:w="673" w:type="dxa"/>
            <w:vMerge w:val="restart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Cs w:val="28"/>
                <w:highlight w:val="none"/>
              </w:rPr>
              <w:t xml:space="preserve">4.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gridSpan w:val="6"/>
            <w:tcW w:w="8900" w:type="dxa"/>
            <w:textDirection w:val="lrTb"/>
            <w:noWrap w:val="false"/>
          </w:tcPr>
          <w:p>
            <w:pPr>
              <w:pStyle w:val="1131"/>
              <w:ind w:left="0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b/>
                <w:bCs/>
                <w:highlight w:val="none"/>
              </w:rPr>
              <w:t xml:space="preserve">Пассажирооборот: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/>
        <w:tc>
          <w:tcPr>
            <w:tcW w:w="673" w:type="dxa"/>
            <w:vMerge w:val="continue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sz w:val="28"/>
                <w:szCs w:val="28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2445" w:type="dxa"/>
            <w:textDirection w:val="lrTb"/>
            <w:noWrap w:val="false"/>
          </w:tcPr>
          <w:p>
            <w:pPr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автомобильным транспортом 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Тыс. 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br/>
              <w:t xml:space="preserve">пасс. км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0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47 732,0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48 149,1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1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52 409,8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108,8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</w:tbl>
    <w:p>
      <w:pPr>
        <w:pStyle w:val="1131"/>
        <w:ind w:left="0"/>
        <w:spacing w:before="0" w:beforeAutospacing="0" w:after="0" w:afterAutospacing="0" w:line="240" w:lineRule="auto"/>
        <w:shd w:val="clear" w:color="auto" w:fill="auto"/>
        <w:widowControl w:val="off"/>
      </w:pPr>
      <w:r>
        <w:rPr>
          <w:rFonts w:ascii="Liberation Sans" w:hAnsi="Liberation Sans" w:cs="Liberation Sans"/>
          <w:sz w:val="20"/>
          <w:szCs w:val="20"/>
          <w:highlight w:val="none"/>
        </w:rPr>
      </w:r>
      <w:r>
        <w:rPr>
          <w:rFonts w:ascii="Liberation Sans" w:hAnsi="Liberation Sans" w:cs="Liberation Sans"/>
          <w:sz w:val="20"/>
          <w:szCs w:val="20"/>
          <w:highlight w:val="none"/>
        </w:rPr>
        <w:t xml:space="preserve">*Уточнено</w:t>
      </w:r>
      <w:r>
        <w:rPr>
          <w:highlight w:val="none"/>
        </w:rPr>
        <w:t xml:space="preserve">.</w:t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sz w:val="28"/>
          <w:szCs w:val="28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sz w:val="28"/>
          <w:szCs w:val="28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 данным 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ОМВД Рос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сии по городу 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Новому Уренгою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  <w:br/>
        <w:t xml:space="preserve">по состоянию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 31.12.20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зарегистрировано 94 598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автотранспортных средств, что на 4,7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 больше уровня 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года.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частной собственности находил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ось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55 447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автотранспортных средств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(</w:t>
      </w:r>
      <w:r>
        <w:rPr>
          <w:rFonts w:ascii="Liberation Sans" w:hAnsi="Liberation Sans" w:cs="Liberation Sans"/>
          <w:sz w:val="28"/>
          <w:szCs w:val="28"/>
        </w:rPr>
        <w:t xml:space="preserve">58,</w:t>
      </w:r>
      <w:r>
        <w:rPr>
          <w:rFonts w:ascii="Liberation Sans" w:hAnsi="Liberation Sans" w:cs="Liberation Sans"/>
          <w:sz w:val="28"/>
          <w:szCs w:val="28"/>
        </w:rPr>
        <w:t xml:space="preserve">6%), из них </w:t>
      </w:r>
      <w:r>
        <w:rPr>
          <w:rFonts w:ascii="Liberation Sans" w:hAnsi="Liberation Sans" w:cs="Liberation Sans"/>
          <w:sz w:val="28"/>
          <w:szCs w:val="28"/>
        </w:rPr>
        <w:t xml:space="preserve">88,3</w:t>
      </w:r>
      <w:r>
        <w:rPr>
          <w:rFonts w:ascii="Liberation Sans" w:hAnsi="Liberation Sans" w:cs="Liberation Sans"/>
          <w:sz w:val="28"/>
          <w:szCs w:val="28"/>
        </w:rPr>
        <w:t xml:space="preserve">% - легковые автомобили. </w:t>
      </w:r>
      <w:r>
        <w:rPr>
          <w:rFonts w:ascii="Liberation Sans" w:hAnsi="Liberation Sans" w:cs="Liberation Sans"/>
          <w:sz w:val="28"/>
          <w:szCs w:val="28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sz w:val="28"/>
          <w:szCs w:val="28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  <w14:ligatures w14:val="none"/>
        </w:rPr>
      </w:r>
      <w:r/>
    </w:p>
    <w:p>
      <w:pPr>
        <w:pStyle w:val="1131"/>
        <w:ind w:left="0" w:firstLine="709"/>
        <w:jc w:val="center"/>
        <w:spacing w:after="0" w:afterAutospacing="0"/>
        <w:shd w:val="clear" w:color="auto" w:fill="auto"/>
        <w:widowControl w:val="off"/>
      </w:pP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Количество автотранспортных средств, 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br/>
        <w:t xml:space="preserve">состоящих на учете в ОГИБДД ОМВД России </w:t>
        <w:br/>
        <w:t xml:space="preserve">по городу Новому Уренгою</w:t>
      </w:r>
      <w:r>
        <w:rPr>
          <w:highlight w:val="none"/>
        </w:rPr>
      </w:r>
      <w:r/>
    </w:p>
    <w:p>
      <w:pPr>
        <w:pStyle w:val="1131"/>
        <w:ind w:left="0" w:firstLine="709"/>
        <w:jc w:val="center"/>
        <w:spacing w:after="0" w:afterAutospacing="0"/>
        <w:shd w:val="clear" w:color="auto" w:fill="auto"/>
        <w:widowControl w:val="off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highlight w:val="none"/>
        </w:rPr>
      </w:r>
      <w:r/>
    </w:p>
    <w:p>
      <w:pPr>
        <w:pStyle w:val="1131"/>
        <w:ind w:left="0" w:firstLine="709"/>
        <w:jc w:val="right"/>
        <w:spacing w:after="0" w:afterAutospacing="0"/>
        <w:shd w:val="clear" w:color="auto" w:fill="auto"/>
        <w:widowControl w:val="off"/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Т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аблица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4</w:t>
      </w:r>
      <w:r>
        <w:rPr>
          <w:color w:val="auto"/>
          <w:highlight w:val="none"/>
        </w:rPr>
      </w:r>
      <w:r/>
    </w:p>
    <w:tbl>
      <w:tblPr>
        <w:tblStyle w:val="974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402"/>
        <w:gridCol w:w="1134"/>
        <w:gridCol w:w="1134"/>
        <w:gridCol w:w="1134"/>
        <w:gridCol w:w="1843"/>
      </w:tblGrid>
      <w:tr>
        <w:trPr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7" w:type="dxa"/>
            <w:textDirection w:val="lrTb"/>
            <w:noWrap w:val="false"/>
          </w:tcPr>
          <w:p>
            <w:pPr>
              <w:ind w:right="-1"/>
              <w:jc w:val="center"/>
              <w:spacing w:after="0" w:afterAutospacing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№ п/п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2" w:type="dxa"/>
            <w:textDirection w:val="lrTb"/>
            <w:noWrap w:val="false"/>
          </w:tcPr>
          <w:p>
            <w:pPr>
              <w:ind w:right="-1"/>
              <w:jc w:val="center"/>
              <w:spacing w:after="0" w:afterAutospacing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Показатели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ind w:right="-1"/>
              <w:jc w:val="center"/>
              <w:spacing w:after="0" w:afterAutospacing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2021 год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ind w:right="-1"/>
              <w:jc w:val="center"/>
              <w:spacing w:after="0" w:afterAutospacing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2022 год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ind w:right="-1"/>
              <w:jc w:val="center"/>
              <w:spacing w:after="0" w:afterAutospacing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2023 год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ind w:right="-1"/>
              <w:jc w:val="center"/>
              <w:spacing w:after="0" w:afterAutospacing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2023 год 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br/>
              <w:t xml:space="preserve">к 2022 году, %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7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2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6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817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2" w:type="dxa"/>
            <w:textDirection w:val="lrTb"/>
            <w:noWrap w:val="false"/>
          </w:tcPr>
          <w:p>
            <w:pPr>
              <w:pStyle w:val="1131"/>
              <w:ind w:left="0"/>
              <w:jc w:val="both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Количество автотранспортных средств, ед.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87 358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90 357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94 598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104,7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7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2" w:type="dxa"/>
            <w:textDirection w:val="lrTb"/>
            <w:noWrap w:val="false"/>
          </w:tcPr>
          <w:p>
            <w:pPr>
              <w:pStyle w:val="1131"/>
              <w:ind w:left="0"/>
              <w:jc w:val="both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из них: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5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>
          <w:trHeight w:val="229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817" w:type="dxa"/>
            <w:vMerge w:val="restart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1.1.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2" w:type="dxa"/>
            <w:textDirection w:val="lrTb"/>
            <w:noWrap w:val="false"/>
          </w:tcPr>
          <w:p>
            <w:pPr>
              <w:pStyle w:val="1131"/>
              <w:ind w:left="0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в частной собственности, ед.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51 583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53 469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55 447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103,7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/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7" w:type="dxa"/>
            <w:vMerge w:val="continue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2" w:type="dxa"/>
            <w:textDirection w:val="lrTb"/>
            <w:noWrap w:val="false"/>
          </w:tcPr>
          <w:p>
            <w:pPr>
              <w:pStyle w:val="1131"/>
              <w:ind w:left="0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из них: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245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17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1.1.1.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02" w:type="dxa"/>
            <w:textDirection w:val="lrTb"/>
            <w:noWrap w:val="false"/>
          </w:tcPr>
          <w:p>
            <w:pPr>
              <w:pStyle w:val="1131"/>
              <w:ind w:left="0"/>
              <w:jc w:val="both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легковых автомобилей, ед.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43 471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44 721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34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48 958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shd w:val="clear" w:color="auto" w:fill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109,5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</w:tbl>
    <w:p>
      <w:pPr>
        <w:ind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sz w:val="28"/>
          <w:szCs w:val="28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  <w14:ligatures w14:val="none"/>
        </w:rPr>
      </w:r>
      <w:r/>
    </w:p>
    <w:p>
      <w:pPr>
        <w:pStyle w:val="1131"/>
        <w:ind w:left="0" w:firstLine="709"/>
        <w:jc w:val="both"/>
        <w:spacing w:after="0"/>
        <w:shd w:val="clear" w:color="auto" w:fill="auto"/>
        <w:widowControl w:val="off"/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Обеспеченность населения собственными автотранспортными средствами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2023 году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составила 519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ед. на 1 000 человек населения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(2022 год - 500, 2021 год - 435,7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).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pStyle w:val="1154"/>
        <w:ind w:left="0" w:firstLine="709"/>
        <w:jc w:val="both"/>
        <w:widowControl w:val="off"/>
        <w:tabs>
          <w:tab w:val="left" w:pos="293" w:leader="none"/>
        </w:tabs>
        <w:rPr>
          <w:rFonts w:ascii="Liberation Sans" w:hAnsi="Liberation Sans" w:cs="Liberation Sans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highlight w:val="none"/>
        </w:rPr>
      </w:r>
      <w:r>
        <w:rPr>
          <w:rFonts w:ascii="Liberation Sans" w:hAnsi="Liberation Sans" w:cs="Liberation Sans"/>
          <w:highlight w:val="none"/>
        </w:rPr>
      </w:r>
      <w:r/>
    </w:p>
    <w:p>
      <w:pPr>
        <w:pStyle w:val="946"/>
        <w:jc w:val="center"/>
        <w:spacing w:before="0" w:beforeAutospacing="0" w:after="0" w:afterAutospacing="0" w:line="240" w:lineRule="auto"/>
        <w:rPr>
          <w:rStyle w:val="947"/>
          <w:rFonts w:ascii="Liberation Sans" w:hAnsi="Liberation Sans" w:cs="Liberation Sans"/>
          <w14:ligatures w14:val="none"/>
        </w:rPr>
      </w:pPr>
      <w:r/>
      <w:bookmarkStart w:id="9" w:name="_Toc9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sz w:val="28"/>
          <w:szCs w:val="28"/>
        </w:rPr>
        <w:t xml:space="preserve">1.2.</w:t>
      </w:r>
      <w:r>
        <w:rPr>
          <w:rFonts w:ascii="Liberation Sans" w:hAnsi="Liberation Sans" w:cs="Liberation Sans"/>
          <w:b/>
          <w:bCs/>
          <w:i w:val="0"/>
          <w:sz w:val="28"/>
          <w:szCs w:val="28"/>
        </w:rPr>
        <w:t xml:space="preserve">4</w:t>
      </w:r>
      <w:r>
        <w:rPr>
          <w:rFonts w:ascii="Liberation Sans" w:hAnsi="Liberation Sans" w:cs="Liberation Sans"/>
          <w:b/>
          <w:bCs/>
          <w:i w:val="0"/>
          <w:sz w:val="28"/>
          <w:szCs w:val="28"/>
        </w:rPr>
        <w:t xml:space="preserve">. </w:t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Строительство</w:t>
      </w:r>
      <w:bookmarkEnd w:id="0"/>
      <w:r/>
      <w:bookmarkEnd w:id="9"/>
      <w:r>
        <w:rPr>
          <w:rStyle w:val="947"/>
          <w:rFonts w:ascii="Liberation Sans" w:hAnsi="Liberation Sans" w:cs="Liberation Sans"/>
          <w14:ligatures w14:val="none"/>
        </w:rPr>
      </w:r>
      <w:r/>
    </w:p>
    <w:p>
      <w:pPr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pacing w:val="-4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spacing w:val="-4"/>
          <w:sz w:val="28"/>
          <w:szCs w:val="28"/>
          <w:highlight w:val="none"/>
        </w:rPr>
        <w:t xml:space="preserve">бъем строительных работ</w:t>
      </w:r>
      <w:r>
        <w:rPr>
          <w:rFonts w:ascii="Liberation Sans" w:hAnsi="Liberation Sans" w:cs="Liberation Sans"/>
          <w:spacing w:val="-4"/>
          <w:sz w:val="28"/>
          <w:szCs w:val="28"/>
          <w:highlight w:val="none"/>
        </w:rPr>
        <w:t xml:space="preserve"> в 2023 году составил 57 266,7 млн руб., что в 1,8 раза больше, чем в </w:t>
      </w:r>
      <w:r>
        <w:rPr>
          <w:rFonts w:ascii="Liberation Sans" w:hAnsi="Liberation Sans" w:cs="Liberation Sans"/>
          <w:spacing w:val="-4"/>
          <w:sz w:val="28"/>
          <w:szCs w:val="28"/>
          <w:highlight w:val="none"/>
        </w:rPr>
        <w:t xml:space="preserve">2022 году.</w:t>
      </w:r>
      <w:r>
        <w:rPr>
          <w:rFonts w:ascii="Liberation Sans" w:hAnsi="Liberation Sans" w:cs="Liberation Sans"/>
          <w:spacing w:val="-4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pacing w:val="-4"/>
          <w:sz w:val="28"/>
          <w:szCs w:val="28"/>
          <w:highlight w:val="none"/>
        </w:rPr>
        <w:t xml:space="preserve">В общем объеме </w:t>
      </w:r>
      <w:r>
        <w:rPr>
          <w:rFonts w:ascii="Liberation Sans" w:hAnsi="Liberation Sans" w:cs="Liberation Sans"/>
          <w:spacing w:val="-4"/>
          <w:sz w:val="28"/>
          <w:szCs w:val="28"/>
          <w:highlight w:val="none"/>
        </w:rPr>
        <w:t xml:space="preserve">строительных работ</w:t>
      </w:r>
      <w:r>
        <w:rPr>
          <w:rFonts w:ascii="Liberation Sans" w:hAnsi="Liberation Sans" w:cs="Liberation Sans"/>
          <w:spacing w:val="-4"/>
          <w:sz w:val="28"/>
          <w:szCs w:val="28"/>
          <w:highlight w:val="none"/>
        </w:rPr>
        <w:t xml:space="preserve"> на территории автономного округа доля муниципального образования составила 21,9</w:t>
      </w:r>
      <w:r>
        <w:rPr>
          <w:rFonts w:ascii="Liberation Sans" w:hAnsi="Liberation Sans" w:cs="Liberation Sans"/>
          <w:spacing w:val="-4"/>
          <w:sz w:val="28"/>
          <w:szCs w:val="28"/>
          <w:highlight w:val="none"/>
        </w:rPr>
        <w:t xml:space="preserve">%.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pacing w:val="-4"/>
          <w:sz w:val="28"/>
          <w:szCs w:val="28"/>
          <w:highlight w:val="none"/>
        </w:rPr>
        <w:t xml:space="preserve">На протяжении 16</w:t>
      </w:r>
      <w:r>
        <w:rPr>
          <w:rFonts w:ascii="Liberation Sans" w:hAnsi="Liberation Sans" w:cs="Liberation Sans"/>
          <w:spacing w:val="-4"/>
          <w:sz w:val="28"/>
          <w:szCs w:val="28"/>
          <w:highlight w:val="none"/>
        </w:rPr>
        <w:t xml:space="preserve"> лет п</w:t>
      </w:r>
      <w:r>
        <w:rPr>
          <w:rFonts w:ascii="Liberation Sans" w:hAnsi="Liberation Sans" w:cs="Liberation Sans"/>
          <w:spacing w:val="-4"/>
          <w:sz w:val="28"/>
          <w:szCs w:val="28"/>
          <w:highlight w:val="none"/>
        </w:rPr>
        <w:t xml:space="preserve">о данному показателю в абсолютном выражении муниципальное образование занимает 1 место среди городских ок</w:t>
      </w:r>
      <w:r>
        <w:rPr>
          <w:rFonts w:ascii="Liberation Sans" w:hAnsi="Liberation Sans" w:cs="Liberation Sans"/>
          <w:spacing w:val="-4"/>
          <w:sz w:val="28"/>
          <w:szCs w:val="28"/>
          <w:highlight w:val="none"/>
        </w:rPr>
        <w:t xml:space="preserve">ругов автономного округа.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pacing w:val="-4"/>
          <w:sz w:val="28"/>
          <w:szCs w:val="28"/>
          <w:highlight w:val="none"/>
        </w:rPr>
      </w:r>
      <w:r>
        <w:rPr>
          <w:rFonts w:ascii="Liberation Sans" w:hAnsi="Liberation Sans" w:cs="Liberation Sans"/>
          <w:spacing w:val="-4"/>
          <w:sz w:val="28"/>
          <w:szCs w:val="28"/>
          <w:highlight w:val="none"/>
        </w:rPr>
        <w:drawing>
          <wp:inline distT="0" distB="0" distL="0" distR="0">
            <wp:extent cx="5472309" cy="2743367"/>
            <wp:effectExtent l="3175" t="3175" r="3175" b="3175"/>
            <wp:docPr id="5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rFonts w:ascii="Liberation Sans" w:hAnsi="Liberation Sans" w:cs="Liberation Sans"/>
          <w:highlight w:val="none"/>
        </w:rPr>
      </w:r>
      <w:r/>
    </w:p>
    <w:p>
      <w:pPr>
        <w:pStyle w:val="1131"/>
        <w:ind w:left="0"/>
        <w:jc w:val="both"/>
        <w:spacing w:after="0"/>
        <w:widowControl w:val="off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pacing w:val="-4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12"/>
        <w:jc w:val="both"/>
        <w:spacing w:after="0" w:line="240" w:lineRule="auto"/>
        <w:tabs>
          <w:tab w:val="left" w:pos="426" w:leader="none"/>
        </w:tabs>
        <w:rPr>
          <w:rFonts w:ascii="Liberation Sans" w:hAnsi="Liberation Sans" w:eastAsia="Liberation Sans" w:cs="Liberation Sans"/>
          <w:bCs w:val="0"/>
          <w:color w:val="auto"/>
          <w:highlight w:val="none"/>
        </w:rPr>
      </w:pP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Вв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е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ден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ы в 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эксплуатацию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 следующие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 объекты: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b w:val="0"/>
          <w:i w:val="0"/>
          <w:strike w:val="0"/>
          <w:color w:val="auto"/>
          <w:sz w:val="28"/>
          <w:szCs w:val="28"/>
          <w:highlight w:val="none"/>
          <w:u w:val="none"/>
          <w:vertAlign w:val="baseline"/>
        </w:rPr>
        <w:t xml:space="preserve">общеобразовательные школы</w:t>
      </w:r>
      <w:r>
        <w:rPr>
          <w:rFonts w:ascii="Liberation Sans" w:hAnsi="Liberation Sans" w:eastAsia="Liberation Sans" w:cs="Liberation Sans"/>
          <w:b w:val="0"/>
          <w:i w:val="0"/>
          <w:strike w:val="0"/>
          <w:color w:val="auto"/>
          <w:sz w:val="28"/>
          <w:szCs w:val="28"/>
          <w:highlight w:val="none"/>
          <w:u w:val="none"/>
        </w:rPr>
        <w:t xml:space="preserve"> с бассейнами</w:t>
      </w:r>
      <w:r>
        <w:rPr>
          <w:rFonts w:ascii="Liberation Sans" w:hAnsi="Liberation Sans" w:eastAsia="Liberation Sans" w:cs="Liberation Sans"/>
          <w:b w:val="0"/>
          <w:i w:val="0"/>
          <w:strike w:val="0"/>
          <w:color w:val="auto"/>
          <w:sz w:val="28"/>
          <w:szCs w:val="28"/>
          <w:highlight w:val="none"/>
          <w:u w:val="none"/>
        </w:rPr>
        <w:t xml:space="preserve"> на 1 600 мест </w:t>
        <w:br/>
        <w:t xml:space="preserve">в мкр. Славянск</w:t>
      </w:r>
      <w:r>
        <w:rPr>
          <w:rFonts w:ascii="Liberation Sans" w:hAnsi="Liberation Sans" w:eastAsia="Liberation Sans" w:cs="Liberation Sans"/>
          <w:b w:val="0"/>
          <w:bCs w:val="0"/>
          <w:i w:val="0"/>
          <w:iCs w:val="0"/>
          <w:strike w:val="0"/>
          <w:color w:val="auto"/>
          <w:sz w:val="28"/>
          <w:szCs w:val="28"/>
          <w:highlight w:val="none"/>
          <w:u w:val="none"/>
        </w:rPr>
        <w:t xml:space="preserve">ий</w:t>
      </w:r>
      <w:r>
        <w:rPr>
          <w:rFonts w:ascii="Liberation Sans" w:hAnsi="Liberation Sans" w:eastAsia="Liberation Sans" w:cs="Liberation Sans"/>
          <w:b w:val="0"/>
          <w:bCs w:val="0"/>
          <w:i w:val="0"/>
          <w:iCs w:val="0"/>
          <w:strike w:val="0"/>
          <w:color w:val="auto"/>
          <w:sz w:val="28"/>
          <w:szCs w:val="28"/>
          <w:highlight w:val="none"/>
          <w:u w:val="none"/>
        </w:rPr>
        <w:t xml:space="preserve"> и на 800 мест в мкр. Тундровый,</w:t>
      </w:r>
      <w:r>
        <w:rPr>
          <w:rFonts w:ascii="Liberation Sans" w:hAnsi="Liberation Sans" w:eastAsia="Liberation Sans" w:cs="Liberation Sans"/>
          <w:b w:val="0"/>
          <w:bCs w:val="0"/>
          <w:i w:val="0"/>
          <w:iCs w:val="0"/>
          <w:strike w:val="0"/>
          <w:color w:val="auto"/>
          <w:sz w:val="28"/>
          <w:szCs w:val="28"/>
          <w:highlight w:val="none"/>
          <w:u w:val="none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i w:val="0"/>
          <w:iCs w:val="0"/>
          <w:strike w:val="0"/>
          <w:color w:val="auto"/>
          <w:sz w:val="28"/>
          <w:szCs w:val="28"/>
          <w:highlight w:val="none"/>
          <w:u w:val="none"/>
        </w:rPr>
        <w:t xml:space="preserve">радиотерапевтический корпус </w:t>
      </w:r>
      <w:r>
        <w:rPr>
          <w:rFonts w:ascii="Liberation Sans" w:hAnsi="Liberation Sans" w:eastAsia="Liberation Sans" w:cs="Liberation Sans"/>
          <w:b w:val="0"/>
          <w:bCs w:val="0"/>
          <w:i w:val="0"/>
          <w:iCs w:val="0"/>
          <w:strike w:val="0"/>
          <w:color w:val="auto"/>
          <w:sz w:val="28"/>
          <w:szCs w:val="28"/>
          <w:highlight w:val="none"/>
          <w:u w:val="none"/>
        </w:rPr>
        <w:t xml:space="preserve">ГБУЗ ЯНАО «Новоуренгойская центральная городская больни</w:t>
      </w:r>
      <w:r>
        <w:rPr>
          <w:rFonts w:ascii="Liberation Sans" w:hAnsi="Liberation Sans" w:eastAsia="Liberation Sans" w:cs="Liberation Sans"/>
          <w:b w:val="0"/>
          <w:bCs w:val="0"/>
          <w:i w:val="0"/>
          <w:iCs w:val="0"/>
          <w:strike w:val="0"/>
          <w:color w:val="auto"/>
          <w:sz w:val="28"/>
          <w:szCs w:val="28"/>
          <w:highlight w:val="none"/>
          <w:u w:val="none"/>
        </w:rPr>
        <w:t xml:space="preserve">ца» </w:t>
      </w:r>
      <w:r>
        <w:rPr>
          <w:rFonts w:ascii="Liberation Sans" w:hAnsi="Liberation Sans" w:eastAsia="Liberation Sans" w:cs="Liberation Sans"/>
          <w:b w:val="0"/>
          <w:bCs w:val="0"/>
          <w:i w:val="0"/>
          <w:iCs w:val="0"/>
          <w:strike w:val="0"/>
          <w:color w:val="auto"/>
          <w:sz w:val="28"/>
          <w:szCs w:val="28"/>
          <w:highlight w:val="none"/>
          <w:u w:val="none"/>
        </w:rPr>
        <w:t xml:space="preserve">на 35 коек</w:t>
      </w:r>
      <w:r>
        <w:rPr>
          <w:rFonts w:ascii="Liberation Sans" w:hAnsi="Liberation Sans" w:eastAsia="Liberation Sans" w:cs="Liberation Sans"/>
          <w:b w:val="0"/>
          <w:bCs w:val="0"/>
          <w:i w:val="0"/>
          <w:iCs w:val="0"/>
          <w:strike w:val="0"/>
          <w:color w:val="auto"/>
          <w:sz w:val="28"/>
          <w:szCs w:val="28"/>
          <w:highlight w:val="none"/>
          <w:u w:val="none"/>
        </w:rPr>
        <w:t xml:space="preserve">, </w:t>
      </w:r>
      <w:r>
        <w:rPr>
          <w:rFonts w:ascii="Liberation Sans" w:hAnsi="Liberation Sans" w:eastAsia="Liberation Sans" w:cs="Liberation Sans"/>
          <w:b w:val="0"/>
          <w:bCs w:val="0"/>
          <w:i w:val="0"/>
          <w:iCs w:val="0"/>
          <w:strike w:val="0"/>
          <w:color w:val="auto"/>
          <w:sz w:val="28"/>
          <w:szCs w:val="28"/>
          <w:highlight w:val="none"/>
          <w:u w:val="none"/>
        </w:rPr>
        <w:t xml:space="preserve">п</w:t>
      </w:r>
      <w:r>
        <w:rPr>
          <w:rFonts w:ascii="Liberation Sans" w:hAnsi="Liberation Sans" w:eastAsia="Liberation Sans" w:cs="Liberation Sans"/>
          <w:b w:val="0"/>
          <w:bCs w:val="0"/>
          <w:i w:val="0"/>
          <w:iCs w:val="0"/>
          <w:strike w:val="0"/>
          <w:color w:val="auto"/>
          <w:sz w:val="28"/>
          <w:szCs w:val="28"/>
          <w:highlight w:val="none"/>
          <w:u w:val="none"/>
        </w:rPr>
        <w:t xml:space="preserve">ожарное депо в районе Коротчаево площадью 3 165,8 кв. м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и пр.</w:t>
      </w:r>
      <w:r>
        <w:rPr>
          <w:rFonts w:ascii="Liberation Sans" w:hAnsi="Liberation Sans" w:eastAsia="Liberation Sans" w:cs="Liberation Sans"/>
          <w:bCs w:val="0"/>
          <w:color w:val="auto"/>
          <w:highlight w:val="none"/>
        </w:rPr>
      </w:r>
      <w:r/>
    </w:p>
    <w:p>
      <w:pPr>
        <w:ind w:firstLine="712"/>
        <w:jc w:val="both"/>
        <w:spacing w:after="0" w:line="240" w:lineRule="auto"/>
        <w:tabs>
          <w:tab w:val="left" w:pos="426" w:leader="none"/>
        </w:tabs>
        <w:rPr>
          <w:rFonts w:ascii="Liberation Sans" w:hAnsi="Liberation Sans" w:eastAsia="Liberation Sans" w:cs="Liberation Sans"/>
          <w:b w:val="0"/>
          <w:bCs w:val="0"/>
          <w:i w:val="0"/>
          <w:strike w:val="0"/>
          <w:color w:val="auto"/>
          <w:sz w:val="28"/>
          <w:szCs w:val="28"/>
          <w:highlight w:val="none"/>
          <w:u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b w:val="0"/>
          <w:bCs w:val="0"/>
          <w:i w:val="0"/>
          <w:iCs w:val="0"/>
          <w:strike w:val="0"/>
          <w:color w:val="auto"/>
          <w:sz w:val="28"/>
          <w:szCs w:val="28"/>
          <w:highlight w:val="none"/>
          <w:u w:val="none"/>
        </w:rPr>
        <w:t xml:space="preserve">В 2023 году завершено строительство восьми </w:t>
      </w:r>
      <w:r>
        <w:rPr>
          <w:rFonts w:ascii="Liberation Sans" w:hAnsi="Liberation Sans" w:eastAsia="Liberation Sans" w:cs="Liberation Sans"/>
          <w:b w:val="0"/>
          <w:bCs w:val="0"/>
          <w:i w:val="0"/>
          <w:iCs w:val="0"/>
          <w:strike w:val="0"/>
          <w:color w:val="auto"/>
          <w:sz w:val="28"/>
          <w:szCs w:val="28"/>
          <w:highlight w:val="none"/>
          <w:u w:val="none"/>
        </w:rPr>
        <w:t xml:space="preserve">12-этажных домов </w:t>
      </w:r>
      <w:r>
        <w:rPr>
          <w:rFonts w:ascii="Liberation Sans" w:hAnsi="Liberation Sans" w:eastAsia="Liberation Sans" w:cs="Liberation Sans"/>
          <w:b w:val="0"/>
          <w:bCs w:val="0"/>
          <w:i w:val="0"/>
          <w:iCs w:val="0"/>
          <w:strike w:val="0"/>
          <w:color w:val="auto"/>
          <w:sz w:val="28"/>
          <w:szCs w:val="28"/>
          <w:highlight w:val="none"/>
          <w:u w:val="none"/>
        </w:rPr>
        <w:t xml:space="preserve">в </w:t>
      </w:r>
      <w:r>
        <w:rPr>
          <w:rFonts w:ascii="Liberation Sans" w:hAnsi="Liberation Sans" w:eastAsia="Liberation Sans" w:cs="Liberation Sans"/>
          <w:b w:val="0"/>
          <w:bCs w:val="0"/>
          <w:i w:val="0"/>
          <w:iCs w:val="0"/>
          <w:strike w:val="0"/>
          <w:color w:val="auto"/>
          <w:sz w:val="28"/>
          <w:szCs w:val="28"/>
          <w:highlight w:val="none"/>
          <w:u w:val="none"/>
        </w:rPr>
        <w:t xml:space="preserve">современном микрорайоне </w:t>
      </w:r>
      <w:r>
        <w:rPr>
          <w:rFonts w:ascii="Liberation Sans" w:hAnsi="Liberation Sans" w:eastAsia="Liberation Sans" w:cs="Liberation Sans"/>
          <w:b w:val="0"/>
          <w:bCs w:val="0"/>
          <w:i w:val="0"/>
          <w:iCs w:val="0"/>
          <w:strike w:val="0"/>
          <w:color w:val="auto"/>
          <w:sz w:val="28"/>
          <w:szCs w:val="28"/>
          <w:highlight w:val="none"/>
          <w:u w:val="none"/>
        </w:rPr>
        <w:t xml:space="preserve">комплексной застройки</w:t>
      </w:r>
      <w:r>
        <w:rPr>
          <w:rFonts w:ascii="Liberation Sans" w:hAnsi="Liberation Sans" w:eastAsia="Liberation Sans" w:cs="Liberation Sans"/>
          <w:b w:val="0"/>
          <w:bCs w:val="0"/>
          <w:i w:val="0"/>
          <w:iCs w:val="0"/>
          <w:strike w:val="0"/>
          <w:color w:val="auto"/>
          <w:sz w:val="28"/>
          <w:szCs w:val="28"/>
          <w:highlight w:val="none"/>
          <w:u w:val="none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i w:val="0"/>
          <w:iCs w:val="0"/>
          <w:strike w:val="0"/>
          <w:color w:val="auto"/>
          <w:sz w:val="28"/>
          <w:szCs w:val="28"/>
          <w:highlight w:val="none"/>
          <w:u w:val="none"/>
        </w:rPr>
        <w:t xml:space="preserve">«Славянский»</w:t>
      </w:r>
      <w:r>
        <w:rPr>
          <w:rFonts w:ascii="Liberation Sans" w:hAnsi="Liberation Sans" w:eastAsia="Liberation Sans" w:cs="Liberation Sans"/>
          <w:b w:val="0"/>
          <w:bCs w:val="0"/>
          <w:i w:val="0"/>
          <w:iCs w:val="0"/>
          <w:strike w:val="0"/>
          <w:color w:val="auto"/>
          <w:sz w:val="28"/>
          <w:szCs w:val="28"/>
          <w:highlight w:val="none"/>
          <w:u w:val="none"/>
        </w:rPr>
        <w:t xml:space="preserve">.</w:t>
      </w:r>
      <w:r>
        <w:rPr>
          <w:rFonts w:ascii="Liberation Sans" w:hAnsi="Liberation Sans" w:eastAsia="Liberation Sans" w:cs="Liberation Sans"/>
          <w:b w:val="0"/>
          <w:bCs w:val="0"/>
          <w:i w:val="0"/>
          <w:iCs w:val="0"/>
          <w:strike w:val="0"/>
          <w:color w:val="auto"/>
          <w:sz w:val="28"/>
          <w:szCs w:val="28"/>
          <w:highlight w:val="none"/>
          <w:u w:val="none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i w:val="0"/>
          <w:iCs w:val="0"/>
          <w:strike w:val="0"/>
          <w:color w:val="auto"/>
          <w:sz w:val="28"/>
          <w:szCs w:val="28"/>
          <w:highlight w:val="none"/>
          <w:u w:val="none"/>
        </w:rPr>
        <w:t xml:space="preserve">Основная часть жилья предназначена для расселения аварийных домов и переселения людей из </w:t>
      </w:r>
      <w:r>
        <w:rPr>
          <w:rFonts w:ascii="Liberation Sans" w:hAnsi="Liberation Sans" w:eastAsia="Liberation Sans" w:cs="Liberation Sans"/>
          <w:b w:val="0"/>
          <w:bCs w:val="0"/>
          <w:i w:val="0"/>
          <w:iCs w:val="0"/>
          <w:strike w:val="0"/>
          <w:color w:val="auto"/>
          <w:sz w:val="28"/>
          <w:szCs w:val="28"/>
          <w:highlight w:val="none"/>
          <w:u w:val="none"/>
        </w:rPr>
        <w:t xml:space="preserve">поселка</w:t>
      </w:r>
      <w:r>
        <w:rPr>
          <w:rFonts w:ascii="Liberation Sans" w:hAnsi="Liberation Sans" w:eastAsia="Liberation Sans" w:cs="Liberation Sans"/>
          <w:b w:val="0"/>
          <w:bCs w:val="0"/>
          <w:i w:val="0"/>
          <w:iCs w:val="0"/>
          <w:strike w:val="0"/>
          <w:color w:val="auto"/>
          <w:sz w:val="28"/>
          <w:szCs w:val="28"/>
          <w:highlight w:val="none"/>
          <w:u w:val="none"/>
        </w:rPr>
        <w:t xml:space="preserve"> Газ-Сале. </w:t>
      </w:r>
      <w:r>
        <w:rPr>
          <w:rFonts w:ascii="Liberation Sans" w:hAnsi="Liberation Sans" w:eastAsia="Liberation Sans" w:cs="Liberation Sans"/>
          <w:b w:val="0"/>
          <w:bCs w:val="0"/>
          <w:i w:val="0"/>
          <w:strike w:val="0"/>
          <w:color w:val="auto"/>
          <w:sz w:val="28"/>
          <w:szCs w:val="28"/>
          <w:highlight w:val="none"/>
          <w:u w:val="none"/>
        </w:rPr>
      </w:r>
      <w:r/>
    </w:p>
    <w:p>
      <w:pPr>
        <w:pStyle w:val="1131"/>
        <w:ind w:left="0" w:firstLine="709"/>
        <w:jc w:val="both"/>
        <w:spacing w:after="0"/>
        <w:widowControl w:val="off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Всего в 2023 году введено в эксплуатац</w:t>
      </w: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ию</w:t>
      </w: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127</w:t>
      </w: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жилых дом</w:t>
      </w: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ов общей площадью </w:t>
      </w: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108 407 </w:t>
      </w: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кв. м</w:t>
      </w: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/>
    </w:p>
    <w:p>
      <w:pPr>
        <w:pStyle w:val="1131"/>
        <w:ind w:left="0" w:firstLine="709"/>
        <w:jc w:val="both"/>
        <w:spacing w:after="0"/>
        <w:widowControl w:val="off"/>
        <w:rPr>
          <w:rFonts w:ascii="Liberation Sans" w:hAnsi="Liberation Sans" w:cs="Liberation Sans"/>
          <w:color w:val="000000"/>
          <w:spacing w:val="-4"/>
          <w:sz w:val="28"/>
          <w:szCs w:val="28"/>
          <w:highlight w:val="yellow"/>
        </w:rPr>
      </w:pPr>
      <w:r>
        <w:rPr>
          <w:rFonts w:ascii="Liberation Sans" w:hAnsi="Liberation Sans" w:cs="Liberation Sans"/>
          <w:color w:val="000000"/>
          <w:spacing w:val="-4"/>
          <w:sz w:val="28"/>
          <w:szCs w:val="28"/>
          <w:highlight w:val="yellow"/>
        </w:rPr>
      </w:r>
      <w:r>
        <w:rPr>
          <w:rFonts w:ascii="Liberation Sans" w:hAnsi="Liberation Sans" w:cs="Liberation Sans"/>
          <w:color w:val="000000"/>
          <w:spacing w:val="-4"/>
          <w:sz w:val="28"/>
          <w:szCs w:val="28"/>
          <w:highlight w:val="yellow"/>
        </w:rPr>
      </w:r>
      <w:r/>
    </w:p>
    <w:p>
      <w:pPr>
        <w:pStyle w:val="1131"/>
        <w:ind w:left="0" w:firstLine="709"/>
        <w:jc w:val="center"/>
        <w:spacing w:after="0"/>
        <w:widowControl w:val="off"/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</w:rPr>
        <w:t xml:space="preserve">Показатели ввода жилья </w:t>
      </w: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</w:r>
      <w:r/>
    </w:p>
    <w:p>
      <w:pPr>
        <w:pStyle w:val="1131"/>
        <w:ind w:left="0" w:firstLine="709"/>
        <w:jc w:val="center"/>
        <w:spacing w:after="0"/>
        <w:widowControl w:val="off"/>
        <w:rPr>
          <w:rFonts w:ascii="Liberation Sans" w:hAnsi="Liberation Sans" w:cs="Liberation Sans"/>
          <w:color w:val="000000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/>
          <w:sz w:val="28"/>
          <w:szCs w:val="28"/>
        </w:rPr>
      </w:r>
      <w:r/>
    </w:p>
    <w:p>
      <w:pPr>
        <w:pStyle w:val="1131"/>
        <w:ind w:left="0" w:firstLine="709"/>
        <w:jc w:val="right"/>
        <w:spacing w:after="0"/>
        <w:widowControl w:val="off"/>
        <w:rPr>
          <w:rFonts w:ascii="Liberation Sans" w:hAnsi="Liberation Sans" w:cs="Liberation Sans"/>
          <w:color w:val="000000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Таблица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5</w:t>
      </w:r>
      <w:r>
        <w:rPr>
          <w:rFonts w:ascii="Liberation Sans" w:hAnsi="Liberation Sans" w:cs="Liberation Sans"/>
          <w:color w:val="000000"/>
        </w:rPr>
      </w:r>
      <w:r/>
    </w:p>
    <w:tbl>
      <w:tblPr>
        <w:tblStyle w:val="974"/>
        <w:tblW w:w="9573" w:type="dxa"/>
        <w:tblLayout w:type="fixed"/>
        <w:tblLook w:val="04A0" w:firstRow="1" w:lastRow="0" w:firstColumn="1" w:lastColumn="0" w:noHBand="0" w:noVBand="1"/>
      </w:tblPr>
      <w:tblGrid>
        <w:gridCol w:w="675"/>
        <w:gridCol w:w="3260"/>
        <w:gridCol w:w="1134"/>
        <w:gridCol w:w="1134"/>
        <w:gridCol w:w="1168"/>
        <w:gridCol w:w="1100"/>
        <w:gridCol w:w="1103"/>
      </w:tblGrid>
      <w:tr>
        <w:trPr>
          <w:tblHeader/>
        </w:trPr>
        <w:tc>
          <w:tcPr>
            <w:tcBorders>
              <w:bottom w:val="single" w:color="000000" w:sz="4" w:space="0"/>
            </w:tcBorders>
            <w:tcW w:w="675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№ </w:t>
            </w:r>
            <w:r>
              <w:rPr>
                <w:rFonts w:ascii="Liberation Sans" w:hAnsi="Liberation Sans" w:cs="Liberation Sans"/>
                <w:color w:val="000000"/>
              </w:rPr>
            </w:r>
            <w:r/>
          </w:p>
          <w:p>
            <w:pPr>
              <w:ind w:right="-1"/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п/п</w:t>
            </w:r>
            <w:r>
              <w:rPr>
                <w:rFonts w:ascii="Liberation Sans" w:hAnsi="Liberation Sans" w:cs="Liberation Sans"/>
                <w:color w:val="000000"/>
              </w:rPr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Показатели</w:t>
            </w:r>
            <w:r>
              <w:rPr>
                <w:rFonts w:ascii="Liberation Sans" w:hAnsi="Liberation Sans" w:cs="Liberation Sans"/>
                <w:color w:val="000000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Ед. изм.</w:t>
            </w:r>
            <w:r>
              <w:rPr>
                <w:rFonts w:ascii="Liberation Sans" w:hAnsi="Liberation Sans" w:cs="Liberation Sans"/>
                <w:color w:val="000000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2021 год</w:t>
            </w:r>
            <w:r>
              <w:rPr>
                <w:rFonts w:ascii="Liberation Sans" w:hAnsi="Liberation Sans" w:cs="Liberation Sans"/>
                <w:color w:val="000000"/>
              </w:rPr>
            </w:r>
            <w:r/>
          </w:p>
        </w:tc>
        <w:tc>
          <w:tcPr>
            <w:tcW w:w="1168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2022 год</w:t>
            </w:r>
            <w:r>
              <w:rPr>
                <w:rFonts w:ascii="Liberation Sans" w:hAnsi="Liberation Sans" w:cs="Liberation Sans"/>
                <w:color w:val="000000"/>
              </w:rPr>
            </w:r>
            <w:r/>
          </w:p>
        </w:tc>
        <w:tc>
          <w:tcPr>
            <w:tcW w:w="1100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2023 год</w:t>
            </w:r>
            <w:r>
              <w:rPr>
                <w:rFonts w:ascii="Liberation Sans" w:hAnsi="Liberation Sans" w:cs="Liberation Sans"/>
                <w:color w:val="000000"/>
              </w:rPr>
            </w:r>
            <w:r/>
          </w:p>
        </w:tc>
        <w:tc>
          <w:tcPr>
            <w:tcW w:w="1103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2023 год </w:t>
            </w:r>
            <w:r>
              <w:rPr>
                <w:rFonts w:ascii="Liberation Sans" w:hAnsi="Liberation Sans" w:cs="Liberation Sans"/>
                <w:color w:val="000000" w:themeColor="text1"/>
              </w:rPr>
              <w:br/>
              <w:t xml:space="preserve">к 2022 году, %</w:t>
            </w:r>
            <w:r>
              <w:rPr>
                <w:rFonts w:ascii="Liberation Sans" w:hAnsi="Liberation Sans" w:cs="Liberation Sans"/>
                <w:color w:val="000000"/>
              </w:rPr>
            </w:r>
            <w:r/>
          </w:p>
        </w:tc>
      </w:tr>
      <w:tr>
        <w:trPr>
          <w:tblHeader/>
        </w:trPr>
        <w:tc>
          <w:tcPr>
            <w:tcBorders>
              <w:bottom w:val="single" w:color="000000" w:sz="4" w:space="0"/>
            </w:tcBorders>
            <w:tcW w:w="675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4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168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100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103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</w:tcBorders>
            <w:tcW w:w="675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1.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ind w:right="-1"/>
              <w:spacing w:after="0" w:line="240" w:lineRule="auto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Общая площадь введенных </w:t>
            </w: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в эксплуатацию </w:t>
            </w: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жилых домов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Кв. м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70 571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tcW w:w="1168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41 316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tcW w:w="1100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108 407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  <w:tc>
          <w:tcPr>
            <w:tcW w:w="1103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262,4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</w:tr>
      <w:tr>
        <w:trPr/>
        <w:tc>
          <w:tcPr>
            <w:tcW w:w="675" w:type="dxa"/>
            <w:vMerge w:val="continue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widowControl w:val="off"/>
              <w:rPr>
                <w:rFonts w:ascii="Liberation Serif" w:hAnsi="Liberation Serif" w:cs="Times New Roman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</w:r>
            <w:r>
              <w:rPr>
                <w:rFonts w:ascii="Liberation Serif" w:hAnsi="Liberation Serif" w:cs="Times New Roman"/>
              </w:rPr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ind w:right="-1"/>
              <w:spacing w:after="0" w:line="240" w:lineRule="auto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и</w:t>
            </w: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з них: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gridSpan w:val="5"/>
            <w:tcW w:w="5638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1.1.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ind w:right="-1"/>
              <w:spacing w:after="0" w:line="240" w:lineRule="auto"/>
              <w:widowControl w:val="off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</w:rPr>
              <w:t xml:space="preserve">многоквартирных жилых домов</w:t>
            </w:r>
            <w:r>
              <w:rPr>
                <w:rFonts w:ascii="Liberation Sans" w:hAnsi="Liberation Sans" w:cs="Liberation Sans"/>
                <w:color w:val="auto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  <w:color w:val="auto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</w:rPr>
              <w:t xml:space="preserve">Кв. м</w:t>
            </w:r>
            <w:r>
              <w:rPr>
                <w:rFonts w:ascii="Liberation Sans" w:hAnsi="Liberation Sans" w:cs="Liberation Sans"/>
                <w:color w:val="auto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ans" w:hAnsi="Liberation Sans" w:cs="Liberation Sans"/>
                <w:color w:val="auto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</w:rPr>
              <w:t xml:space="preserve">53 412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</w:rPr>
            </w:r>
            <w:r/>
          </w:p>
        </w:tc>
        <w:tc>
          <w:tcPr>
            <w:tcW w:w="1168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ans" w:hAnsi="Liberation Sans" w:cs="Liberation Sans"/>
                <w:color w:val="auto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</w:rPr>
              <w:t xml:space="preserve">19 224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</w:rPr>
            </w:r>
            <w:r/>
          </w:p>
        </w:tc>
        <w:tc>
          <w:tcPr>
            <w:tcW w:w="110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</w:rPr>
              <w:t xml:space="preserve">88 119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</w:rPr>
            </w:r>
            <w:r/>
          </w:p>
        </w:tc>
        <w:tc>
          <w:tcPr>
            <w:tcW w:w="11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458,4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1.2.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ind w:right="-1"/>
              <w:spacing w:after="0" w:line="240" w:lineRule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индивидуальных жилых домов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Кв. м</w:t>
            </w:r>
            <w:r>
              <w:rPr>
                <w:rFonts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17 159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168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22 092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10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20 288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1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91,8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W w:w="675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2.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ind w:right="-1"/>
              <w:spacing w:after="0" w:line="240" w:lineRule="auto"/>
              <w:widowControl w:val="off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Количество введенных жилых домов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Единиц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129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</w:r>
            <w:r/>
          </w:p>
        </w:tc>
        <w:tc>
          <w:tcPr>
            <w:tcW w:w="1168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red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143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red"/>
              </w:rPr>
            </w:r>
            <w:r/>
          </w:p>
        </w:tc>
        <w:tc>
          <w:tcPr>
            <w:tcW w:w="110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127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1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88,8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W w:w="675" w:type="dxa"/>
            <w:vMerge w:val="continue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widowControl w:val="off"/>
              <w:rPr>
                <w:rFonts w:ascii="Liberation Serif" w:hAnsi="Liberation Serif" w:cs="Times New Roman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</w:r>
            <w:r>
              <w:rPr>
                <w:rFonts w:ascii="Liberation Serif" w:hAnsi="Liberation Serif" w:cs="Times New Roman"/>
              </w:rPr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ind w:right="-1"/>
              <w:spacing w:after="0" w:line="240" w:lineRule="auto"/>
              <w:widowControl w:val="off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и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з них: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gridSpan w:val="5"/>
            <w:tcW w:w="5638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</w:r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2.1.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ind w:right="-1"/>
              <w:spacing w:after="0" w:line="240" w:lineRule="auto"/>
              <w:widowControl w:val="off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многоквартирных жилых домов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Единиц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</w:r>
            <w:r/>
          </w:p>
        </w:tc>
        <w:tc>
          <w:tcPr>
            <w:tcW w:w="1168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10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103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240,0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W w:w="675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2.2.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ind w:right="-1"/>
              <w:spacing w:after="0" w:line="240" w:lineRule="auto"/>
              <w:widowControl w:val="off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индивидуальных жилых домов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ind w:right="-1"/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  <w:color w:val="000000" w:themeColor="text1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Единиц</w:t>
            </w:r>
            <w:r>
              <w:rPr>
                <w:rFonts w:ascii="Liberation Sans" w:hAnsi="Liberation Sans" w:cs="Liberation Sans"/>
                <w:color w:val="000000" w:themeColor="text1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122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</w:r>
            <w:r/>
          </w:p>
        </w:tc>
        <w:tc>
          <w:tcPr>
            <w:tcW w:w="1168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red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138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red"/>
              </w:rPr>
            </w:r>
            <w:r/>
          </w:p>
        </w:tc>
        <w:tc>
          <w:tcPr>
            <w:tcW w:w="110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115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W w:w="1103" w:type="dxa"/>
            <w:textDirection w:val="lrTb"/>
            <w:noWrap w:val="false"/>
          </w:tcPr>
          <w:p>
            <w:pPr>
              <w:pStyle w:val="1131"/>
              <w:ind w:left="0"/>
              <w:jc w:val="center"/>
              <w:spacing w:after="0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red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83,3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red"/>
              </w:rPr>
            </w:r>
            <w:r/>
          </w:p>
        </w:tc>
      </w:tr>
    </w:tbl>
    <w:p>
      <w:pPr>
        <w:pStyle w:val="1131"/>
        <w:ind w:left="0"/>
        <w:jc w:val="both"/>
        <w:spacing w:after="0"/>
        <w:widowControl w:val="off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/>
          <w:spacing w:val="-4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Доля муниципального образования в общем объеме ввода </w:t>
        <w:br/>
        <w:t xml:space="preserve">в действие жилых домов на территории автономного округа составила </w:t>
      </w: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37,4</w:t>
      </w: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%</w:t>
      </w: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На протяжении последних 5</w:t>
      </w: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 лет п</w:t>
      </w: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о данному показателю </w:t>
        <w:br/>
        <w:t xml:space="preserve">в абсолютн</w:t>
      </w: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ом</w:t>
      </w: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 выражении м</w:t>
      </w: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униципальное образование занимает</w:t>
      </w: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 1</w:t>
      </w: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место среди</w:t>
      </w: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муниципальных и городских округов </w:t>
      </w:r>
      <w:r>
        <w:rPr>
          <w:rFonts w:ascii="Liberation Sans" w:hAnsi="Liberation Sans" w:cs="Liberation Sans"/>
          <w:color w:val="000000" w:themeColor="text1"/>
          <w:spacing w:val="-4"/>
          <w:sz w:val="28"/>
          <w:szCs w:val="28"/>
          <w:highlight w:val="none"/>
        </w:rPr>
        <w:t xml:space="preserve">автономного округа.</w:t>
      </w:r>
      <w:r>
        <w:rPr>
          <w:rFonts w:ascii="Liberation Sans" w:hAnsi="Liberation Sans" w:cs="Liberation Sans"/>
          <w:color w:val="000000"/>
          <w:spacing w:val="-4"/>
          <w:sz w:val="28"/>
          <w:szCs w:val="28"/>
          <w:highlight w:val="none"/>
        </w:rPr>
      </w:r>
      <w:r/>
    </w:p>
    <w:p>
      <w:pPr>
        <w:jc w:val="both"/>
        <w:spacing w:before="0" w:beforeAutospacing="0" w:after="0" w:afterAutospacing="0" w:line="240" w:lineRule="auto"/>
        <w:tabs>
          <w:tab w:val="left" w:pos="426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pacing w:val="-4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946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b/>
          <w:bCs/>
          <w:sz w:val="28"/>
          <w:szCs w:val="28"/>
          <w:highlight w:val="none"/>
        </w:rPr>
      </w:pPr>
      <w:r/>
      <w:bookmarkStart w:id="10" w:name="_Toc10"/>
      <w:r>
        <w:rPr>
          <w:rFonts w:ascii="Liberation Sans" w:hAnsi="Liberation Sans" w:cs="Liberation Sans"/>
          <w:b/>
          <w:bCs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sz w:val="28"/>
          <w:szCs w:val="28"/>
          <w:highlight w:val="none"/>
        </w:rPr>
        <w:t xml:space="preserve">1.2.</w:t>
      </w:r>
      <w:r>
        <w:rPr>
          <w:rFonts w:ascii="Liberation Sans" w:hAnsi="Liberation Sans" w:cs="Liberation Sans"/>
          <w:b/>
          <w:bCs/>
          <w:i w:val="0"/>
          <w:sz w:val="28"/>
          <w:szCs w:val="28"/>
          <w:highlight w:val="none"/>
        </w:rPr>
        <w:t xml:space="preserve">5</w:t>
      </w:r>
      <w:r>
        <w:rPr>
          <w:rFonts w:ascii="Liberation Sans" w:hAnsi="Liberation Sans" w:cs="Liberation Sans"/>
          <w:b/>
          <w:bCs/>
          <w:i w:val="0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b/>
          <w:bCs/>
          <w:sz w:val="28"/>
          <w:szCs w:val="28"/>
          <w:highlight w:val="none"/>
        </w:rPr>
        <w:t xml:space="preserve">Потребительский </w:t>
      </w:r>
      <w:r>
        <w:rPr>
          <w:rFonts w:ascii="Liberation Sans" w:hAnsi="Liberation Sans" w:cs="Liberation Sans"/>
          <w:b/>
          <w:bCs/>
          <w:sz w:val="28"/>
          <w:szCs w:val="28"/>
          <w:highlight w:val="none"/>
        </w:rPr>
        <w:t xml:space="preserve">рынок</w:t>
      </w:r>
      <w:bookmarkEnd w:id="0"/>
      <w:r>
        <w:rPr>
          <w:rFonts w:ascii="Liberation Sans" w:hAnsi="Liberation Sans" w:cs="Liberation Sans"/>
          <w:sz w:val="28"/>
          <w:szCs w:val="28"/>
        </w:rPr>
      </w:r>
      <w:bookmarkEnd w:id="10"/>
      <w:r>
        <w:rPr>
          <w:rFonts w:ascii="Liberation Sans" w:hAnsi="Liberation Sans" w:cs="Liberation Sans"/>
          <w:b/>
          <w:bCs/>
          <w:sz w:val="28"/>
          <w:szCs w:val="28"/>
          <w:highlight w:val="none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течение отчетного периода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проводилась работа по сбору сведени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й о хозяйствующих субъектах, осуществляющих розничную продажу и поставки товаров, также о количестве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у них торговых объектов.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На конец года в то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рговом реестре содержится информация о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1 077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хозяйствующих субъектах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и 1 546 торговых объектах. </w:t>
        <w:br/>
        <w:t xml:space="preserve">В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отче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тном периоде в торговый реестр внесена информация </w:t>
        <w:br/>
        <w:t xml:space="preserve">о 144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субъектах предпринимательской деятельности и 198 объектах </w:t>
        <w:br/>
        <w:t xml:space="preserve">с торговой площадью 17 762,93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кв. м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 о закрытии 131 субъекта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предпринимательской деятельности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и 189 объектов с торговой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площадью 10 576,14 кв. м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contextualSpacing/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Суммарная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беспеченность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 населения площадью стационарных торговых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объектов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 1 000 жителей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составила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205,2% (от норматива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790 кв.м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торговой площади на 1 000 жителей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).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before="0" w:beforeAutospacing="0" w:after="0" w:afterAutospacing="0" w:line="240" w:lineRule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В 2023 году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продолжили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расширяться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федеральные торгов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ые сети</w:t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  <w:u w:val="none"/>
        </w:rPr>
        <w:t xml:space="preserve">, </w:t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  <w:u w:val="none"/>
        </w:rPr>
        <w:t xml:space="preserve">такие как </w:t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  <w:u w:val="none"/>
        </w:rPr>
        <w:t xml:space="preserve">«</w:t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  <w:u w:val="none"/>
        </w:rPr>
        <w:t xml:space="preserve">Пятерочка</w:t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  <w:u w:val="none"/>
        </w:rPr>
        <w:t xml:space="preserve">»</w:t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  <w:u w:val="none"/>
        </w:rPr>
        <w:t xml:space="preserve">, </w:t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  <w:u w:val="none"/>
        </w:rPr>
        <w:t xml:space="preserve">«</w:t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  <w:u w:val="none"/>
        </w:rPr>
        <w:t xml:space="preserve">Магнит</w:t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  <w:u w:val="none"/>
        </w:rPr>
        <w:t xml:space="preserve">»</w:t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  <w:u w:val="none"/>
        </w:rPr>
        <w:t xml:space="preserve">, </w:t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  <w:u w:val="none"/>
        </w:rPr>
        <w:t xml:space="preserve">«</w:t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  <w:u w:val="none"/>
        </w:rPr>
        <w:t xml:space="preserve">Твое</w:t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  <w:u w:val="none"/>
        </w:rPr>
        <w:t xml:space="preserve">»</w:t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  <w:u w:val="none"/>
        </w:rPr>
        <w:t xml:space="preserve">, </w:t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  <w:u w:val="none"/>
        </w:rPr>
        <w:t xml:space="preserve">Colins</w:t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  <w:u w:val="none"/>
        </w:rPr>
        <w:t xml:space="preserve">, </w:t>
      </w:r>
      <w:r>
        <w:rPr>
          <w:rFonts w:ascii="Liberation Sans" w:hAnsi="Liberation Sans" w:eastAsia="Liberation Sans" w:cs="Liberation Sans"/>
          <w:b w:val="0"/>
          <w:bCs w:val="0"/>
          <w:strike w:val="0"/>
          <w:color w:val="000000" w:themeColor="text1"/>
          <w:sz w:val="28"/>
          <w:szCs w:val="28"/>
          <w:highlight w:val="none"/>
          <w:u w:val="none"/>
        </w:rPr>
        <w:t xml:space="preserve"> </w:t>
      </w:r>
      <w:r>
        <w:rPr>
          <w:rFonts w:ascii="Liberation Sans" w:hAnsi="Liberation Sans" w:eastAsia="Arial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Fix Price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  <w:u w:val="none"/>
        </w:rPr>
        <w:t xml:space="preserve">«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Бристоль</w:t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  <w:u w:val="none"/>
        </w:rPr>
        <w:t xml:space="preserve">»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и др.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(2023 год -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186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ед.,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2022 год - 67 ед., 2021 год - 61 ед.).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before="0" w:beforeAutospacing="0" w:after="0" w:afterAutospacing="0" w:line="240" w:lineRule="auto"/>
        <w:rPr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Помимо реализации товаров через торговую сеть в городе активно развита и пользуется спросом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жителей интернет-торговля. </w:t>
        <w:br/>
        <w:t xml:space="preserve">На территории города осуществляют деятельность 99 пунктов </w:t>
        <w:br/>
        <w:t xml:space="preserve">по выдаче интернет - заказов (</w:t>
      </w:r>
      <w:r>
        <w:rPr>
          <w:rFonts w:ascii="Liberation Sans" w:hAnsi="Liberation Sans" w:eastAsia="Liberation Sans" w:cs="Liberation Sans"/>
          <w:bCs/>
          <w:color w:val="000000" w:themeColor="text1"/>
          <w:sz w:val="28"/>
          <w:szCs w:val="28"/>
          <w:highlight w:val="none"/>
        </w:rPr>
        <w:t xml:space="preserve">Ozon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- 55 пунктов, </w:t>
      </w:r>
      <w:r>
        <w:rPr>
          <w:rFonts w:ascii="Liberation Sans" w:hAnsi="Liberation Sans" w:eastAsia="Liberation Sans" w:cs="Liberation Sans"/>
          <w:bCs/>
          <w:color w:val="000000" w:themeColor="text1"/>
          <w:sz w:val="28"/>
          <w:szCs w:val="28"/>
          <w:highlight w:val="none"/>
        </w:rPr>
        <w:t xml:space="preserve">Wildberries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- 23 пункта, </w:t>
      </w:r>
      <w:r>
        <w:rPr>
          <w:rFonts w:ascii="Liberation Sans" w:hAnsi="Liberation Sans" w:eastAsia="Liberation Sans" w:cs="Liberation Sans"/>
          <w:bCs/>
          <w:color w:val="000000" w:themeColor="text1"/>
          <w:sz w:val="28"/>
          <w:szCs w:val="28"/>
          <w:highlight w:val="none"/>
        </w:rPr>
        <w:t xml:space="preserve">СДЭК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- 6 пунктов, Boxberry - 3 пункта, 5Post - 12 пунктов).</w:t>
      </w:r>
      <w:r>
        <w:rPr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Оборот розничной торговли (без субъектов малого предпринимательства) в 2023 году составил 24 700,8 млн руб. (+21,3% к 2022 году)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</w:rPr>
        <w:t xml:space="preserve"> </w:t>
      </w:r>
      <w:r>
        <w:rPr>
          <w:rFonts w:ascii="Liberation Sans" w:hAnsi="Liberation Sans" w:cs="Liberation Sans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0" w:right="0" w:firstLine="709"/>
        <w:jc w:val="both"/>
        <w:spacing w:before="0" w:beforeAutospacing="0" w:after="0" w:afterAutospacing="0" w:line="240" w:lineRule="auto"/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yellow"/>
        </w:rPr>
      </w:pPr>
      <w:r>
        <w:rPr>
          <w:rFonts w:ascii="Liberation Serif" w:hAnsi="Liberation Serif" w:cs="Liberation Serif"/>
          <w:sz w:val="28"/>
          <w:szCs w:val="28"/>
          <w:highlight w:val="none"/>
        </w:rPr>
        <w:drawing>
          <wp:inline distT="0" distB="0" distL="0" distR="0">
            <wp:extent cx="4724421" cy="1856514"/>
            <wp:effectExtent l="4762" t="4762" r="4762" b="4762"/>
            <wp:docPr id="6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yellow"/>
        </w:rPr>
      </w:r>
      <w:r/>
    </w:p>
    <w:p>
      <w:pPr>
        <w:ind w:left="0" w:right="0"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yellow"/>
        </w:rPr>
      </w:pPr>
      <w:r>
        <w:rPr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yellow"/>
        </w:rPr>
      </w:r>
      <w:r/>
    </w:p>
    <w:p>
      <w:pPr>
        <w:ind w:left="0" w:right="0" w:firstLine="709"/>
        <w:jc w:val="both"/>
        <w:spacing w:after="0" w:line="240" w:lineRule="auto"/>
        <w:tabs>
          <w:tab w:val="left" w:pos="850" w:leader="none"/>
        </w:tabs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У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слуги общественного питания оказывали 265 организаций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  <w:br/>
        <w:t xml:space="preserve">на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12 734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посадо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ч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ных места, из которых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217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организаций общедоступной сети на 8 104 посадоч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ных места (+190 мест </w:t>
        <w:br/>
        <w:t xml:space="preserve">к 2022 году).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after="0" w:line="240" w:lineRule="auto"/>
        <w:tabs>
          <w:tab w:val="left" w:pos="850" w:leader="none"/>
        </w:tabs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Всего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2023 году открылась 61 организация общественного питания на 1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 493 посадочных места, закрылось 36 организаций </w:t>
        <w:br/>
        <w:t xml:space="preserve">на 1 160 посадочных мест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pacing w:val="-4"/>
          <w:sz w:val="22"/>
          <w:szCs w:val="22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right="0" w:firstLine="0"/>
        <w:jc w:val="center"/>
        <w:spacing w:after="0" w:line="240" w:lineRule="auto"/>
        <w:rPr>
          <w:rFonts w:ascii="Liberation Sans" w:hAnsi="Liberation Sans" w:cs="Liberation Sans"/>
          <w:b w:val="0"/>
          <w:bCs w:val="0"/>
          <w:color w:val="000000" w:themeColor="text1"/>
          <w:sz w:val="24"/>
          <w:szCs w:val="24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drawing>
          <wp:inline distT="0" distB="0" distL="0" distR="0">
            <wp:extent cx="4861265" cy="1648184"/>
            <wp:effectExtent l="3175" t="3175" r="3175" b="3175"/>
            <wp:docPr id="7" name="Диаграмма 17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rFonts w:ascii="Liberation Sans" w:hAnsi="Liberation Sans" w:cs="Liberation Sans"/>
          <w:b w:val="0"/>
          <w:bCs w:val="0"/>
          <w:color w:val="000000" w:themeColor="text1"/>
          <w:sz w:val="24"/>
          <w:szCs w:val="24"/>
          <w:highlight w:val="none"/>
        </w:rPr>
      </w:r>
      <w:r/>
    </w:p>
    <w:p>
      <w:pPr>
        <w:ind w:left="0" w:right="0" w:firstLine="0"/>
        <w:jc w:val="center"/>
        <w:spacing w:after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1122"/>
        <w:ind w:left="0" w:right="0" w:firstLine="709"/>
        <w:jc w:val="both"/>
        <w:spacing w:after="0" w:line="240" w:lineRule="auto"/>
        <w:tabs>
          <w:tab w:val="left" w:pos="426" w:leader="none"/>
        </w:tabs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b w:val="0"/>
          <w:bCs w:val="0"/>
          <w:color w:val="ff0000"/>
          <w:sz w:val="28"/>
          <w:szCs w:val="28"/>
          <w:highlight w:val="none"/>
        </w:rPr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По нормативу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градостроительного проектирования </w:t>
        <w:br/>
        <w:t xml:space="preserve">в муниципальном образовании (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59,6 по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садочных мест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на 1 000 жителей) общедоступны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е орган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изации общественного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питания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обеспечивают потребность населения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посадо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чных местах на 127,4%.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Оборот общественного питания (без субъектов малого предпринимательства)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 2023 году составил 8 827,8 млн руб. (+26,5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к 2022 году)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2"/>
        <w:ind w:left="0" w:right="0" w:firstLine="850"/>
        <w:jc w:val="both"/>
        <w:spacing w:after="0" w:line="240" w:lineRule="auto"/>
        <w:tabs>
          <w:tab w:val="left" w:pos="426" w:leader="none"/>
        </w:tabs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</w:r>
      <w:r/>
    </w:p>
    <w:p>
      <w:pPr>
        <w:pStyle w:val="1122"/>
        <w:ind w:left="0" w:right="0" w:firstLine="850"/>
        <w:jc w:val="both"/>
        <w:spacing w:after="0" w:line="240" w:lineRule="auto"/>
        <w:tabs>
          <w:tab w:val="left" w:pos="426" w:leader="none"/>
        </w:tabs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 w:val="0"/>
          <w:bCs w:val="0"/>
          <w:color w:val="ff0000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none"/>
        </w:rPr>
        <w:drawing>
          <wp:inline distT="0" distB="0" distL="0" distR="0">
            <wp:extent cx="4724421" cy="1856515"/>
            <wp:effectExtent l="4762" t="4762" r="4762" b="4762"/>
            <wp:docPr id="8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</w:r>
      <w:r/>
    </w:p>
    <w:p>
      <w:pPr>
        <w:pStyle w:val="1122"/>
        <w:ind w:left="0" w:right="0" w:firstLine="850"/>
        <w:jc w:val="both"/>
        <w:spacing w:after="0" w:line="240" w:lineRule="auto"/>
        <w:tabs>
          <w:tab w:val="left" w:pos="426" w:leader="none"/>
        </w:tabs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</w:r>
      <w:r/>
    </w:p>
    <w:p>
      <w:pPr>
        <w:ind w:left="0" w:right="0" w:firstLine="850"/>
        <w:jc w:val="both"/>
        <w:spacing w:after="0" w:line="240" w:lineRule="auto"/>
        <w:rPr>
          <w:rFonts w:ascii="Liberation Sans" w:hAnsi="Liberation Sans" w:cs="Liberation Sans"/>
          <w:color w:val="000000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сфере бытовых услуг осуществляли деяте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льность </w:t>
        <w:br/>
        <w:t xml:space="preserve">323 объекта.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Открылся 71 объект бытового обслуживания, закрылось - 105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По-прежнему основную часть объема бытовых услуг составляли парикмахерские и косметологические услуги, услуги по техническому обслу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живанию автомобилей.</w:t>
      </w:r>
      <w:r>
        <w:rPr>
          <w:rFonts w:ascii="Liberation Sans" w:hAnsi="Liberation Sans" w:cs="Liberation Sans"/>
          <w:color w:val="000000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18"/>
          <w:szCs w:val="1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highlight w:val="none"/>
        </w:rPr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eastAsia="ru-RU"/>
        </w:rPr>
        <w:drawing>
          <wp:inline distT="0" distB="0" distL="0" distR="0">
            <wp:extent cx="6004265" cy="2768135"/>
            <wp:effectExtent l="3175" t="3175" r="3175" b="3175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yellow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yellow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yellow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На объектах бытового обслуживания создано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1 044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рабочих места,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из них занято 974 места.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ru-RU"/>
        </w:rPr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eastAsia="ru-RU"/>
        </w:rPr>
        <w:drawing>
          <wp:inline distT="0" distB="0" distL="0" distR="0">
            <wp:extent cx="6318590" cy="3067217"/>
            <wp:effectExtent l="3175" t="3175" r="3175" b="3175"/>
            <wp:docPr id="10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auto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14:ligatures w14:val="none"/>
        </w:rPr>
      </w:r>
      <w:r/>
    </w:p>
    <w:p>
      <w:pPr>
        <w:ind w:left="0" w:right="0" w:firstLine="709"/>
        <w:jc w:val="both"/>
        <w:spacing w:after="0" w:line="240" w:lineRule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беспеченность населения фактически занятыми рабочими местами в предприятиях бытового обслуживания на 1 000 жителей </w:t>
        <w:br/>
        <w:t xml:space="preserve">в 2023 году с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оставила 88,6%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(от норматива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10,3 рабочих места)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pStyle w:val="1122"/>
        <w:ind w:left="0" w:right="0" w:firstLine="709"/>
        <w:jc w:val="both"/>
        <w:spacing w:after="0" w:line="240" w:lineRule="auto"/>
        <w:tabs>
          <w:tab w:val="left" w:pos="426" w:leader="none"/>
        </w:tabs>
        <w:rPr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Аптечная сеть города представлена 47 объектами, из которых </w:t>
        <w:br/>
        <w:t xml:space="preserve">сетевых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- 44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объекта. Аптечная сеть располагается как в отдельных помещениях (зданиях, сооружениях), так и в торговых центрах. </w:t>
      </w:r>
      <w:r>
        <w:rPr>
          <w:highlight w:val="none"/>
        </w:rPr>
      </w:r>
      <w:r/>
    </w:p>
    <w:p>
      <w:pPr>
        <w:pStyle w:val="1122"/>
        <w:ind w:left="0" w:right="0" w:firstLine="709"/>
        <w:jc w:val="both"/>
        <w:spacing w:after="0" w:line="240" w:lineRule="auto"/>
        <w:tabs>
          <w:tab w:val="left" w:pos="426" w:leader="none"/>
        </w:tabs>
        <w:rPr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На территории города расположено 30 автозаправочных станций.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Реализация т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оплива осуществляется как независимыми комп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аниями, так и 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ертикально интегрированной компани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ей, к которой относится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ООО «Газпромнефть»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. 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color w:val="000000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Для оказания содействия местным сельхозпроизводителям, предприятиям общепита, самозанятым гражданам (занятым в сфере потребительского рынка), а также в целях повышения уровня доступности товаров для населения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в 2023 году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на те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рритории муниципального образования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провед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ено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30 тематических выставок-ярмарок (</w:t>
      </w:r>
      <w:r>
        <w:rPr>
          <w:rFonts w:ascii="Liberation Sans" w:hAnsi="Liberation Sans" w:eastAsia="Liberation Sans" w:cs="Liberation Sans"/>
          <w:color w:val="000000" w:themeColor="text1"/>
          <w:sz w:val="28"/>
          <w:highlight w:val="none"/>
        </w:rPr>
        <w:t xml:space="preserve">«Праздник народов Севера», «Медовая ярмарка»,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ярмарка «Империя самоцветов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», «Белорусская ярмарка»,  выставка-продажа товаров из Индии, ярмарка меха, сельскохозяйственные ярмарки и др.), из которых 14 - межрегиональных. 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Для осуществления нестационарной торговли в дни проведения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временных мероприятий (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День молодежи, «Гонка чемпионов», День города 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пр.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) выд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ано 97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уведомлений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(2022 год - 138, 202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1 год - 91). 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целях повышения качества обслуживания жителей города </w:t>
        <w:br/>
        <w:t xml:space="preserve">НО «Новоуренгойский фонд развития предпринимательства»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приобретено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10 брендированных палаток для торговли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во время проведения общегородских мероприятий.</w:t>
      </w:r>
      <w:r>
        <w:rPr>
          <w:highlight w:val="none"/>
        </w:rPr>
      </w:r>
      <w:r/>
    </w:p>
    <w:p>
      <w:pPr>
        <w:contextualSpacing w:val="0"/>
        <w:ind w:left="0" w:right="0" w:firstLine="709"/>
        <w:jc w:val="both"/>
        <w:spacing w:after="0" w:afterAutospacing="0" w:line="240" w:lineRule="auto"/>
        <w:rPr>
          <w:rFonts w:ascii="Liberation Sans" w:hAnsi="Liberation Sans" w:eastAsia="Liberation Serif" w:cs="Liberation Sans"/>
          <w:sz w:val="28"/>
          <w:szCs w:val="28"/>
          <w:highlight w:val="none"/>
        </w:rPr>
        <w:suppressLineNumbers w:val="0"/>
      </w:pP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В 2023 году продолжена работа по реализации регионального проекта «Развитие потребительского рынка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на территории ЯНАО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»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 </w:t>
        <w:br/>
        <w:t xml:space="preserve">В рамках проекта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 открыто 34 новых объекта (например,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киберспортивный клуб «Colizeum»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закусочная «ЧебурекМи»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арена виртуальной реальности «WARPOINT»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Dream-bank услуг Новый </w:t>
      </w:r>
      <w:r>
        <w:rPr>
          <w:rFonts w:ascii="Liberation Sans" w:hAnsi="Liberation Sans" w:eastAsia="Liberation Serif" w:cs="Liberation Sans"/>
          <w:spacing w:val="-6"/>
          <w:sz w:val="28"/>
          <w:szCs w:val="28"/>
          <w:highlight w:val="none"/>
        </w:rPr>
        <w:t xml:space="preserve">Уренгой</w:t>
      </w:r>
      <w:r>
        <w:rPr>
          <w:rFonts w:ascii="Liberation Sans" w:hAnsi="Liberation Sans" w:eastAsia="Liberation Serif" w:cs="Liberation Sans"/>
          <w:spacing w:val="-6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Liberation Serif" w:cs="Liberation Sans"/>
          <w:spacing w:val="-6"/>
          <w:sz w:val="28"/>
          <w:szCs w:val="28"/>
          <w:highlight w:val="none"/>
        </w:rPr>
        <w:t xml:space="preserve">кафе-пек</w:t>
      </w:r>
      <w:r>
        <w:rPr>
          <w:rFonts w:ascii="Liberation Sans" w:hAnsi="Liberation Sans" w:eastAsia="Liberation Serif" w:cs="Liberation Sans"/>
          <w:spacing w:val="-6"/>
          <w:sz w:val="28"/>
          <w:szCs w:val="28"/>
          <w:highlight w:val="none"/>
        </w:rPr>
        <w:t xml:space="preserve">арня «Мамин </w:t>
      </w:r>
      <w:r>
        <w:rPr>
          <w:rFonts w:ascii="Liberation Sans" w:hAnsi="Liberation Sans" w:eastAsia="Liberation Serif" w:cs="Liberation Sans"/>
          <w:spacing w:val="-6"/>
          <w:sz w:val="28"/>
          <w:szCs w:val="28"/>
          <w:highlight w:val="none"/>
        </w:rPr>
        <w:t xml:space="preserve">х</w:t>
      </w:r>
      <w:r>
        <w:rPr>
          <w:rFonts w:ascii="Liberation Sans" w:hAnsi="Liberation Sans" w:eastAsia="Liberation Serif" w:cs="Liberation Sans"/>
          <w:spacing w:val="-6"/>
          <w:sz w:val="28"/>
          <w:szCs w:val="28"/>
          <w:highlight w:val="none"/>
        </w:rPr>
        <w:t xml:space="preserve">леб» </w:t>
      </w:r>
      <w:r>
        <w:rPr>
          <w:rFonts w:ascii="Liberation Sans" w:hAnsi="Liberation Sans" w:eastAsia="Liberation Serif" w:cs="Liberation Sans"/>
          <w:spacing w:val="-6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Liberation Serif" w:cs="Liberation Sans"/>
          <w:spacing w:val="-6"/>
          <w:sz w:val="28"/>
          <w:szCs w:val="28"/>
          <w:highlight w:val="none"/>
        </w:rPr>
        <w:t xml:space="preserve">д</w:t>
      </w:r>
      <w:r>
        <w:rPr>
          <w:rFonts w:ascii="Liberation Sans" w:hAnsi="Liberation Sans" w:eastAsia="Liberation Serif" w:cs="Liberation Sans"/>
          <w:spacing w:val="-6"/>
          <w:sz w:val="28"/>
          <w:szCs w:val="28"/>
          <w:highlight w:val="none"/>
        </w:rPr>
        <w:t xml:space="preserve">рифт-картинг «Crazy cart»</w:t>
      </w:r>
      <w:r>
        <w:rPr>
          <w:rFonts w:ascii="Liberation Sans" w:hAnsi="Liberation Sans" w:eastAsia="Liberation Serif" w:cs="Liberation Sans"/>
          <w:spacing w:val="-6"/>
          <w:sz w:val="28"/>
          <w:szCs w:val="28"/>
          <w:highlight w:val="none"/>
        </w:rPr>
        <w:t xml:space="preserve">) и др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</w:r>
      <w:r/>
    </w:p>
    <w:p>
      <w:pPr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946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b/>
          <w:bCs/>
          <w:sz w:val="28"/>
          <w:szCs w:val="28"/>
          <w:highlight w:val="none"/>
          <w14:ligatures w14:val="none"/>
        </w:rPr>
      </w:pPr>
      <w:r/>
      <w:bookmarkStart w:id="11" w:name="_Toc11"/>
      <w:r>
        <w:rPr>
          <w:rFonts w:ascii="Liberation Sans" w:hAnsi="Liberation Sans" w:cs="Liberation Sans"/>
          <w:b/>
          <w:bCs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  <w:highlight w:val="none"/>
        </w:rPr>
        <w:t xml:space="preserve">1.2.</w:t>
      </w:r>
      <w:r>
        <w:rPr>
          <w:rFonts w:ascii="Liberation Sans" w:hAnsi="Liberation Sans" w:cs="Liberation Sans"/>
          <w:b/>
          <w:bCs/>
          <w:sz w:val="28"/>
          <w:szCs w:val="28"/>
          <w:highlight w:val="none"/>
        </w:rPr>
        <w:t xml:space="preserve">6</w:t>
      </w:r>
      <w:r>
        <w:rPr>
          <w:rFonts w:ascii="Liberation Sans" w:hAnsi="Liberation Sans" w:cs="Liberation Sans"/>
          <w:b/>
          <w:bCs/>
          <w:sz w:val="28"/>
          <w:szCs w:val="28"/>
          <w:highlight w:val="none"/>
        </w:rPr>
        <w:t xml:space="preserve">. Ценовая политика</w:t>
      </w:r>
      <w:bookmarkEnd w:id="0"/>
      <w:r>
        <w:rPr>
          <w:rFonts w:ascii="Liberation Sans" w:hAnsi="Liberation Sans" w:cs="Liberation Sans"/>
          <w:sz w:val="28"/>
          <w:szCs w:val="28"/>
        </w:rPr>
      </w:r>
      <w:bookmarkEnd w:id="11"/>
      <w:r>
        <w:rPr>
          <w:rFonts w:ascii="Liberation Sans" w:hAnsi="Liberation Sans" w:cs="Liberation Sans"/>
          <w:b/>
          <w:bCs/>
          <w:sz w:val="28"/>
          <w:szCs w:val="28"/>
          <w:highlight w:val="none"/>
          <w14:ligatures w14:val="none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целях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отслеж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ивания ценовой ситуации на продовольственном рынке и рынке нефтепродуктов Администрацией города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проводился еженедельный мониторинг цен 27 продовольственных товаров первой необходимости и горюче-смазочных материалов (далее - ГСМ). 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С</w:t>
      </w:r>
      <w:r>
        <w:rPr>
          <w:rFonts w:ascii="Liberation Sans" w:hAnsi="Liberation Sans" w:cs="Liberation Sans"/>
          <w:bCs/>
          <w:color w:val="auto"/>
          <w:sz w:val="28"/>
          <w:szCs w:val="28"/>
          <w:highlight w:val="none"/>
        </w:rPr>
        <w:t xml:space="preserve">редний </w:t>
      </w:r>
      <w:r>
        <w:rPr>
          <w:rFonts w:ascii="Liberation Sans" w:hAnsi="Liberation Sans" w:cs="Liberation Sans"/>
          <w:bCs/>
          <w:color w:val="auto"/>
          <w:sz w:val="28"/>
          <w:szCs w:val="28"/>
          <w:highlight w:val="none"/>
        </w:rPr>
        <w:t xml:space="preserve">рост цен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на продовольственны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е товары пе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рвой необходимости к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уровню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цен на начало 2023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го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да сос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тавил </w:t>
      </w:r>
      <w:r>
        <w:rPr>
          <w:rFonts w:ascii="Liberation Sans" w:hAnsi="Liberation Sans" w:cs="Liberation Sans"/>
          <w:bCs/>
          <w:color w:val="auto"/>
          <w:sz w:val="28"/>
          <w:szCs w:val="28"/>
          <w:highlight w:val="none"/>
        </w:rPr>
        <w:t xml:space="preserve">9%.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highlight w:val="none"/>
        </w:rPr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highlight w:val="none"/>
        </w:rPr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red"/>
        </w:rPr>
      </w:pPr>
      <w:r>
        <w:rPr>
          <w:rFonts w:ascii="Liberation Sans" w:hAnsi="Liberation Sans" w:cs="Liberation Sans"/>
          <w:highlight w:val="red"/>
        </w:rPr>
      </w:r>
      <w:r>
        <w:rPr>
          <w:rFonts w:ascii="Liberation Sans" w:hAnsi="Liberation Sans" w:cs="Liberation Sans"/>
          <w:sz w:val="28"/>
          <w:szCs w:val="28"/>
          <w:highlight w:val="red"/>
        </w:rPr>
      </w:r>
      <w:r/>
    </w:p>
    <w:p>
      <w:pPr>
        <w:ind w:left="0" w:right="0" w:firstLine="0"/>
        <w:jc w:val="left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white"/>
          <w:lang w:eastAsia="ru-RU"/>
        </w:rPr>
        <w:drawing>
          <wp:inline distT="0" distB="0" distL="0" distR="0">
            <wp:extent cx="5728033" cy="3848091"/>
            <wp:effectExtent l="3175" t="3175" r="3175" b="3175"/>
            <wp:docPr id="1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Сред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няя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цен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 на ГСМ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повысилась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 на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18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%.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left="0" w:right="0" w:firstLine="0"/>
        <w:jc w:val="center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erif" w:hAnsi="Liberation Serif" w:cs="Liberation Serif"/>
          <w:sz w:val="28"/>
          <w:szCs w:val="28"/>
          <w:highlight w:val="white"/>
          <w:lang w:eastAsia="ru-RU"/>
        </w:rPr>
        <w:drawing>
          <wp:inline distT="0" distB="0" distL="0" distR="0">
            <wp:extent cx="5059164" cy="1695617"/>
            <wp:effectExtent l="3175" t="3175" r="3175" b="3175"/>
            <wp:docPr id="1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rPr>
          <w:rFonts w:ascii="Liberation Sans" w:hAnsi="Liberation Sans" w:cs="Liberation Sans"/>
          <w:highlight w:val="none"/>
        </w:rPr>
      </w:r>
      <w:r/>
    </w:p>
    <w:p>
      <w:pPr>
        <w:spacing w:after="0" w:afterAutospacing="0" w:line="240" w:lineRule="auto"/>
        <w:rPr>
          <w:rFonts w:ascii="Liberation Sans" w:hAnsi="Liberation Sans" w:cs="Liberation Sans"/>
          <w:b/>
          <w:bCs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b/>
          <w:bCs/>
          <w:sz w:val="28"/>
          <w:szCs w:val="28"/>
          <w:highlight w:val="none"/>
          <w14:ligatures w14:val="none"/>
        </w:rPr>
      </w:r>
      <w:r>
        <w:rPr>
          <w:rFonts w:ascii="Liberation Sans" w:hAnsi="Liberation Sans" w:cs="Liberation Sans"/>
          <w:b/>
          <w:bCs/>
          <w:sz w:val="28"/>
          <w:szCs w:val="28"/>
          <w:highlight w:val="none"/>
          <w14:ligatures w14:val="none"/>
        </w:rPr>
      </w:r>
      <w:r/>
    </w:p>
    <w:p>
      <w:pPr>
        <w:spacing w:after="0" w:afterAutospacing="0" w:line="240" w:lineRule="auto"/>
        <w:rPr>
          <w:rFonts w:ascii="Liberation Sans" w:hAnsi="Liberation Sans" w:cs="Liberation Sans"/>
          <w:b/>
          <w:bCs/>
          <w:sz w:val="28"/>
          <w:szCs w:val="28"/>
          <w:highlight w:val="none"/>
          <w14:ligatures w14:val="none"/>
        </w:rPr>
      </w:pPr>
      <w:r>
        <w:rPr>
          <w:highlight w:val="none"/>
        </w:rPr>
      </w:r>
      <w:r>
        <w:rPr>
          <w:rFonts w:ascii="Liberation Sans" w:hAnsi="Liberation Sans" w:cs="Liberation Sans"/>
          <w:b/>
          <w:bCs/>
          <w:sz w:val="28"/>
          <w:szCs w:val="28"/>
          <w:highlight w:val="none"/>
          <w14:ligatures w14:val="none"/>
        </w:rPr>
      </w:r>
      <w:r/>
    </w:p>
    <w:p>
      <w:pPr>
        <w:jc w:val="center"/>
        <w:spacing w:after="0" w:afterAutospacing="0" w:line="240" w:lineRule="auto"/>
        <w:rPr>
          <w:highlight w:val="none"/>
          <w14:ligatures w14:val="none"/>
        </w:rPr>
      </w:pPr>
      <w:r/>
      <w:bookmarkStart w:id="12" w:name="_Toc12"/>
      <w:r>
        <w:rPr>
          <w:rFonts w:ascii="Liberation Sans" w:hAnsi="Liberation Sans" w:cs="Liberation Sans"/>
          <w:b/>
          <w:bCs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  <w:highlight w:val="none"/>
        </w:rPr>
        <w:t xml:space="preserve">1.2.</w:t>
      </w:r>
      <w:r>
        <w:rPr>
          <w:rFonts w:ascii="Liberation Sans" w:hAnsi="Liberation Sans" w:cs="Liberation Sans"/>
          <w:b/>
          <w:bCs/>
          <w:sz w:val="28"/>
          <w:szCs w:val="28"/>
          <w:highlight w:val="none"/>
        </w:rPr>
        <w:t xml:space="preserve">7</w:t>
      </w:r>
      <w:r>
        <w:rPr>
          <w:rFonts w:ascii="Liberation Sans" w:hAnsi="Liberation Sans" w:cs="Liberation Sans"/>
          <w:b/>
          <w:bCs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b/>
          <w:bCs/>
          <w:sz w:val="28"/>
          <w:szCs w:val="28"/>
          <w:highlight w:val="none"/>
        </w:rPr>
        <w:t xml:space="preserve">Финансы</w:t>
      </w:r>
      <w:bookmarkEnd w:id="0"/>
      <w:r/>
      <w:bookmarkEnd w:id="12"/>
      <w:r>
        <w:rPr>
          <w:highlight w:val="none"/>
          <w14:ligatures w14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yellow"/>
        </w:rPr>
      </w:pPr>
      <w:r>
        <w:rPr>
          <w:rFonts w:ascii="Liberation Sans" w:hAnsi="Liberation Sans" w:cs="Liberation Sans"/>
          <w:sz w:val="28"/>
          <w:szCs w:val="28"/>
          <w:highlight w:val="yellow"/>
        </w:rPr>
      </w:r>
      <w:r>
        <w:rPr>
          <w:rFonts w:ascii="Liberation Sans" w:hAnsi="Liberation Sans" w:cs="Liberation Sans"/>
          <w:sz w:val="28"/>
          <w:szCs w:val="28"/>
          <w:highlight w:val="yellow"/>
        </w:rPr>
      </w:r>
      <w:r/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Определяющую роль в социально-экономическом развитии города имеет бюджет муниципального образования, от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структуры и объемов доходов и расходов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которого зависит реализация полномочий по решению вопросов местного значения и формируется суждение </w:t>
        <w:br/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 бюджетной устойчивости территории.</w:t>
      </w:r>
      <w:r>
        <w:rPr>
          <w:rFonts w:ascii="Liberation Sans" w:hAnsi="Liberation Sans" w:cs="Liberation Sans"/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eastAsia="Liberation Sans" w:cs="Liberation Sans"/>
          <w:color w:val="auto"/>
          <w:highlight w:val="none"/>
        </w:rPr>
      </w:pPr>
      <w:r>
        <w:rPr>
          <w:highlight w:val="none"/>
        </w:rPr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Бюджет муниципального образования город Новый Уренгой </w:t>
        <w:br/>
        <w:t xml:space="preserve">на 2023 год и плановый период 2024 и 2025 годо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был утвержден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реш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ением Городской Думы муниципального образов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ания город Новый Уренгой от 02.12.2022 № 185.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связи с изменен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ием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хо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де исполнения бюджета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доходной и расходной частей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бюджета на сумму межбюджетных трансф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ертов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из окружного бюджета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, перераспределением остатков бюджетных сред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ств на начало года, перевыполнением годовых планов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ых назначений по доходам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четырежды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прово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д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илась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корректировка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бюджета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Liberation Sans" w:cs="Liberation Sans"/>
          <w:color w:val="auto"/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Б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юджет муниципального образования на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2023 год был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принят </w:t>
        <w:br/>
        <w:t xml:space="preserve">без дефицита. В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ходе его исполнения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общий объем доходов и расходов  впервые достиг более 30 млрд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руб. (31,9 млрд руб. и 33,0 млрд руб. соответственно), что почти на 12 млрд руб. больше по сравнению </w:t>
        <w:br/>
        <w:t xml:space="preserve">с 2022 годом.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Фактическое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исполнение бюджета по доходам составило 98,8%, по расходам - 93,4% от плановых назначений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contextualSpacing/>
        <w:jc w:val="center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widowControl w:val="off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Исполнение бюджета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widowControl w:val="off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муниципального образования город Новый Уренгой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widowControl w:val="off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7938"/>
        <w:spacing w:after="0" w:line="240" w:lineRule="auto"/>
        <w:widowControl w:val="off"/>
        <w:rPr>
          <w:color w:val="auto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Таблица 6</w:t>
      </w:r>
      <w:r>
        <w:rPr>
          <w:color w:val="auto"/>
          <w:highlight w:val="none"/>
        </w:rPr>
      </w:r>
      <w:r/>
    </w:p>
    <w:tbl>
      <w:tblPr>
        <w:tblW w:w="9439" w:type="dxa"/>
        <w:jc w:val="center"/>
        <w:tblInd w:w="-24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888"/>
        <w:gridCol w:w="2697"/>
        <w:gridCol w:w="1276"/>
        <w:gridCol w:w="1417"/>
        <w:gridCol w:w="1276"/>
        <w:gridCol w:w="1885"/>
      </w:tblGrid>
      <w:tr>
        <w:trPr>
          <w:jc w:val="center"/>
          <w:trHeight w:val="20"/>
          <w:tblHeader/>
        </w:trPr>
        <w:tc>
          <w:tcPr>
            <w:tcW w:w="8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№ 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br/>
              <w:t xml:space="preserve">п/п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269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Показатель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2021 год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1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2022 год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2023 год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8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2023 год 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br/>
              <w:t xml:space="preserve">к 2022 году, %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>
          <w:jc w:val="center"/>
          <w:trHeight w:val="20"/>
          <w:tblHeader/>
        </w:trPr>
        <w:tc>
          <w:tcPr>
            <w:tcW w:w="8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269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1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8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6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>
          <w:jc w:val="center"/>
          <w:trHeight w:val="20"/>
        </w:trPr>
        <w:tc>
          <w:tcPr>
            <w:tcW w:w="888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2697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Доходы, млн руб.,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из них: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276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16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 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332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,1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1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19 852,5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276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31 472,1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W w:w="1885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158,5</w:t>
            </w:r>
            <w:r>
              <w:rPr>
                <w:sz w:val="24"/>
                <w:szCs w:val="24"/>
                <w:highlight w:val="none"/>
              </w:rPr>
            </w:r>
            <w:r/>
          </w:p>
        </w:tc>
      </w:tr>
      <w:tr>
        <w:trPr>
          <w:jc w:val="center"/>
          <w:trHeight w:val="20"/>
        </w:trPr>
        <w:tc>
          <w:tcPr>
            <w:tcW w:w="888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1.1.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2697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б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езвозмездные поступления, 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млн руб.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276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10 165,4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1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12 851,5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276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23 454,4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W w:w="1885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182,5</w:t>
            </w:r>
            <w:r>
              <w:rPr>
                <w:sz w:val="24"/>
                <w:szCs w:val="24"/>
                <w:highlight w:val="none"/>
              </w:rPr>
            </w:r>
            <w:r/>
          </w:p>
        </w:tc>
      </w:tr>
      <w:tr>
        <w:trPr>
          <w:jc w:val="center"/>
          <w:trHeight w:val="20"/>
        </w:trPr>
        <w:tc>
          <w:tcPr>
            <w:tcW w:w="888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1.2.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2697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н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алоговые и неналоговые доходы, млн руб.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276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6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 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16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6,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7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1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7 001,0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276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8 017,7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W w:w="1885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114,5</w:t>
            </w:r>
            <w:r>
              <w:rPr>
                <w:sz w:val="24"/>
                <w:szCs w:val="24"/>
                <w:highlight w:val="none"/>
              </w:rPr>
            </w:r>
            <w:r/>
          </w:p>
        </w:tc>
      </w:tr>
      <w:tr>
        <w:trPr>
          <w:jc w:val="center"/>
          <w:trHeight w:val="20"/>
        </w:trPr>
        <w:tc>
          <w:tcPr>
            <w:tcW w:w="888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8"/>
                <w:highlight w:val="none"/>
              </w:rPr>
              <w:t xml:space="preserve">2.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2697" w:type="dxa"/>
            <w:textDirection w:val="lrTb"/>
            <w:noWrap w:val="false"/>
          </w:tcPr>
          <w:p>
            <w:pPr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8"/>
                <w:highlight w:val="none"/>
              </w:rPr>
              <w:t xml:space="preserve">Расходы, млн руб.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276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16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 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193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,0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17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widowControl w:val="off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19 964,7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276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30 851,9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W w:w="1885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sz w:val="24"/>
                <w:szCs w:val="24"/>
                <w:highlight w:val="none"/>
              </w:rPr>
            </w:pPr>
            <w:r>
              <w:rPr>
                <w:sz w:val="24"/>
                <w:szCs w:val="24"/>
                <w:highlight w:val="none"/>
              </w:rPr>
              <w:t xml:space="preserve">154,5</w:t>
            </w:r>
            <w:r>
              <w:rPr>
                <w:sz w:val="24"/>
                <w:szCs w:val="24"/>
                <w:highlight w:val="none"/>
              </w:rPr>
            </w:r>
            <w:r/>
          </w:p>
        </w:tc>
      </w:tr>
    </w:tbl>
    <w:p>
      <w:pPr>
        <w:pStyle w:val="1161"/>
        <w:ind w:left="0" w:firstLine="708"/>
        <w:jc w:val="both"/>
        <w:spacing w:after="0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С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ущественный рост поступлений доходов в 2023 году обусловлен предоста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влением межбюджетных субсидий из окружного бюджета </w:t>
        <w:br/>
        <w:t xml:space="preserve">в сумме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9 263,8 млн руб.,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из них 7 044,0 млн руб.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предоставлено в ходе исполнения бюджета на цели, связанные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со строительством объектов муниципальной собственности, содержанием и ремонтом автомобильных дорог,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а также на мероприятия по развитию системы образования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поддержке отраслей культуры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, молодежной политики,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физической культуры и массового спорта, на развитие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малого и среднего предпринимательства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целом увеличение доходов в сегменте межбюджетных трансферто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отмечено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и по дотациям, субвенциям и иным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межбюджетным трансфертам.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61"/>
        <w:ind w:left="0" w:right="0" w:firstLine="0"/>
        <w:jc w:val="both"/>
        <w:spacing w:after="0"/>
        <w:rPr>
          <w:rFonts w:ascii="Liberation Sans" w:hAnsi="Liberation Sans" w:eastAsia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pacing w:val="-4"/>
          <w:sz w:val="28"/>
          <w:szCs w:val="28"/>
          <w:highlight w:val="none"/>
        </w:rPr>
        <w:drawing>
          <wp:inline distT="0" distB="0" distL="0" distR="0">
            <wp:extent cx="5899489" cy="2492208"/>
            <wp:effectExtent l="3175" t="3175" r="3175" b="3175"/>
            <wp:docPr id="13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eastAsia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Объем собственных доходов бюджета (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налоговых и неналоговых доходов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) в 2023 году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составил 8 017,7 млн руб.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(+14,5% к 2022 году)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</w:t>
        <w:br/>
        <w:t xml:space="preserve">за счет: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eastAsia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 поступлений по н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алогу на доходы физических лиц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(+16,8%), </w:t>
        <w:br/>
        <w:t xml:space="preserve">что обусловлено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индексацией заработной платы, результатами проведенно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й совместно с налоговым органом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работы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по выявлению иногородних организаций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осуществляющих деятельность </w:t>
        <w:br/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на территории города Новый Уренгой без регистрации обособленных подразделений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и понуждению их к постановке на налоговый учет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;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поступлений от налогов на совокупный доход (+4,9%), </w:t>
        <w:br/>
        <w:t xml:space="preserve">что обусловлено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ростом доходов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по упрощенной системе налогообложения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связи с ростом количества предпринимателей; </w:t>
      </w:r>
      <w:r>
        <w:rPr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 собираемости доходов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от использования имущества,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 находящегося в муниципальной собственности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(+17,4%), </w:t>
        <w:br/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что обусловлено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 в основном проведенной работой по снижению дебиторской задолженности по арендным обязательствам.</w:t>
      </w:r>
      <w:r>
        <w:rPr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Просроченная дебиторская задолженность по доходам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местного бюджета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снизилас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ь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на 60,7%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 п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о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сравнению с началом 2022 года </w:t>
        <w:br/>
        <w:t xml:space="preserve">(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с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1 3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36,0 млн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руб. до 525,6 млн руб.).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 Объем погашенной просроченной задо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лженности в отчетном году (поступивших средств в доходы бюджета) составил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695,0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млн руб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.</w:t>
      </w:r>
      <w:r>
        <w:rPr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Налоговые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и неналоговые доходы местного бюджета </w:t>
        <w:br/>
        <w:t xml:space="preserve">в 2023 году составили 25,5%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в общем объеме поступлений, из них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доля налоговых доходов составила 22,1% ил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6 946,7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 млн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руб., </w:t>
        <w:br/>
        <w:t xml:space="preserve">что на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 848,7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млн руб.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 больше,чем в 2022 году.</w:t>
      </w:r>
      <w:r>
        <w:rPr>
          <w:color w:val="000000" w:themeColor="text1"/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eastAsia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Основными источниками формирования налоговых доходов бюджета по-прежнему являются налог на доходы физических лиц и налоги на совокупный доход, на долю каждого из них приходится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85,5% и 11,8%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соотв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етственно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. Поступления от указанных источников ежегодно имеют положительную динамику.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14:ligatures w14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  <w14:ligatures w14:val="none"/>
        </w:rPr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eastAsia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drawing>
          <wp:inline distT="0" distB="0" distL="0" distR="0">
            <wp:extent cx="5267347" cy="2684629"/>
            <wp:effectExtent l="4762" t="4762" r="4762" b="4762"/>
            <wp:docPr id="14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>
        <w:rPr>
          <w:rFonts w:ascii="Liberation Sans" w:hAnsi="Liberation Sans" w:eastAsia="Liberation Sans" w:cs="Liberation Sans"/>
          <w:sz w:val="28"/>
          <w:szCs w:val="28"/>
          <w:highlight w:val="none"/>
          <w14:ligatures w14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val="ru-RU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Рост доходов от налога на имущество физических лиц в 2023 году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составил почти 9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мл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н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 рубл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ей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(+23,5%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 к 2022 году)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, что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обусловлено прежде всего увеличением налоговой базы вследствие ввода </w:t>
        <w:br/>
        <w:t xml:space="preserve">в эксплуатацию новых объектов жилищного фонда.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color w:val="auto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Расход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ная часть бюджета в 2023 году согласно уточненному плану составила 33 014,5 млн руб.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99,7% от которых составляют «программные» расходы, то есть запланированные на реализацию </w:t>
        <w:br/>
        <w:t xml:space="preserve">13 муниципальных программ. Исполнение программных расходов </w:t>
        <w:br/>
        <w:t xml:space="preserve">в 2023 году составило 93,4%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color w:val="auto"/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eastAsia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Расходы бюджета муниципального образования на реализацию национальных проектов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2023 году увеличились по сравнению </w:t>
        <w:br/>
        <w:t xml:space="preserve">с 2022 годом на 112,6 мл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н руб. и составили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831,0 млн руб. </w:t>
        <w:br/>
        <w:t xml:space="preserve">Исполнение соответствующих бюджетных назначений в отчетном году составило 97,7%.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Как и в 2022 году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по 3 национальным проектам, включая связанные с ними региональные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проекты, процент исполнения запла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нированных расходов составил 100%.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Лидерство в освоении бюджетных назначений в 2023 году сохранили национальные проекты «Культура», «Образование» и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«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Безопасные и качественные автомобильные дороги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».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</w:rPr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структуре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расходов бюджета в отчетном финансовом году доля расходов социального характера составила 46,8%, что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на 13,8 процентных пункта меньше, чем в 2022 году,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но в сравнении </w:t>
        <w:br/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объемам бюджетных средств больше на 2 347,6 млн руб.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  <w:br/>
        <w:t xml:space="preserve">(14 443 093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тыс. руб.)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 В расчете на 1 жителя муниципального образования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составила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135,1 тыс. руб.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r>
        <w:rPr>
          <w:rFonts w:ascii="Liberation Sans" w:hAnsi="Liberation Sans" w:cs="Liberation Sans"/>
        </w:rPr>
        <w:drawing>
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88230</wp:posOffset>
            </wp:positionV>
            <wp:extent cx="5714994" cy="2362192"/>
            <wp:effectExtent l="4762" t="4762" r="4762" b="4762"/>
            <wp:wrapSquare wrapText="bothSides"/>
            <wp:docPr id="1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eastAsia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eastAsia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eastAsia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2023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году более чем вдвое увеличились расходы по разделу «Национальная экономика», в частности по подразделам «Транспорт» и «Дорожное хозяйство», а также разделу «Жилищно-коммунальное хозяйство», что обусловлено весомыми инвести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циями </w:t>
        <w:br/>
        <w:t xml:space="preserve">в инфраструктуру города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преддверии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50-летнего юбилея города.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eastAsia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целях формирования облика города, обустройства обществен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ных пространств активно вовлекается население муниципального образования посредством реализации различных практик инициативного бюджетирования.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рамках школьного партисипаторного бюджетирования </w:t>
        <w:br/>
        <w:t xml:space="preserve">на реализацию 17 проектов учащихся школ в 2023 году направл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ено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br/>
        <w:t xml:space="preserve">4,9 млн руб.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На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развитие комфортной городской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среды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, реализацию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практик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инициативного бюджетирования в рамках регионального проекта «Уютный Ямал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» направлено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423,5 млн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руб.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Р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еализовано </w:t>
        <w:br/>
        <w:t xml:space="preserve">6 инициативных проектов граждан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: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«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Благоустройство территории </w:t>
        <w:br/>
        <w:t xml:space="preserve">во дворе домов 2/1 и 2/2 в мкр. Оптимистов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»;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«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Капитальный ремонт проездов по ул. Молодежная, д.9, 9А, 13, 15, им. Заура Керейтова и Народов Севера в г. Новый Уренгой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»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«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Многофункциональная площадка под открытым небом в районе Лимбяяха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»;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«Обустройство зоны отдыха с детской площадкой по пр. Губкина (в районе д. 7А),</w:t>
        <w:br/>
        <w:t xml:space="preserve">г. Новый Уренгой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»;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«Аллея для фотосесс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ий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»;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«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оенизированная полоса препятствий»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общем объеме расходов бюджета 2023 года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доля запланированных с использованием различных форм участия граждан (включая учащихся в мун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иципальных общеобразовательных организациях) в определении приоритетов расходования бюджетных средств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составил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а 1,4%,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что вдвое превышает значение 2022 года. </w:t>
      </w:r>
      <w:r>
        <w:rPr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highlight w:val="none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  <w14:ligatures w14:val="none"/>
        </w:rPr>
        <w:t xml:space="preserve">В ходе исполнения бюджета в 2023 году образовавшийся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дефицит в сумме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1 150,3 млн руб. был обеспечен остатками средств на начало финансового года.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Объем бю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д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жетных расходов не превысил суммарный объем доходов местного бюджета с учетом сумм переходящих остатков бюджетных средств. Кассовых разрывов </w:t>
        <w:br/>
        <w:t xml:space="preserve">в отчетном финансовом году не возникало.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Отчетный год был завершен б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ез образования муниципального долга, с профицитом в сумме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br/>
        <w:t xml:space="preserve">620,2 м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лн руб.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eastAsia="Liberation Sans" w:cs="Liberation Sans"/>
          <w:highlight w:val="yellow"/>
        </w:rPr>
      </w:pPr>
      <w:r>
        <w:rPr>
          <w:highlight w:val="none"/>
        </w:rPr>
      </w:r>
      <w:r>
        <w:rPr>
          <w:rFonts w:ascii="Liberation Sans" w:hAnsi="Liberation Sans" w:eastAsia="Liberation Sans" w:cs="Liberation Sans"/>
          <w:highlight w:val="yellow"/>
        </w:rPr>
      </w:r>
      <w:r/>
    </w:p>
    <w:p>
      <w:pPr>
        <w:pStyle w:val="1131"/>
        <w:ind w:left="0" w:firstLine="708"/>
        <w:jc w:val="both"/>
        <w:spacing w:before="0" w:beforeAutospacing="0" w:after="0" w:afterAutospacing="0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highlight w:val="none"/>
        </w:rPr>
      </w:r>
      <w:r/>
    </w:p>
    <w:p>
      <w:pPr>
        <w:pStyle w:val="1130"/>
        <w:ind w:firstLine="709"/>
        <w:jc w:val="both"/>
        <w:spacing w:before="0" w:beforeAutospacing="0" w:after="0" w:afterAutospacing="0"/>
        <w:shd w:val="clear" w:color="auto" w:fill="ffffff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</w:rPr>
      </w:r>
      <w:r/>
    </w:p>
    <w:p>
      <w:pPr>
        <w:pStyle w:val="1131"/>
        <w:ind w:left="0" w:firstLine="708"/>
        <w:jc w:val="both"/>
        <w:spacing w:after="0"/>
        <w:rPr>
          <w:rFonts w:ascii="Liberation Sans" w:hAnsi="Liberation Sans" w:cs="Liberation Sans"/>
        </w:rPr>
        <w:sectPr>
          <w:footnotePr/>
          <w:endnotePr/>
          <w:type w:val="continuous"/>
          <w:pgSz w:w="11906" w:h="16838" w:orient="portrait"/>
          <w:pgMar w:top="964" w:right="850" w:bottom="1134" w:left="1701" w:header="709" w:footer="709" w:gutter="0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</w:rPr>
      </w:r>
      <w:r/>
    </w:p>
    <w:p>
      <w:pPr>
        <w:pStyle w:val="1131"/>
        <w:ind w:left="0" w:firstLine="708"/>
        <w:jc w:val="center"/>
        <w:spacing w:after="0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Информация об исполнени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и бюджета 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 2021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20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2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3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 год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ах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br/>
        <w:t xml:space="preserve">в разрезе муниципальных программ и непрограммных расходов, тыс. руб.</w:t>
      </w:r>
      <w:r>
        <w:rPr>
          <w:rFonts w:ascii="Liberation Sans" w:hAnsi="Liberation Sans" w:cs="Liberation Sans"/>
          <w:highlight w:val="none"/>
        </w:rPr>
      </w:r>
      <w:r/>
    </w:p>
    <w:p>
      <w:pPr>
        <w:pStyle w:val="1131"/>
        <w:ind w:left="0" w:firstLine="708"/>
        <w:jc w:val="center"/>
        <w:spacing w:after="0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bCs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31"/>
        <w:ind w:left="0" w:firstLine="708"/>
        <w:jc w:val="right"/>
        <w:spacing w:after="0"/>
        <w:rPr>
          <w:rFonts w:ascii="Liberation Sans" w:hAnsi="Liberation Sans" w:cs="Liberation Sans"/>
          <w:color w:val="auto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Таблица 7</w:t>
      </w:r>
      <w:r>
        <w:rPr>
          <w:rFonts w:ascii="Liberation Sans" w:hAnsi="Liberation Sans" w:cs="Liberation Sans"/>
          <w:color w:val="auto"/>
          <w:highlight w:val="none"/>
        </w:rPr>
      </w:r>
      <w:r/>
    </w:p>
    <w:tbl>
      <w:tblPr>
        <w:tblW w:w="14675" w:type="dxa"/>
        <w:tblInd w:w="9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6099"/>
        <w:gridCol w:w="1414"/>
        <w:gridCol w:w="1420"/>
        <w:gridCol w:w="1420"/>
        <w:gridCol w:w="1420"/>
        <w:gridCol w:w="1060"/>
        <w:gridCol w:w="850"/>
        <w:gridCol w:w="992"/>
      </w:tblGrid>
      <w:tr>
        <w:trPr>
          <w:trHeight w:val="315"/>
          <w:tblHeader/>
        </w:trPr>
        <w:tc>
          <w:tcPr>
            <w:shd w:val="clear" w:color="ffffff" w:fill="ffffff"/>
            <w:tcW w:w="6099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Наименование муниципальной программы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1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План / факт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gridSpan w:val="3"/>
            <w:shd w:val="clear" w:color="ffffff" w:fill="ffffff"/>
            <w:tcW w:w="4260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Год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gridSpan w:val="3"/>
            <w:shd w:val="clear" w:color="ffffff" w:fill="ffffff"/>
            <w:tcW w:w="290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% исполнения (факт/план)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</w:tr>
      <w:tr>
        <w:trPr>
          <w:trHeight w:val="176"/>
          <w:tblHeader/>
        </w:trPr>
        <w:tc>
          <w:tcPr>
            <w:tcW w:w="6099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shd w:val="clear" w:color="ffffff" w:fill="ffffff"/>
            <w:tcW w:w="1414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2021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2022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2023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060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2021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850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2022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99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2023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</w:tr>
      <w:tr>
        <w:trPr>
          <w:trHeight w:val="176"/>
          <w:tblHeader/>
        </w:trPr>
        <w:tc>
          <w:tcPr>
            <w:tcW w:w="609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1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060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6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850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7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992" w:type="dxa"/>
            <w:textDirection w:val="lrTb"/>
            <w:noWrap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8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</w:tr>
      <w:tr>
        <w:trPr>
          <w:trHeight w:val="261"/>
        </w:trPr>
        <w:tc>
          <w:tcPr>
            <w:shd w:val="clear" w:color="ffffff" w:fill="ffffff"/>
            <w:tcW w:w="6099" w:type="dxa"/>
            <w:vMerge w:val="restart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«Развитие системы образования»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14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П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лан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8 010 412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8 661 845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9 894 712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shd w:val="clear" w:color="ffffff" w:fill="ffffff"/>
            <w:tcW w:w="106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98,5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85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99,4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992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highlight w:val="none"/>
              </w:rPr>
            </w:pPr>
            <w:r>
              <w:rPr>
                <w:highlight w:val="none"/>
              </w:rPr>
              <w:t xml:space="preserve">98,1</w:t>
            </w:r>
            <w:r>
              <w:rPr>
                <w:highlight w:val="none"/>
              </w:rPr>
            </w:r>
            <w:r/>
          </w:p>
        </w:tc>
      </w:tr>
      <w:tr>
        <w:trPr>
          <w:trHeight w:val="66"/>
        </w:trPr>
        <w:tc>
          <w:tcPr>
            <w:tcW w:w="6099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shd w:val="clear" w:color="ffffff" w:fill="ffffff"/>
            <w:tcW w:w="1414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Ф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акт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7 890 851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8 612 506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9 706 125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tcW w:w="106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85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99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</w:tr>
      <w:tr>
        <w:trPr>
          <w:trHeight w:val="180"/>
        </w:trPr>
        <w:tc>
          <w:tcPr>
            <w:shd w:val="clear" w:color="000000" w:fill="ffffff"/>
            <w:tcW w:w="6099" w:type="dxa"/>
            <w:vMerge w:val="restart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«Развитие городского хозяйства»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14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П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лан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1 930 913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2 451 675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4 153 659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shd w:val="clear" w:color="ffffff" w:fill="ffffff"/>
            <w:tcW w:w="106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63,1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85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70,9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992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highlight w:val="none"/>
              </w:rPr>
            </w:pPr>
            <w:r>
              <w:rPr>
                <w:highlight w:val="none"/>
              </w:rPr>
              <w:t xml:space="preserve">63,6</w:t>
            </w:r>
            <w:r>
              <w:rPr>
                <w:highlight w:val="none"/>
              </w:rPr>
            </w:r>
            <w:r/>
          </w:p>
        </w:tc>
      </w:tr>
      <w:tr>
        <w:trPr>
          <w:trHeight w:val="144"/>
        </w:trPr>
        <w:tc>
          <w:tcPr>
            <w:tcW w:w="6099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shd w:val="clear" w:color="ffffff" w:fill="ffffff"/>
            <w:tcW w:w="1414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Ф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акт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1 218 423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1 737 940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2 640 382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tcW w:w="106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85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99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</w:tr>
      <w:tr>
        <w:trPr>
          <w:trHeight w:val="315"/>
        </w:trPr>
        <w:tc>
          <w:tcPr>
            <w:shd w:val="clear" w:color="000000" w:fill="ffffff"/>
            <w:tcW w:w="6099" w:type="dxa"/>
            <w:vMerge w:val="restart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«Управление развитием муниципального образования»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14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П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лан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979 035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1 045 507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1 182 282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shd w:val="clear" w:color="ffffff" w:fill="ffffff"/>
            <w:tcW w:w="106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98,3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85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99,6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992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highlight w:val="none"/>
              </w:rPr>
            </w:pPr>
            <w:r>
              <w:rPr>
                <w:highlight w:val="none"/>
              </w:rPr>
              <w:t xml:space="preserve">99,8</w:t>
            </w:r>
            <w:r>
              <w:rPr>
                <w:highlight w:val="none"/>
              </w:rPr>
            </w:r>
            <w:r/>
          </w:p>
        </w:tc>
      </w:tr>
      <w:tr>
        <w:trPr>
          <w:trHeight w:val="196"/>
        </w:trPr>
        <w:tc>
          <w:tcPr>
            <w:tcW w:w="6099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shd w:val="clear" w:color="ffffff" w:fill="ffffff"/>
            <w:tcW w:w="1414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Ф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акт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962 616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1 041 751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1 179 395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tcW w:w="106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85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99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</w:tr>
      <w:tr>
        <w:trPr>
          <w:trHeight w:val="299"/>
        </w:trPr>
        <w:tc>
          <w:tcPr>
            <w:shd w:val="clear" w:color="000000" w:fill="ffffff"/>
            <w:tcW w:w="6099" w:type="dxa"/>
            <w:vMerge w:val="restart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«Социальная поддержка граждан»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14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П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лан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265 961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280 698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359 734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shd w:val="clear" w:color="ffffff" w:fill="ffffff"/>
            <w:tcW w:w="106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98,2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85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99,1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992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highlight w:val="none"/>
              </w:rPr>
            </w:pPr>
            <w:r>
              <w:rPr>
                <w:highlight w:val="none"/>
              </w:rPr>
              <w:t xml:space="preserve">98,1</w:t>
            </w:r>
            <w:r>
              <w:rPr>
                <w:highlight w:val="none"/>
              </w:rPr>
            </w:r>
            <w:r/>
          </w:p>
        </w:tc>
      </w:tr>
      <w:tr>
        <w:trPr>
          <w:trHeight w:val="252"/>
        </w:trPr>
        <w:tc>
          <w:tcPr>
            <w:tcW w:w="6099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shd w:val="clear" w:color="ffffff" w:fill="ffffff"/>
            <w:tcW w:w="1414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Ф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акт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261 167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278 193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352 751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tcW w:w="106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85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99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</w:tr>
      <w:tr>
        <w:trPr>
          <w:trHeight w:val="315"/>
        </w:trPr>
        <w:tc>
          <w:tcPr>
            <w:shd w:val="clear" w:color="000000" w:fill="ffffff"/>
            <w:tcW w:w="6099" w:type="dxa"/>
            <w:vMerge w:val="restart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«Развитие культуры и творчества»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14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П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лан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917 900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1 149 474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1 263 734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shd w:val="clear" w:color="ffffff" w:fill="ffffff"/>
            <w:tcW w:w="106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98,9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85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99,7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992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highlight w:val="none"/>
              </w:rPr>
            </w:pPr>
            <w:r>
              <w:rPr>
                <w:highlight w:val="none"/>
              </w:rPr>
              <w:t xml:space="preserve">97,4</w:t>
            </w:r>
            <w:r>
              <w:rPr>
                <w:highlight w:val="none"/>
              </w:rPr>
            </w:r>
            <w:r/>
          </w:p>
        </w:tc>
      </w:tr>
      <w:tr>
        <w:trPr>
          <w:trHeight w:val="315"/>
        </w:trPr>
        <w:tc>
          <w:tcPr>
            <w:tcW w:w="6099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shd w:val="clear" w:color="ffffff" w:fill="ffffff"/>
            <w:tcW w:w="1414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Ф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акт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907 866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1 145 527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1 230 301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tcW w:w="106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85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99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</w:tr>
      <w:tr>
        <w:trPr>
          <w:trHeight w:val="315"/>
        </w:trPr>
        <w:tc>
          <w:tcPr>
            <w:shd w:val="clear" w:color="000000" w:fill="ffffff"/>
            <w:tcW w:w="6099" w:type="dxa"/>
            <w:vMerge w:val="restart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«Доступное жильё»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14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П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лан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1 007 426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1 390 789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3 820 842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shd w:val="clear" w:color="ffffff" w:fill="ffffff"/>
            <w:tcW w:w="106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79,0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85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91,2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992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highlight w:val="none"/>
              </w:rPr>
            </w:pPr>
            <w:r>
              <w:rPr>
                <w:highlight w:val="none"/>
              </w:rPr>
              <w:t xml:space="preserve">99,0</w:t>
            </w:r>
            <w:r>
              <w:rPr>
                <w:highlight w:val="none"/>
              </w:rPr>
            </w:r>
            <w:r/>
          </w:p>
        </w:tc>
      </w:tr>
      <w:tr>
        <w:trPr>
          <w:trHeight w:val="315"/>
        </w:trPr>
        <w:tc>
          <w:tcPr>
            <w:tcW w:w="6099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shd w:val="clear" w:color="ffffff" w:fill="ffffff"/>
            <w:tcW w:w="1414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Ф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акт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795 653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1 267 714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3 784 396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tcW w:w="106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85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99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</w:tr>
      <w:tr>
        <w:trPr>
          <w:trHeight w:val="315"/>
        </w:trPr>
        <w:tc>
          <w:tcPr>
            <w:shd w:val="clear" w:color="000000" w:fill="ffffff"/>
            <w:tcW w:w="6099" w:type="dxa"/>
            <w:vMerge w:val="restart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«Управление муниципальным имуществом»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14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П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лан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425 760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793 774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536 852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shd w:val="clear" w:color="ffffff" w:fill="ffffff"/>
            <w:tcW w:w="106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80,6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85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95,8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992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highlight w:val="none"/>
              </w:rPr>
            </w:pPr>
            <w:r>
              <w:rPr>
                <w:highlight w:val="none"/>
              </w:rPr>
              <w:t xml:space="preserve">99,2</w:t>
            </w:r>
            <w:r>
              <w:rPr>
                <w:highlight w:val="none"/>
              </w:rPr>
            </w:r>
            <w:r/>
          </w:p>
        </w:tc>
      </w:tr>
      <w:tr>
        <w:trPr>
          <w:trHeight w:val="294"/>
        </w:trPr>
        <w:tc>
          <w:tcPr>
            <w:tcW w:w="6099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shd w:val="clear" w:color="ffffff" w:fill="ffffff"/>
            <w:tcW w:w="1414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Ф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акт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343 145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760 827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532 475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tcW w:w="106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85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99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</w:tr>
      <w:tr>
        <w:trPr>
          <w:trHeight w:val="315"/>
        </w:trPr>
        <w:tc>
          <w:tcPr>
            <w:shd w:val="clear" w:color="000000" w:fill="ffffff"/>
            <w:tcW w:w="6099" w:type="dxa"/>
            <w:vMerge w:val="restart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«Дети и молодежь. Развитие гражданского общества»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14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П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лан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165 813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235 012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352 311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shd w:val="clear" w:color="ffffff" w:fill="ffffff"/>
            <w:tcW w:w="106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99,0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85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82,2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992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highlight w:val="none"/>
              </w:rPr>
            </w:pPr>
            <w:r>
              <w:rPr>
                <w:highlight w:val="none"/>
              </w:rPr>
              <w:t xml:space="preserve">99,2</w:t>
            </w:r>
            <w:r>
              <w:rPr>
                <w:highlight w:val="none"/>
              </w:rPr>
            </w:r>
            <w:r/>
          </w:p>
        </w:tc>
      </w:tr>
      <w:tr>
        <w:trPr>
          <w:trHeight w:val="315"/>
        </w:trPr>
        <w:tc>
          <w:tcPr>
            <w:tcW w:w="6099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shd w:val="clear" w:color="ffffff" w:fill="ffffff"/>
            <w:tcW w:w="1414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Ф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акт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164 088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193 134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349 349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tcW w:w="106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85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99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</w:tr>
      <w:tr>
        <w:trPr>
          <w:trHeight w:val="315"/>
        </w:trPr>
        <w:tc>
          <w:tcPr>
            <w:shd w:val="clear" w:color="000000" w:fill="ffffff"/>
            <w:tcW w:w="6099" w:type="dxa"/>
            <w:vMerge w:val="restart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«Физическая культура - Здоровье - Спорт»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14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П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лан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726 751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806 387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1 438 605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shd w:val="clear" w:color="ffffff" w:fill="ffffff"/>
            <w:tcW w:w="106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96,7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85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99,6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992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highlight w:val="none"/>
              </w:rPr>
            </w:pPr>
            <w:r>
              <w:rPr>
                <w:highlight w:val="none"/>
              </w:rPr>
              <w:t xml:space="preserve">98,8</w:t>
            </w:r>
            <w:r>
              <w:rPr>
                <w:highlight w:val="none"/>
              </w:rPr>
            </w:r>
            <w:r/>
          </w:p>
        </w:tc>
      </w:tr>
      <w:tr>
        <w:trPr>
          <w:trHeight w:val="261"/>
        </w:trPr>
        <w:tc>
          <w:tcPr>
            <w:tcW w:w="6099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shd w:val="clear" w:color="ffffff" w:fill="ffffff"/>
            <w:tcW w:w="1414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Ф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акт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702 486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803 388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1 421 971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tcW w:w="106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85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99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</w:tr>
      <w:tr>
        <w:trPr>
          <w:trHeight w:val="194"/>
        </w:trPr>
        <w:tc>
          <w:tcPr>
            <w:shd w:val="clear" w:color="000000" w:fill="ffffff"/>
            <w:tcW w:w="6099" w:type="dxa"/>
            <w:vMerge w:val="restart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«Управление муниципальными финансами»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14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П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лан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176 406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176 728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193 365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shd w:val="clear" w:color="ffffff" w:fill="ffffff"/>
            <w:tcW w:w="106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98,0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85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99,9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992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highlight w:val="none"/>
              </w:rPr>
            </w:pPr>
            <w:r>
              <w:rPr>
                <w:highlight w:val="none"/>
              </w:rPr>
              <w:t xml:space="preserve">99,9</w:t>
            </w:r>
            <w:r>
              <w:rPr>
                <w:highlight w:val="none"/>
              </w:rPr>
            </w:r>
            <w:r/>
          </w:p>
        </w:tc>
      </w:tr>
      <w:tr>
        <w:trPr>
          <w:trHeight w:val="143"/>
        </w:trPr>
        <w:tc>
          <w:tcPr>
            <w:tcW w:w="6099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shd w:val="clear" w:color="ffffff" w:fill="ffffff"/>
            <w:tcW w:w="1414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Ф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акт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172 820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176 496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193 225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tcW w:w="106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85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99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</w:tr>
      <w:tr>
        <w:trPr>
          <w:trHeight w:val="151"/>
        </w:trPr>
        <w:tc>
          <w:tcPr>
            <w:shd w:val="clear" w:color="000000" w:fill="ffffff"/>
            <w:tcW w:w="6099" w:type="dxa"/>
            <w:vMerge w:val="restart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«Энергосбережение и повышение энергетической эффективности»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14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П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лан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1 858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990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1 057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shd w:val="clear" w:color="ffffff" w:fill="ffffff"/>
            <w:tcW w:w="106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98,8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85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99,9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992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highlight w:val="none"/>
              </w:rPr>
            </w:pPr>
            <w:r>
              <w:rPr>
                <w:highlight w:val="none"/>
              </w:rPr>
              <w:t xml:space="preserve">100,0</w:t>
            </w:r>
            <w:r>
              <w:rPr>
                <w:highlight w:val="none"/>
              </w:rPr>
            </w:r>
            <w:r/>
          </w:p>
        </w:tc>
      </w:tr>
      <w:tr>
        <w:trPr>
          <w:trHeight w:val="315"/>
        </w:trPr>
        <w:tc>
          <w:tcPr>
            <w:tcBorders>
              <w:bottom w:val="single" w:color="000000" w:sz="4" w:space="0"/>
            </w:tcBorders>
            <w:tcW w:w="6099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shd w:val="clear" w:color="ffffff" w:fill="ffffff"/>
            <w:tcW w:w="1414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Ф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акт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1 836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989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1 057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tcW w:w="106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85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99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</w:tr>
      <w:tr>
        <w:trPr>
          <w:trHeight w:val="294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6099" w:type="dxa"/>
            <w:vMerge w:val="restart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«Благоустройство и развитие транспортного комплекса 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на территории муниципального образования город Новый Уренгой»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Borders>
              <w:left w:val="single" w:color="000000" w:sz="4" w:space="0"/>
            </w:tcBorders>
            <w:tcW w:w="1414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П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лан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2 893 195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3 779 155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9 486 456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tcW w:w="1060" w:type="dxa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90,3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850" w:type="dxa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97,9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highlight w:val="none"/>
              </w:rPr>
            </w:pPr>
            <w:r>
              <w:rPr>
                <w:highlight w:val="none"/>
              </w:rPr>
              <w:t xml:space="preserve">96,5</w:t>
            </w:r>
            <w:r>
              <w:rPr>
                <w:highlight w:val="none"/>
              </w:rPr>
            </w:r>
            <w:r/>
          </w:p>
        </w:tc>
      </w:tr>
      <w:tr>
        <w:trPr>
          <w:trHeight w:val="315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099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shd w:val="clear" w:color="ffffff" w:fill="ffffff"/>
            <w:tcBorders>
              <w:left w:val="single" w:color="000000" w:sz="4" w:space="0"/>
            </w:tcBorders>
            <w:tcW w:w="1414" w:type="dxa"/>
            <w:vAlign w:val="top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Ф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акт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2 613 798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3 701 560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9 158 083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tcW w:w="106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85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99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</w:tr>
      <w:tr>
        <w:trPr>
          <w:trHeight w:val="298"/>
        </w:trPr>
        <w:tc>
          <w:tcPr>
            <w:shd w:val="clear" w:color="000000" w:fill="ffffff"/>
            <w:tcBorders>
              <w:top w:val="single" w:color="000000" w:sz="4" w:space="0"/>
            </w:tcBorders>
            <w:tcW w:w="6099" w:type="dxa"/>
            <w:vMerge w:val="restart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«Безопасная территория муниципального образования город Новый Уренгой»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14" w:type="dxa"/>
            <w:vAlign w:val="top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П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лан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122 739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205 918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244 892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shd w:val="clear" w:color="ffffff" w:fill="ffffff"/>
            <w:tcW w:w="106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98,8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85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99,7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992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highlight w:val="none"/>
              </w:rPr>
            </w:pPr>
            <w:r>
              <w:rPr>
                <w:highlight w:val="none"/>
              </w:rPr>
              <w:t xml:space="preserve">94,9</w:t>
            </w:r>
            <w:r>
              <w:rPr>
                <w:highlight w:val="none"/>
              </w:rPr>
            </w:r>
            <w:r/>
          </w:p>
        </w:tc>
      </w:tr>
      <w:tr>
        <w:trPr>
          <w:trHeight w:val="220"/>
        </w:trPr>
        <w:tc>
          <w:tcPr>
            <w:tcW w:w="6099" w:type="dxa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shd w:val="clear" w:color="ffffff" w:fill="ffffff"/>
            <w:tcW w:w="1414" w:type="dxa"/>
            <w:vAlign w:val="top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Ф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акт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121 311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205 335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232 385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tcW w:w="106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85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99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</w:tr>
      <w:tr>
        <w:trPr>
          <w:trHeight w:val="315"/>
        </w:trPr>
        <w:tc>
          <w:tcPr>
            <w:shd w:val="clear" w:color="000000" w:fill="ffffff"/>
            <w:tcW w:w="6099" w:type="dxa"/>
            <w:vMerge w:val="restart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Непрограммные расходы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14" w:type="dxa"/>
            <w:vAlign w:val="top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П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лан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49 795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49 334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86 030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shd w:val="clear" w:color="ffffff" w:fill="ffffff"/>
            <w:tcW w:w="106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74,2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85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79,7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992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highlight w:val="none"/>
              </w:rPr>
            </w:pPr>
            <w:r>
              <w:rPr>
                <w:highlight w:val="none"/>
              </w:rPr>
              <w:t xml:space="preserve">81,4</w:t>
            </w:r>
            <w:r>
              <w:rPr>
                <w:highlight w:val="none"/>
              </w:rPr>
            </w:r>
            <w:r/>
          </w:p>
        </w:tc>
      </w:tr>
      <w:tr>
        <w:trPr>
          <w:trHeight w:val="296"/>
        </w:trPr>
        <w:tc>
          <w:tcPr>
            <w:tcW w:w="6099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shd w:val="clear" w:color="ffffff" w:fill="ffffff"/>
            <w:tcW w:w="1414" w:type="dxa"/>
            <w:vAlign w:val="top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Ф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акт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36 948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39 304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70 007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tcW w:w="106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850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992" w:type="dxa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/>
          </w:p>
        </w:tc>
      </w:tr>
      <w:tr>
        <w:trPr>
          <w:trHeight w:val="323"/>
        </w:trPr>
        <w:tc>
          <w:tcPr>
            <w:shd w:val="clear" w:color="ffffff" w:fill="ffffff"/>
            <w:tcW w:w="6099" w:type="dxa"/>
            <w:vMerge w:val="restart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bCs/>
                <w:sz w:val="24"/>
                <w:szCs w:val="24"/>
                <w:highlight w:val="none"/>
              </w:rPr>
              <w:t xml:space="preserve">ВСЕГО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14" w:type="dxa"/>
            <w:vAlign w:val="top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П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лан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bCs/>
                <w:highlight w:val="none"/>
              </w:rPr>
              <w:t xml:space="preserve">17 673 964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21 027 286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33 014 531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shd w:val="clear" w:color="ffffff" w:fill="ffffff"/>
            <w:tcW w:w="106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bCs/>
                <w:highlight w:val="none"/>
              </w:rPr>
              <w:t xml:space="preserve">91,6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850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94,9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992" w:type="dxa"/>
            <w:vMerge w:val="restart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highlight w:val="none"/>
              </w:rPr>
            </w:pPr>
            <w:r>
              <w:rPr>
                <w:highlight w:val="none"/>
              </w:rPr>
              <w:t xml:space="preserve">93,4</w:t>
            </w:r>
            <w:r>
              <w:rPr>
                <w:highlight w:val="none"/>
              </w:rPr>
            </w:r>
            <w:r/>
          </w:p>
        </w:tc>
      </w:tr>
      <w:tr>
        <w:trPr>
          <w:trHeight w:val="251"/>
        </w:trPr>
        <w:tc>
          <w:tcPr>
            <w:tcW w:w="6099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bCs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shd w:val="clear" w:color="ffffff" w:fill="ffffff"/>
            <w:tcW w:w="1414" w:type="dxa"/>
            <w:vAlign w:val="top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Ф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акт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bCs/>
                <w:highlight w:val="none"/>
              </w:rPr>
              <w:t xml:space="preserve">16 193 008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spacing w:after="0" w:afterAutospacing="0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  <w:t xml:space="preserve">19 964 664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shd w:val="clear" w:color="ffffff" w:fill="ffffff"/>
            <w:tcW w:w="1420" w:type="dxa"/>
            <w:textDirection w:val="lrTb"/>
            <w:noWrap/>
          </w:tcPr>
          <w:p>
            <w:pPr>
              <w:jc w:val="center"/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30 851 90</w:t>
            </w:r>
            <w:r>
              <w:rPr>
                <w:rFonts w:ascii="Liberation Sans" w:hAnsi="Liberation Sans" w:eastAsia="Liberation Sans" w:cs="Liberation Sans"/>
                <w:b w:val="0"/>
                <w:bCs w:val="0"/>
                <w:color w:val="auto"/>
                <w:sz w:val="22"/>
                <w:szCs w:val="22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0"/>
                <w:szCs w:val="20"/>
                <w:highlight w:val="none"/>
              </w:rPr>
            </w:r>
            <w:r/>
          </w:p>
        </w:tc>
        <w:tc>
          <w:tcPr>
            <w:tcW w:w="1060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bCs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850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bCs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W w:w="992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bCs/>
              </w:rPr>
            </w:r>
            <w:r>
              <w:rPr>
                <w:rFonts w:ascii="Liberation Serif" w:hAnsi="Liberation Serif"/>
              </w:rPr>
            </w:r>
            <w:r/>
          </w:p>
        </w:tc>
      </w:tr>
    </w:tbl>
    <w:p>
      <w:pPr>
        <w:pStyle w:val="1131"/>
        <w:ind w:left="0" w:firstLine="708"/>
        <w:jc w:val="center"/>
        <w:spacing w:after="0" w:afterAutospacing="0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bCs/>
          <w:sz w:val="28"/>
          <w:szCs w:val="28"/>
          <w:highlight w:val="none"/>
        </w:rPr>
      </w:r>
      <w:r>
        <w:rPr>
          <w:rFonts w:ascii="Liberation Sans" w:hAnsi="Liberation Sans" w:cs="Liberation Sans"/>
          <w:highlight w:val="none"/>
        </w:rPr>
      </w:r>
      <w:r/>
    </w:p>
    <w:p>
      <w:pPr>
        <w:pStyle w:val="1131"/>
        <w:ind w:left="0" w:firstLine="708"/>
        <w:jc w:val="center"/>
        <w:spacing w:after="0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bCs/>
          <w:sz w:val="28"/>
          <w:szCs w:val="28"/>
          <w:highlight w:val="none"/>
        </w:rPr>
      </w:r>
      <w:r>
        <w:rPr>
          <w:rFonts w:ascii="Liberation Sans" w:hAnsi="Liberation Sans" w:cs="Liberation Sans"/>
          <w:highlight w:val="none"/>
        </w:rPr>
      </w:r>
      <w:r/>
    </w:p>
    <w:p>
      <w:pPr>
        <w:pStyle w:val="1131"/>
        <w:ind w:left="0" w:firstLine="708"/>
        <w:jc w:val="center"/>
        <w:spacing w:after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Cs/>
          <w:sz w:val="28"/>
          <w:szCs w:val="28"/>
        </w:rPr>
      </w:r>
      <w:r>
        <w:rPr>
          <w:rFonts w:ascii="Liberation Sans" w:hAnsi="Liberation Sans" w:cs="Liberation Sans"/>
        </w:rPr>
      </w:r>
      <w:r/>
    </w:p>
    <w:p>
      <w:pPr>
        <w:pStyle w:val="1131"/>
        <w:ind w:left="0" w:firstLine="708"/>
        <w:jc w:val="center"/>
        <w:spacing w:after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Cs/>
          <w:sz w:val="28"/>
          <w:szCs w:val="28"/>
        </w:rPr>
      </w:r>
      <w:r>
        <w:rPr>
          <w:rFonts w:ascii="Liberation Sans" w:hAnsi="Liberation Sans" w:cs="Liberation Sans"/>
        </w:rPr>
      </w:r>
      <w:r/>
    </w:p>
    <w:p>
      <w:pPr>
        <w:pStyle w:val="1131"/>
        <w:ind w:left="0"/>
        <w:jc w:val="both"/>
        <w:spacing w:after="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</w:rPr>
      </w:r>
      <w:r/>
    </w:p>
    <w:p>
      <w:pPr>
        <w:pStyle w:val="1131"/>
        <w:ind w:left="0" w:firstLine="708"/>
        <w:jc w:val="both"/>
        <w:spacing w:after="0"/>
        <w:rPr>
          <w:rFonts w:ascii="Liberation Sans" w:hAnsi="Liberation Sans" w:cs="Liberation Sans"/>
        </w:rPr>
        <w:sectPr>
          <w:footnotePr/>
          <w:endnotePr/>
          <w:type w:val="nextPage"/>
          <w:pgSz w:w="16838" w:h="11906" w:orient="landscape"/>
          <w:pgMar w:top="1701" w:right="1134" w:bottom="850" w:left="964" w:header="709" w:footer="709" w:gutter="0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</w:rPr>
      </w:r>
      <w:r/>
    </w:p>
    <w:p>
      <w:pPr>
        <w:pStyle w:val="946"/>
        <w:numPr>
          <w:ilvl w:val="1"/>
          <w:numId w:val="1"/>
        </w:numPr>
        <w:ind w:left="0" w:firstLine="0"/>
        <w:jc w:val="center"/>
        <w:spacing w:before="0" w:beforeAutospacing="0" w:after="0" w:afterAutospacing="0" w:line="240" w:lineRule="auto"/>
        <w:tabs>
          <w:tab w:val="left" w:pos="426" w:leader="none"/>
        </w:tabs>
        <w:rPr>
          <w:rFonts w:ascii="Liberation Sans" w:hAnsi="Liberation Sans" w:cs="Liberation Sans"/>
          <w:b/>
          <w:bCs w:val="0"/>
          <w:i w:val="0"/>
          <w:sz w:val="28"/>
          <w:szCs w:val="28"/>
          <w14:ligatures w14:val="none"/>
        </w:rPr>
      </w:pPr>
      <w:r/>
      <w:bookmarkStart w:id="13" w:name="_Toc13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Д</w:t>
      </w:r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емографические показатели, </w:t>
      </w:r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труд и занятость, </w:t>
      </w:r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уровень жизни</w:t>
      </w:r>
      <w:bookmarkEnd w:id="0"/>
      <w:r/>
      <w:bookmarkEnd w:id="13"/>
      <w:r>
        <w:rPr>
          <w:rFonts w:ascii="Liberation Sans" w:hAnsi="Liberation Sans" w:cs="Liberation Sans"/>
          <w:b/>
          <w:bCs w:val="0"/>
          <w:i w:val="0"/>
          <w:sz w:val="28"/>
          <w:szCs w:val="28"/>
          <w14:ligatures w14:val="none"/>
        </w:rPr>
      </w:r>
      <w:r/>
    </w:p>
    <w:p>
      <w:pPr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b/>
          <w:bCs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46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b/>
          <w:bCs/>
          <w:sz w:val="28"/>
          <w:szCs w:val="28"/>
          <w14:ligatures w14:val="none"/>
        </w:rPr>
      </w:pPr>
      <w:r/>
      <w:bookmarkStart w:id="14" w:name="_Toc14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  <w:t xml:space="preserve">1.3.1. Демографические показатели</w:t>
      </w:r>
      <w:bookmarkEnd w:id="0"/>
      <w:r>
        <w:rPr>
          <w:rFonts w:ascii="Liberation Sans" w:hAnsi="Liberation Sans" w:cs="Liberation Sans"/>
          <w:sz w:val="28"/>
          <w:szCs w:val="28"/>
        </w:rPr>
      </w:r>
      <w:bookmarkEnd w:id="14"/>
      <w:r>
        <w:rPr>
          <w:rFonts w:ascii="Liberation Sans" w:hAnsi="Liberation Sans" w:cs="Liberation Sans"/>
          <w:b/>
          <w:bCs/>
          <w:sz w:val="28"/>
          <w:szCs w:val="28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widowControl w:val="off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widowControl w:val="off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 конец 202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3 года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численн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ость населения муниципального образования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составила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106 890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человек (+0,1% к уровню 2022 года)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Среднегодова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я численность населения составила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106 827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человек </w:t>
        <w:br/>
        <w:t xml:space="preserve">(-0,1% к уровню 2022 года).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spacing w:after="0" w:line="240" w:lineRule="auto"/>
        <w:widowControl w:val="off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jc w:val="center"/>
        <w:spacing w:after="0" w:line="240" w:lineRule="auto"/>
        <w:widowControl w:val="off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  <w:drawing>
          <wp:inline distT="0" distB="0" distL="0" distR="0">
            <wp:extent cx="5262178" cy="2986970"/>
            <wp:effectExtent l="3175" t="3175" r="3175" b="3175"/>
            <wp:docPr id="16" name="Диаграмма 16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widowControl w:val="off"/>
        <w:rPr>
          <w:rFonts w:ascii="Liberation Sans" w:hAnsi="Liberation Sans" w:cs="Liberation Sans"/>
          <w:color w:val="000000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widowControl w:val="off"/>
        <w:rPr>
          <w:rFonts w:ascii="Liberation Sans" w:hAnsi="Liberation Sans" w:cs="Liberation Sans"/>
          <w:color w:val="00000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Ожидаемая продолжительность жизни при рождении </w:t>
        <w:br/>
        <w:t xml:space="preserve">в автономном округе по оценке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за 2023 год составила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7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5,3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ле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  <w:t xml:space="preserve">(2022 год - 74,8, 2021 год - 71,7)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/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eastAsia="Open Sans" w:cs="Liberation Sans"/>
          <w:color w:val="000000" w:themeColor="text1"/>
          <w:sz w:val="28"/>
          <w:szCs w:val="28"/>
          <w:highlight w:val="none"/>
        </w:rPr>
        <w:t xml:space="preserve">За 2023 год </w:t>
      </w:r>
      <w:r>
        <w:rPr>
          <w:rFonts w:ascii="Liberation Sans" w:hAnsi="Liberation Sans" w:eastAsia="Open Sans" w:cs="Liberation Sans"/>
          <w:color w:val="000000" w:themeColor="text1"/>
          <w:sz w:val="28"/>
          <w:szCs w:val="28"/>
          <w:highlight w:val="none"/>
        </w:rPr>
        <w:t xml:space="preserve">число родив</w:t>
      </w:r>
      <w:r>
        <w:rPr>
          <w:rFonts w:ascii="Liberation Sans" w:hAnsi="Liberation Sans" w:eastAsia="Open Sans" w:cs="Liberation Sans"/>
          <w:color w:val="000000" w:themeColor="text1"/>
          <w:sz w:val="28"/>
          <w:szCs w:val="28"/>
          <w:highlight w:val="none"/>
        </w:rPr>
        <w:t xml:space="preserve">шихся</w:t>
      </w:r>
      <w:r>
        <w:rPr>
          <w:rFonts w:ascii="Liberation Sans" w:hAnsi="Liberation Sans" w:eastAsia="Open Sans" w:cs="Liberation Sans"/>
          <w:color w:val="000000" w:themeColor="text1"/>
          <w:sz w:val="28"/>
          <w:szCs w:val="28"/>
          <w:highlight w:val="none"/>
        </w:rPr>
        <w:t xml:space="preserve"> составило 1 487 человек, что </w:t>
        <w:br/>
        <w:t xml:space="preserve">на 32 человека или н</w:t>
      </w:r>
      <w:r>
        <w:rPr>
          <w:rFonts w:ascii="Liberation Sans" w:hAnsi="Liberation Sans" w:eastAsia="Open Sans" w:cs="Liberation Sans"/>
          <w:color w:val="000000" w:themeColor="text1"/>
          <w:sz w:val="28"/>
          <w:szCs w:val="28"/>
          <w:highlight w:val="none"/>
        </w:rPr>
        <w:t xml:space="preserve">а 2,1% меньше, чем в 2022 году. </w:t>
      </w:r>
      <w:r>
        <w:rPr>
          <w:rFonts w:ascii="Liberation Sans" w:hAnsi="Liberation Sans" w:eastAsia="Open Sans" w:cs="Liberation Sans"/>
          <w:color w:val="000000" w:themeColor="text1"/>
          <w:sz w:val="28"/>
          <w:szCs w:val="28"/>
          <w:highlight w:val="none"/>
        </w:rPr>
        <w:t xml:space="preserve">Число умерших составило 419 человек, что на 0,9% меньше, чем в 2022 году.</w:t>
      </w:r>
      <w:r>
        <w:rPr>
          <w:rFonts w:ascii="Liberation Sans" w:hAnsi="Liberation Sans" w:eastAsia="Ope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Open Sans" w:cs="Liberation Sans"/>
          <w:color w:val="000000" w:themeColor="text1"/>
          <w:sz w:val="28"/>
          <w:szCs w:val="28"/>
          <w:highlight w:val="none"/>
        </w:rPr>
        <w:t xml:space="preserve">Несмотря на снижение рождаемости</w:t>
      </w:r>
      <w:r>
        <w:rPr>
          <w:rFonts w:ascii="Liberation Sans" w:hAnsi="Liberation Sans" w:eastAsia="Ope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Open Sans" w:cs="Liberation Sans"/>
          <w:color w:val="000000" w:themeColor="text1"/>
          <w:sz w:val="28"/>
          <w:szCs w:val="28"/>
          <w:highlight w:val="none"/>
        </w:rPr>
        <w:t xml:space="preserve"> наблюдается превышение родившихся </w:t>
        <w:br/>
        <w:t xml:space="preserve">над умершими</w:t>
      </w:r>
      <w:r>
        <w:rPr>
          <w:rFonts w:ascii="Liberation Sans" w:hAnsi="Liberation Sans" w:eastAsia="Open Sans" w:cs="Liberation Sans"/>
          <w:color w:val="000000" w:themeColor="text1"/>
          <w:sz w:val="28"/>
          <w:szCs w:val="28"/>
          <w:highlight w:val="none"/>
        </w:rPr>
        <w:t xml:space="preserve"> в 3,5 раз</w:t>
      </w:r>
      <w:r>
        <w:rPr>
          <w:rFonts w:ascii="Liberation Sans" w:hAnsi="Liberation Sans" w:eastAsia="Open Sans" w:cs="Liberation Sans"/>
          <w:color w:val="000000" w:themeColor="text1"/>
          <w:sz w:val="28"/>
          <w:szCs w:val="28"/>
          <w:highlight w:val="none"/>
        </w:rPr>
        <w:t xml:space="preserve">а. </w:t>
      </w:r>
      <w:r>
        <w:rPr>
          <w:rFonts w:ascii="Liberation Sans" w:hAnsi="Liberation Sans" w:eastAsia="Open Sans" w:cs="Liberation Sans"/>
          <w:color w:val="000000" w:themeColor="text1"/>
          <w:sz w:val="28"/>
          <w:szCs w:val="28"/>
          <w:highlight w:val="none"/>
        </w:rPr>
        <w:t xml:space="preserve">Естес</w:t>
      </w:r>
      <w:r>
        <w:rPr>
          <w:rFonts w:ascii="Liberation Sans" w:hAnsi="Liberation Sans" w:eastAsia="Open Sans" w:cs="Liberation Sans"/>
          <w:color w:val="000000" w:themeColor="text1"/>
          <w:sz w:val="28"/>
          <w:szCs w:val="28"/>
          <w:highlight w:val="none"/>
        </w:rPr>
        <w:t xml:space="preserve">твенный прирост населения составил 1 068 человек</w:t>
      </w:r>
      <w:r>
        <w:rPr>
          <w:rFonts w:ascii="Liberation Sans" w:hAnsi="Liberation Sans" w:eastAsia="Ope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По числу родившихся, естественному приросту 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муниципальное образован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ие по-прежнему остается лидером 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среди муниципальных </w:t>
        <w:br/>
        <w:t xml:space="preserve">и городских округов автономного округа.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  <w14:ligatures w14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bCs/>
          <w:sz w:val="28"/>
          <w:szCs w:val="28"/>
        </w:rPr>
        <w:t xml:space="preserve">Показатели естественного движения населения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938"/>
        <w:jc w:val="both"/>
        <w:spacing w:after="0" w:afterAutospacing="0" w:line="240" w:lineRule="auto"/>
        <w:rPr>
          <w:rFonts w:ascii="Liberation Sans" w:hAnsi="Liberation Sans" w:cs="Liberation Sans"/>
          <w:color w:val="auto"/>
        </w:rPr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Т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аблиц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а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8</w:t>
      </w:r>
      <w:r>
        <w:rPr>
          <w:rFonts w:ascii="Liberation Sans" w:hAnsi="Liberation Sans" w:cs="Liberation Sans"/>
          <w:color w:val="auto"/>
        </w:rPr>
      </w:r>
      <w:r/>
    </w:p>
    <w:tbl>
      <w:tblPr>
        <w:tblW w:w="4942" w:type="pct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5152"/>
        <w:gridCol w:w="1134"/>
        <w:gridCol w:w="1134"/>
        <w:gridCol w:w="1134"/>
      </w:tblGrid>
      <w:tr>
        <w:trPr>
          <w:trHeight w:val="357"/>
          <w:tblHeader/>
        </w:trPr>
        <w:tc>
          <w:tcPr>
            <w:tcW w:w="693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№ </w:t>
            </w:r>
            <w:r>
              <w:rPr>
                <w:rFonts w:ascii="Liberation Sans" w:hAnsi="Liberation Sans" w:cs="Liberation Sans"/>
              </w:rPr>
            </w:r>
            <w:r/>
          </w:p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п/п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5152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Наименование показателя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2021</w:t>
            </w:r>
            <w:r>
              <w:rPr>
                <w:rFonts w:ascii="Liberation Sans" w:hAnsi="Liberation Sans" w:cs="Liberation Sans"/>
                <w:sz w:val="24"/>
                <w:szCs w:val="24"/>
              </w:rPr>
            </w:r>
            <w:r/>
          </w:p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год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2022 год*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2023 год**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196"/>
          <w:tblHeader/>
        </w:trPr>
        <w:tc>
          <w:tcPr>
            <w:tcW w:w="693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5152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3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5</w:t>
            </w:r>
            <w:r>
              <w:rPr>
                <w:rFonts w:ascii="Liberation Sans" w:hAnsi="Liberation Sans" w:cs="Liberation Sans"/>
              </w:rPr>
            </w:r>
            <w:r/>
          </w:p>
        </w:tc>
      </w:tr>
      <w:tr>
        <w:trPr>
          <w:trHeight w:val="175"/>
        </w:trPr>
        <w:tc>
          <w:tcPr>
            <w:tcW w:w="693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5152" w:type="dxa"/>
            <w:textDirection w:val="lrTb"/>
            <w:noWrap w:val="false"/>
          </w:tcPr>
          <w:p>
            <w:pPr>
              <w:pStyle w:val="1121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Число родившихся, человек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 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493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1 519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1 487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>
          <w:trHeight w:val="223"/>
        </w:trPr>
        <w:tc>
          <w:tcPr>
            <w:tcW w:w="693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5152" w:type="dxa"/>
            <w:textDirection w:val="lrTb"/>
            <w:noWrap w:val="false"/>
          </w:tcPr>
          <w:p>
            <w:pPr>
              <w:pStyle w:val="1121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Число умерших, человек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61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423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419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>
          <w:trHeight w:val="243"/>
        </w:trPr>
        <w:tc>
          <w:tcPr>
            <w:tcW w:w="693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3.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5152" w:type="dxa"/>
            <w:textDirection w:val="lrTb"/>
            <w:noWrap w:val="false"/>
          </w:tcPr>
          <w:p>
            <w:pPr>
              <w:pStyle w:val="1121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Естественный прирост, человек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88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1 096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1 068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>
          <w:trHeight w:val="342"/>
        </w:trPr>
        <w:tc>
          <w:tcPr>
            <w:tcW w:w="693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4.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5152" w:type="dxa"/>
            <w:textDirection w:val="lrTb"/>
            <w:noWrap w:val="false"/>
          </w:tcPr>
          <w:p>
            <w:pPr>
              <w:pStyle w:val="1121"/>
              <w:spacing w:after="0" w:afterAutospacing="0" w:line="240" w:lineRule="auto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Коэффициент рождаемости, 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человек </w:t>
              <w:br/>
              <w:t xml:space="preserve">на 1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000 населения</w:t>
            </w:r>
            <w:r>
              <w:rPr>
                <w:rFonts w:ascii="Liberation Sans" w:hAnsi="Liberation Sans" w:cs="Liberation Sans"/>
                <w:color w:val="000000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12,6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14,2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13,9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>
          <w:trHeight w:val="452"/>
        </w:trPr>
        <w:tc>
          <w:tcPr>
            <w:tcW w:w="693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5.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5152" w:type="dxa"/>
            <w:textDirection w:val="lrTb"/>
            <w:noWrap w:val="false"/>
          </w:tcPr>
          <w:p>
            <w:pPr>
              <w:pStyle w:val="1121"/>
              <w:spacing w:after="0" w:afterAutospacing="0" w:line="240" w:lineRule="auto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Коэффициент смертности, 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человек </w:t>
              <w:br/>
              <w:t xml:space="preserve">на 1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000 населения</w:t>
            </w:r>
            <w:r>
              <w:rPr>
                <w:rFonts w:ascii="Liberation Sans" w:hAnsi="Liberation Sans" w:cs="Liberation Sans"/>
                <w:color w:val="000000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5,2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4,0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3,9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>
          <w:trHeight w:val="274"/>
        </w:trPr>
        <w:tc>
          <w:tcPr>
            <w:tcW w:w="693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4"/>
                <w:szCs w:val="24"/>
              </w:rPr>
              <w:t xml:space="preserve">6.</w:t>
            </w:r>
            <w:r>
              <w:rPr>
                <w:rFonts w:ascii="Liberation Sans" w:hAnsi="Liberation Sans" w:cs="Liberation Sans"/>
              </w:rPr>
            </w:r>
            <w:r/>
          </w:p>
        </w:tc>
        <w:tc>
          <w:tcPr>
            <w:tcW w:w="5152" w:type="dxa"/>
            <w:textDirection w:val="lrTb"/>
            <w:noWrap w:val="false"/>
          </w:tcPr>
          <w:p>
            <w:pPr>
              <w:pStyle w:val="1121"/>
              <w:spacing w:after="0" w:afterAutospacing="0" w:line="240" w:lineRule="auto"/>
              <w:rPr>
                <w:rFonts w:ascii="Liberation Sans" w:hAnsi="Liberation Sans" w:cs="Liberation Sans"/>
                <w:color w:val="000000"/>
                <w:highlight w:val="none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Коэффициент естественного прироста населения, 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человек на 1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  <w:highlight w:val="none"/>
              </w:rPr>
              <w:t xml:space="preserve">000 населения</w:t>
            </w:r>
            <w:r>
              <w:rPr>
                <w:rFonts w:ascii="Liberation Sans" w:hAnsi="Liberation Sans" w:cs="Liberation Sans"/>
                <w:color w:val="000000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pStyle w:val="1121"/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7,4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10,2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134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10,0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</w:tbl>
    <w:p>
      <w:pPr>
        <w:pStyle w:val="1121"/>
        <w:ind w:left="-142" w:firstLine="709"/>
        <w:jc w:val="both"/>
        <w:spacing w:before="0" w:beforeAutospacing="0" w:after="0" w:afterAutospacing="0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8"/>
        </w:rPr>
        <w:t xml:space="preserve">*Уточнено</w:t>
      </w:r>
      <w:r>
        <w:rPr>
          <w:rFonts w:ascii="Liberation Sans" w:hAnsi="Liberation Sans" w:cs="Liberation Sans"/>
          <w:color w:val="000000" w:themeColor="text1"/>
          <w:sz w:val="20"/>
          <w:szCs w:val="28"/>
        </w:rPr>
        <w:t xml:space="preserve">.</w:t>
      </w:r>
      <w:r>
        <w:rPr>
          <w:rFonts w:ascii="Liberation Sans" w:hAnsi="Liberation Sans" w:cs="Liberation Sans"/>
          <w:highlight w:val="none"/>
        </w:rPr>
      </w:r>
      <w:r/>
    </w:p>
    <w:p>
      <w:pPr>
        <w:pStyle w:val="1121"/>
        <w:ind w:left="-142" w:firstLine="709"/>
        <w:jc w:val="both"/>
        <w:spacing w:before="0" w:beforeAutospacing="0" w:after="0" w:afterAutospacing="0"/>
        <w:rPr>
          <w:rFonts w:ascii="Liberation Sans" w:hAnsi="Liberation Sans" w:cs="Liberation Sans"/>
          <w:color w:val="000000" w:themeColor="text1"/>
          <w:sz w:val="20"/>
          <w:szCs w:val="20"/>
          <w14:ligatures w14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**Предварительные данные.</w:t>
      </w:r>
      <w:r>
        <w:rPr>
          <w:rFonts w:ascii="Liberation Sans" w:hAnsi="Liberation Sans" w:cs="Liberation Sans"/>
          <w:color w:val="000000" w:themeColor="text1"/>
          <w:sz w:val="20"/>
          <w:szCs w:val="20"/>
          <w14:ligatures w14:val="none"/>
        </w:rPr>
      </w:r>
      <w:r/>
    </w:p>
    <w:p>
      <w:pPr>
        <w:pStyle w:val="1121"/>
        <w:ind w:left="-142" w:firstLine="709"/>
        <w:jc w:val="both"/>
        <w:spacing w:before="0" w:beforeAutospacing="0" w:after="0" w:afterAutospacing="0"/>
        <w:rPr>
          <w:rFonts w:ascii="Liberation Sans" w:hAnsi="Liberation Sans" w:cs="Liberation Sans"/>
          <w:color w:val="000000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</w:r>
      <w:r>
        <w:rPr>
          <w:rFonts w:ascii="Liberation Sans" w:hAnsi="Liberation Sans" w:cs="Liberation Sans"/>
          <w:color w:val="000000"/>
          <w:sz w:val="28"/>
          <w:szCs w:val="28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widowControl w:val="off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 начало 2023 года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 структуре населения лица тру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доспособного возраста составили 65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 населения, лица моложе трудоспособного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возраста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%, старше трудоспособного возраста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22"/>
        <w:ind w:left="0"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течение 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прибыл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 город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4 136 чел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овек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выбыл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069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человек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Миграционный отток состави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933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человека.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22"/>
        <w:ind w:left="0"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pacing w:val="-8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21"/>
        <w:ind w:firstLine="709"/>
        <w:jc w:val="center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Показатели миграции населения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21"/>
        <w:ind w:firstLine="709"/>
        <w:jc w:val="center"/>
        <w:rPr>
          <w:rFonts w:ascii="Liberation Sans" w:hAnsi="Liberation Sans" w:cs="Liberation Sans"/>
          <w:sz w:val="28"/>
          <w:szCs w:val="28"/>
          <w:highlight w:val="yellow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yellow"/>
        </w:rPr>
      </w:r>
      <w:r/>
    </w:p>
    <w:p>
      <w:pPr>
        <w:pStyle w:val="1132"/>
        <w:ind w:left="7938" w:right="-6" w:firstLine="0"/>
        <w:jc w:val="both"/>
        <w:rPr>
          <w:rFonts w:ascii="Liberation Sans" w:hAnsi="Liberation Sans" w:cs="Liberation Sans"/>
          <w:color w:val="00000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аблица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9</w:t>
      </w:r>
      <w:r>
        <w:rPr>
          <w:rFonts w:ascii="Liberation Sans" w:hAnsi="Liberation Sans" w:cs="Liberation Sans"/>
          <w:color w:val="000000"/>
          <w:highlight w:val="none"/>
        </w:rPr>
      </w:r>
      <w:r/>
    </w:p>
    <w:tbl>
      <w:tblPr>
        <w:tblW w:w="4999" w:type="pct"/>
        <w:jc w:val="center"/>
        <w:tblInd w:w="94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691"/>
        <w:gridCol w:w="4694"/>
        <w:gridCol w:w="1276"/>
        <w:gridCol w:w="1276"/>
        <w:gridCol w:w="1417"/>
      </w:tblGrid>
      <w:tr>
        <w:trPr>
          <w:jc w:val="center"/>
          <w:trHeight w:val="366"/>
          <w:tblHeader/>
        </w:trPr>
        <w:tc>
          <w:tcPr>
            <w:tcW w:w="691" w:type="dxa"/>
            <w:textDirection w:val="lrTb"/>
            <w:noWrap w:val="false"/>
          </w:tcPr>
          <w:p>
            <w:pPr>
              <w:pStyle w:val="1121"/>
              <w:jc w:val="center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№ 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  <w:p>
            <w:pPr>
              <w:pStyle w:val="1132"/>
              <w:ind w:firstLine="0"/>
              <w:jc w:val="center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п/п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4694" w:type="dxa"/>
            <w:textDirection w:val="lrTb"/>
            <w:noWrap w:val="false"/>
          </w:tcPr>
          <w:p>
            <w:pPr>
              <w:pStyle w:val="1132"/>
              <w:ind w:firstLine="0"/>
              <w:jc w:val="center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Наименование показателя 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2021 год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2022 год*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2023 год**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>
          <w:jc w:val="center"/>
          <w:trHeight w:val="190"/>
          <w:tblHeader/>
        </w:trPr>
        <w:tc>
          <w:tcPr>
            <w:tcW w:w="691" w:type="dxa"/>
            <w:textDirection w:val="lrTb"/>
            <w:noWrap w:val="false"/>
          </w:tcPr>
          <w:p>
            <w:pPr>
              <w:pStyle w:val="1121"/>
              <w:jc w:val="center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4694" w:type="dxa"/>
            <w:textDirection w:val="lrTb"/>
            <w:noWrap w:val="false"/>
          </w:tcPr>
          <w:p>
            <w:pPr>
              <w:pStyle w:val="1132"/>
              <w:ind w:firstLine="0"/>
              <w:jc w:val="center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>
          <w:jc w:val="center"/>
          <w:trHeight w:val="23"/>
        </w:trPr>
        <w:tc>
          <w:tcPr>
            <w:tcW w:w="69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469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Прибыло, человек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  <w:lang w:val="en-US"/>
              </w:rPr>
              <w:t xml:space="preserve">5 722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  <w:lang w:val="en-US"/>
              </w:rPr>
              <w:t xml:space="preserve">4 815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  <w:lang w:val="en-US"/>
              </w:rPr>
              <w:t xml:space="preserve">4 136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>
          <w:jc w:val="center"/>
          <w:trHeight w:val="23"/>
        </w:trPr>
        <w:tc>
          <w:tcPr>
            <w:tcW w:w="69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469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Выбыло, человек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  <w:lang w:val="en-US"/>
              </w:rPr>
              <w:t xml:space="preserve">6 052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  <w:lang w:val="en-US"/>
              </w:rPr>
              <w:t xml:space="preserve">6 269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  <w:lang w:val="en-US"/>
              </w:rPr>
              <w:t xml:space="preserve">5 069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>
          <w:jc w:val="center"/>
          <w:trHeight w:val="23"/>
        </w:trPr>
        <w:tc>
          <w:tcPr>
            <w:tcW w:w="69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3.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4694" w:type="dxa"/>
            <w:vAlign w:val="center"/>
            <w:textDirection w:val="lrTb"/>
            <w:noWrap/>
          </w:tcPr>
          <w:p>
            <w:pPr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Общий объем миграции, человек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  <w:lang w:val="en-US"/>
              </w:rPr>
              <w:t xml:space="preserve">11 774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  <w:lang w:val="en-US"/>
              </w:rPr>
              <w:t xml:space="preserve">11 084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  <w:lang w:val="en-US"/>
              </w:rPr>
              <w:t xml:space="preserve">9 205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>
          <w:jc w:val="center"/>
          <w:trHeight w:val="23"/>
        </w:trPr>
        <w:tc>
          <w:tcPr>
            <w:tcW w:w="69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4.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4694" w:type="dxa"/>
            <w:vAlign w:val="bottom"/>
            <w:textDirection w:val="lrTb"/>
            <w:noWrap/>
          </w:tcPr>
          <w:p>
            <w:pPr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Миграционный 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отток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 населения, человек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  <w:lang w:val="en-US"/>
              </w:rPr>
              <w:t xml:space="preserve">-330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  <w:lang w:val="en-US"/>
              </w:rPr>
              <w:t xml:space="preserve">-1 454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  <w:lang w:val="en-US"/>
              </w:rPr>
              <w:t xml:space="preserve">-933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</w:tbl>
    <w:p>
      <w:pPr>
        <w:pStyle w:val="1121"/>
        <w:ind w:left="-142" w:firstLine="709"/>
        <w:jc w:val="both"/>
        <w:spacing w:before="0" w:beforeAutospacing="0" w:after="0" w:afterAutospacing="0"/>
      </w:pPr>
      <w:r>
        <w:rPr>
          <w:rFonts w:ascii="Liberation Sans" w:hAnsi="Liberation Sans" w:cs="Liberation Sans"/>
          <w:color w:val="000000" w:themeColor="text1"/>
          <w:sz w:val="20"/>
          <w:szCs w:val="28"/>
        </w:rPr>
        <w:t xml:space="preserve">*Уточнено</w:t>
      </w:r>
      <w:r>
        <w:rPr>
          <w:rFonts w:ascii="Liberation Sans" w:hAnsi="Liberation Sans" w:cs="Liberation Sans"/>
          <w:color w:val="000000" w:themeColor="text1"/>
          <w:sz w:val="20"/>
          <w:szCs w:val="28"/>
        </w:rPr>
        <w:t xml:space="preserve">.</w:t>
      </w:r>
      <w:r>
        <w:rPr>
          <w:rFonts w:ascii="Liberation Sans" w:hAnsi="Liberation Sans" w:cs="Liberation Sans"/>
          <w:highlight w:val="none"/>
        </w:rPr>
      </w:r>
      <w:r/>
    </w:p>
    <w:p>
      <w:pPr>
        <w:pStyle w:val="1121"/>
        <w:ind w:left="-142" w:firstLine="709"/>
        <w:jc w:val="both"/>
        <w:spacing w:before="0" w:beforeAutospacing="0" w:after="0" w:afterAutospacing="0"/>
        <w:rPr>
          <w:rFonts w:ascii="Liberation Sans" w:hAnsi="Liberation Sans" w:cs="Liberation Sans"/>
          <w:color w:val="00000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szCs w:val="20"/>
        </w:rPr>
        <w:t xml:space="preserve">**Предварительные данные.</w:t>
      </w:r>
      <w:r>
        <w:rPr>
          <w:rFonts w:ascii="Liberation Sans" w:hAnsi="Liberation Sans" w:cs="Liberation Sans"/>
          <w:color w:val="000000"/>
          <w:highlight w:val="none"/>
        </w:rPr>
      </w:r>
      <w:r/>
    </w:p>
    <w:p>
      <w:pPr>
        <w:ind w:left="142" w:firstLine="709"/>
        <w:jc w:val="both"/>
        <w:spacing w:before="0" w:beforeAutospacing="0" w:after="0" w:afterAutospacing="0" w:line="240" w:lineRule="auto"/>
        <w:tabs>
          <w:tab w:val="left" w:pos="0" w:leader="none"/>
        </w:tabs>
        <w:rPr>
          <w:rFonts w:ascii="Liberation Sans" w:hAnsi="Liberation Sans" w:cs="Liberation Sans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946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/>
      <w:bookmarkStart w:id="15" w:name="_Toc15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1.3.2. Труд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,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занятость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и уровень жизни населения</w:t>
      </w:r>
      <w:bookmarkEnd w:id="0"/>
      <w:r>
        <w:rPr>
          <w:rFonts w:ascii="Liberation Sans" w:hAnsi="Liberation Sans" w:cs="Liberation Sans"/>
          <w:sz w:val="28"/>
          <w:szCs w:val="28"/>
        </w:rPr>
      </w:r>
      <w:bookmarkEnd w:id="15"/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33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 данным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отдела государственного казенного учреждения «Центр занятости населения Ям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ало-Ненецкого автономного округа» </w:t>
        <w:br/>
        <w:t xml:space="preserve">в городе Новый Уре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нго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й (далее - Центр занятости)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уровень зарегистрированной безработицы  в городе составил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0,1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2022 год - 0,2%, 2021 год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0,3%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Численность официально зарегистрированных безработных граждан на 31.12.2023 уменьшилась по сравнению </w:t>
        <w:br/>
        <w:t xml:space="preserve">с прошлым годом на 25,7% и составила 81 человек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Коэффициент напряженности на рынке труда составил 0,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02.</w:t>
      </w:r>
      <w:r>
        <w:rPr>
          <w:rStyle w:val="1124"/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Средняя продолжительность безработицы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2,8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месяц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 ситуацию на рынке труда определенное влияние оказывает банк вакансий рабочих мест. В течение года работодателя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ми заявлено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11 184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ваканси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 (2022 год - 8 412,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2021 год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9 8</w:t>
      </w:r>
      <w:r>
        <w:rPr>
          <w:rFonts w:ascii="Liberation Sans" w:hAnsi="Liberation Sans" w:cs="Liberation Sans"/>
          <w:strike w:val="0"/>
          <w:color w:val="auto"/>
          <w:sz w:val="28"/>
          <w:szCs w:val="28"/>
          <w:highlight w:val="none"/>
        </w:rPr>
        <w:t xml:space="preserve">34</w:t>
      </w:r>
      <w:r>
        <w:rPr>
          <w:rFonts w:ascii="Liberation Sans" w:hAnsi="Liberation Sans" w:cs="Liberation Sans"/>
          <w:strike w:val="0"/>
          <w:color w:val="auto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strike w:val="0"/>
          <w:color w:val="auto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Средняя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продолжительность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существования вакансий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4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месяц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а. По состоянию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 31.12.20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 заявленная потребность в работниках составила </w:t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4 493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ед.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спрос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работодателей увеличился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 операторов производственных установок и машин, сборщиков и водителей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- 30,5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 (2022 год - 27,2%, 2021 год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- 25,8%)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снизился на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квалифицированных рабочих промышленности, строительства, транспорта, рабочих родственных профессий - 23,4% (2022 год - 29%, 2021 год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30,2%)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При содействии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Центра занятости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трудоустроено 1 549 человек, из них на временные работы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1 220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несовершеннолетних граждан </w:t>
        <w:br/>
        <w:t xml:space="preserve">в возрасте от 14 до 18 лет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бучен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 67 безработных граждан и </w:t>
        <w:br/>
        <w:t xml:space="preserve">11 человек из числа отдельной категории граждан (инвалиды, предпенсионеры, граждане в возрасте 50 лет и старше).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 конец отчетного периода 64,2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зарегистрированных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безработных граждан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52 человека)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получали пособие по безработице.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реднесписочная численность работников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за январь-декабрь </w:t>
        <w:br/>
        <w:t xml:space="preserve">2023 года состав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ила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68,0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ыс. человек (+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7,2% к 2022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году).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В структуре  среднесписочной численности ра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ботников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наибольшая доля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работников в сфере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«добыча полезных ископаемых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17 012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человек (25%), «стро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ительство» 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14 199 человек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(20,9%), 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транспортировка и хранение» 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8 440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человек (12,4%).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Значительный рост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среднесписочной численности работников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  <w:br/>
        <w:t xml:space="preserve">по сравнению с 2022 годом отмечен в сфере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«стро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ительство»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  <w:br/>
        <w:t xml:space="preserve">на 2 833 человека (+24,9%),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«деятельность административная и сопутствующие дополнительные услуги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» на 990 человек (+35,5%),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«деятельность гостиниц и предприятий общественного питания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» </w:t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 492 ч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еловека (+25%).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jc w:val="center"/>
        <w:spacing w:after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  <w:drawing>
          <wp:inline distT="0" distB="0" distL="0" distR="0">
            <wp:extent cx="5673526" cy="1954615"/>
            <wp:effectExtent l="3175" t="3175" r="3175" b="3175"/>
            <wp:docPr id="17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36"/>
          <w:szCs w:val="36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 крупных и средних предприятиях трудится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75,7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% занятых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экономике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города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от общей численности занятых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right="0" w:firstLine="0"/>
        <w:jc w:val="left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  <w:drawing>
          <wp:inline distT="0" distB="0" distL="0" distR="0">
            <wp:extent cx="6059822" cy="3437030"/>
            <wp:effectExtent l="4762" t="4762" r="4762" b="4762"/>
            <wp:docPr id="18" name="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>
        <w:rPr>
          <w:rFonts w:ascii="Liberation Sans" w:hAnsi="Liberation Sans" w:cs="Liberation Sans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color w:val="ff0000"/>
          <w:spacing w:val="-4"/>
          <w:sz w:val="36"/>
          <w:szCs w:val="36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В общей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численности работников в организациях (без субъектов малого предпринимательства)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на территории 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автономного округа 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доля муниципального образования 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составила 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20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%.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auto"/>
          <w:highlight w:val="none"/>
        </w:rPr>
      </w:pP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На протяжении последних 4 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лет п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о данному показателю </w:t>
        <w:br/>
        <w:t xml:space="preserve">в абсолютном выражении муниципальное образование заним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ает 1 место среди муниципальных и городских округов автономного округа.</w:t>
      </w:r>
      <w:r>
        <w:rPr>
          <w:rFonts w:ascii="Liberation Sans" w:hAnsi="Liberation Sans" w:cs="Liberation Sans"/>
          <w:color w:val="auto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реднемесячная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заработная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плата за январь-декабрь 202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3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года составила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158 311,3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ру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б.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что выше уточненных значений 20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2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2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го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да </w:t>
        <w:br/>
        <w:t xml:space="preserve">на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7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%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и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в 6,9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раз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больше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величин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ы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прожиточного минимума трудоспособного населения, установ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ленной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в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автономном округе </w:t>
        <w:br/>
        <w:t xml:space="preserve">на 2023 го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д.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о данному показателю в абсолютном выражении муниципальное образование занимает 1 место среди городских округов автономного округа.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Наибольший уровень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среднемесячной заработной платы </w:t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отмечен в сфере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«деятельность профессиональная, научная и техническая» 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245 447,2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руб. (+6% к 2022 году),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«предоставление прочих видов услу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г» 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240 626,0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руб.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(+13,7% к 2022 году)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«добыча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полезных ископаем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ых» 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223 62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7,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руб.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(+8,8% к 2022 году)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262626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В 2023 году, как и в пре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дыдущ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ие годы, обеспечивалась положительная динамика роста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уровня средней заработной платы отдельных категорий работников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социальной сферы в соответствии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с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казами Президента Российской Федерации от 07.05.2012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№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597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«О мероприятиях по реализац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ии государственной социальной п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олитики», от 01.06.2012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№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761 «О Национальной стратегии действий в интересах детей на 2012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2017 годы». </w:t>
      </w:r>
      <w:r>
        <w:rPr>
          <w:rFonts w:ascii="Liberation Sans" w:hAnsi="Liberation Sans" w:cs="Liberation Sans"/>
          <w:color w:val="262626"/>
          <w:sz w:val="28"/>
          <w:szCs w:val="28"/>
          <w:highlight w:val="none"/>
        </w:rPr>
      </w:r>
      <w:r/>
    </w:p>
    <w:p>
      <w:pPr>
        <w:ind w:firstLine="0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0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</w:rPr>
        <w:drawing>
          <wp:inline distT="0" distB="0" distL="0" distR="0">
            <wp:extent cx="6226172" cy="4057141"/>
            <wp:effectExtent l="4762" t="4762" r="4762" b="4762"/>
            <wp:docPr id="19" name="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46"/>
        <w:numPr>
          <w:ilvl w:val="1"/>
          <w:numId w:val="1"/>
        </w:numPr>
        <w:ind w:left="0" w:firstLine="0"/>
        <w:jc w:val="center"/>
        <w:spacing w:before="0" w:beforeAutospacing="0" w:after="0" w:afterAutospacing="0" w:line="240" w:lineRule="auto"/>
        <w:tabs>
          <w:tab w:val="left" w:pos="426" w:leader="none"/>
        </w:tabs>
        <w:rPr>
          <w:rFonts w:ascii="Liberation Sans" w:hAnsi="Liberation Sans" w:cs="Liberation Sans"/>
          <w:sz w:val="28"/>
          <w:szCs w:val="28"/>
        </w:rPr>
      </w:pPr>
      <w:r/>
      <w:bookmarkStart w:id="16" w:name="_Toc16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Осуществление </w:t>
      </w:r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за</w:t>
      </w:r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купок товаров, работ, услуг </w:t>
      </w:r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br/>
      </w:r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для </w:t>
      </w:r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муниципальных нужд</w:t>
      </w:r>
      <w:bookmarkEnd w:id="0"/>
      <w:r/>
      <w:bookmarkEnd w:id="16"/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Д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еятельность Администрации города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органов Администраци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 города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подведомственных муниципальных бюджетных и казенных учреждений (далее - заказчики) в сфере закупок товаров, работ, услуг осуществлялась в соответствии с Федеральным законом от 05.04.2013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№ 44-ФЗ «О контрактной системе в сфере закупок товаров, работ, услуг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для государственных и муниципальных нужд» (далее - Закон </w:t>
        <w:br/>
        <w:t xml:space="preserve">о контрактной системе).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закупочная деятельность осуществлялась </w:t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для 51 муниципального заказч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ика. Закупки осуществлялись </w:t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 основании планов-графиков, утвержденных заказчиками согласно выбранным способам определения поставщиков (подрядчиков, исполнителей) - открытый конкурс, открытый аукцион, запрос котировок, а также закупки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 единственного поставщика (подрядчика, исполнителя). Закупки, проводимые конкурентными способами определения поставщиков (под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рядчиков, исполнителей), осуществляются в электронной форме.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highlight w:val="none"/>
        </w:rPr>
      </w:r>
      <w:r/>
    </w:p>
    <w:p>
      <w:pPr>
        <w:contextualSpacing w:val="0"/>
        <w:jc w:val="center"/>
        <w:rPr>
          <w:highlight w:val="none"/>
        </w:rPr>
        <w:suppressLineNumbers/>
      </w:pPr>
      <w:r>
        <w:rPr>
          <w:rFonts w:ascii="Liberation Sans" w:hAnsi="Liberation Sans" w:cs="Liberation Sans"/>
          <w:sz w:val="28"/>
          <w:szCs w:val="28"/>
          <w:highlight w:val="none"/>
        </w:rPr>
        <w:drawing>
          <wp:inline distT="0" distB="0" distL="0" distR="0">
            <wp:extent cx="6202703" cy="2074916"/>
            <wp:effectExtent l="4762" t="4762" r="4762" b="4762"/>
            <wp:docPr id="20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36"/>
          <w:szCs w:val="36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Суммарный объем муниципальных закупок, размещенных конкурентными способами по установленным начальным (максимальным) ценам контрактов, составил 29 239 562,5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тыс. руб. </w:t>
      </w:r>
      <w:r>
        <w:rPr>
          <w:rFonts w:ascii="Liberation Sans" w:hAnsi="Liberation Sans" w:cs="Liberation Sans"/>
          <w:strike w:val="0"/>
          <w:color w:val="auto"/>
          <w:sz w:val="28"/>
          <w:szCs w:val="28"/>
          <w:highlight w:val="none"/>
        </w:rPr>
        <w:br/>
        <w:t xml:space="preserve">(</w:t>
      </w:r>
      <w:r>
        <w:rPr>
          <w:rFonts w:ascii="Liberation Sans" w:hAnsi="Liberation Sans" w:cs="Liberation Sans"/>
          <w:strike w:val="0"/>
          <w:color w:val="auto"/>
          <w:sz w:val="28"/>
          <w:szCs w:val="28"/>
          <w:highlight w:val="none"/>
        </w:rPr>
        <w:t xml:space="preserve">без учета закупок </w:t>
      </w:r>
      <w:r>
        <w:rPr>
          <w:rFonts w:ascii="Liberation Sans" w:hAnsi="Liberation Sans" w:cs="Liberation Sans"/>
          <w:strike w:val="0"/>
          <w:color w:val="auto"/>
          <w:sz w:val="28"/>
          <w:szCs w:val="28"/>
          <w:highlight w:val="none"/>
        </w:rPr>
        <w:t xml:space="preserve">у единственного поставщика)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из них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: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832 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открытых аукциона в электронной форме на сумму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28 580 823,0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тыс. руб. (97,7%);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- 37 открытых конкур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сов на сумму 517 671,6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 тыс. руб. (1,8%); 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- 94 запроса котировок цен на сумму 141 067,9 тыс. руб. (0,5%).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Стоимость контрактов, заключенных у единственного поставщика (подрядчика, исполнителя)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составила 1 173 410,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8 тыс. руб.,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из них закупки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«м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алого объема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 в соответствии с пунктами 4, 5 части 1 </w:t>
        <w:br/>
        <w:t xml:space="preserve">статьи 93 Закона о контрактной системе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487 430,2 тыс. руб.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 31.12.2023 посредством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автоматизированной информационной системы «Портал поставщиков»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и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электронного магазина региональной контрактной системы автономного округа заключено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контракт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ов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 общую сумму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366 130,8 тыс. руб.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По результатам проведенных конкурентных процедур закупок экономия бюдж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етн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ых средств составила 645 765,53 тыс. руб. или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2,2% от суммы закупок.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 итогам 2023 года объем закупок, осуществленных у субъектов малого предпринимательства и социально ориентированных некоммерческих организаций для обеспечения муниципальных нужд </w:t>
        <w:br/>
        <w:t xml:space="preserve">в соответствии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со </w:t>
      </w:r>
      <w:hyperlink r:id="rId34" w:tooltip="consultantplus://offline/ref=053411E747B4C7CEE80305E9E55A67B4FEE01CE09CC3DF10F6E6D07E795D3E2A8D75058137BD637A8186D12C87207D87B84A1AB160F457C3I4LFG" w:history="1">
        <w:r>
          <w:rPr>
            <w:rFonts w:ascii="Liberation Sans" w:hAnsi="Liberation Sans" w:cs="Liberation Sans"/>
            <w:sz w:val="28"/>
            <w:szCs w:val="28"/>
            <w:highlight w:val="none"/>
          </w:rPr>
          <w:t xml:space="preserve">статьей 30</w:t>
        </w:r>
      </w:hyperlink>
      <w:r>
        <w:rPr>
          <w:rFonts w:ascii="Liberation Sans" w:hAnsi="Liberation Sans" w:cs="Liberation Sans"/>
          <w:sz w:val="28"/>
          <w:szCs w:val="28"/>
          <w:highlight w:val="none"/>
        </w:rPr>
        <w:t xml:space="preserve"> Закона о контрактн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ой системе, составил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3 169 398,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 тыс. руб.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left="0" w:right="0" w:firstLine="709"/>
        <w:jc w:val="left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drawing>
          <wp:inline distT="0" distB="0" distL="0" distR="0">
            <wp:extent cx="5251547" cy="1918053"/>
            <wp:effectExtent l="4762" t="4762" r="4762" b="4762"/>
            <wp:docPr id="21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2023 году в Управление Федеральной антимонопольной службы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  <w:t xml:space="preserve">по Ямало-Ненецкому автономному округу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направлено 5 жалоб участник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ами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закупок на действия (бездействия) уполн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омоченного органа или комиссии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 осуществлению закупок,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4 из которых </w:t>
        <w:br/>
        <w:t xml:space="preserve">в результате рассмотрения были признаны необоснованными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  <w:t xml:space="preserve">По обоснованной жалобе проведен анализ причин выявленных нарушений действующего законодательства РФ с целью недопущения их в дальнейшем.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по итогам конкурса лучших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отраслевых достижений муниц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ипальных управленческих команд в номинации «Лучшая муниципальная служба закупок» команда Нового Уренгоя заняла </w:t>
        <w:br/>
        <w:t xml:space="preserve">1 место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jc w:val="both"/>
        <w:spacing w:before="0" w:beforeAutospacing="0" w:after="0" w:afterAutospacing="0" w:line="240" w:lineRule="auto"/>
        <w:shd w:val="clear" w:color="auto" w:fill="ffffff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46"/>
        <w:numPr>
          <w:ilvl w:val="1"/>
          <w:numId w:val="1"/>
        </w:numPr>
        <w:ind w:left="0" w:firstLine="0"/>
        <w:jc w:val="center"/>
        <w:spacing w:before="0" w:beforeAutospacing="0" w:after="0" w:afterAutospacing="0" w:line="240" w:lineRule="auto"/>
        <w:tabs>
          <w:tab w:val="left" w:pos="426" w:leader="none"/>
        </w:tabs>
        <w:rPr>
          <w:rFonts w:ascii="Liberation Sans" w:hAnsi="Liberation Sans" w:cs="Liberation Sans"/>
          <w:sz w:val="28"/>
          <w:szCs w:val="28"/>
        </w:rPr>
      </w:pPr>
      <w:r/>
      <w:bookmarkStart w:id="17" w:name="_Toc17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Развитие </w:t>
      </w:r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предпринимательств</w:t>
      </w:r>
      <w:bookmarkEnd w:id="0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а</w:t>
      </w:r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 Инвестиции. </w:t>
      </w:r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Инфраструктура</w:t>
      </w:r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, </w:t>
      </w:r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условия </w:t>
      </w:r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ведения</w:t>
      </w:r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 бизнеса</w:t>
      </w:r>
      <w:r>
        <w:rPr>
          <w:sz w:val="28"/>
          <w:szCs w:val="28"/>
        </w:rPr>
      </w:r>
      <w:bookmarkEnd w:id="17"/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34"/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34"/>
        <w:ind w:firstLine="709"/>
        <w:jc w:val="both"/>
        <w:spacing w:line="240" w:lineRule="auto"/>
        <w:rPr>
          <w:color w:val="000000" w:themeColor="text1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 территории муниципального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образования осуществляют деятельность 4 929 субъектов малого и среднего предпринимательства (п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 данным Единого реестра субъектов малого и среднего предпринимательства </w:t>
      </w:r>
      <w:r>
        <w:rPr>
          <w:rFonts w:ascii="Liberation Sans" w:hAnsi="Liberation Sans" w:cs="Liberation Sans"/>
          <w:sz w:val="28"/>
          <w:szCs w:val="28"/>
          <w:highlight w:val="none"/>
        </w:rPr>
        <w:fldChar w:fldCharType="begin"/>
      </w:r>
      <w:r>
        <w:rPr>
          <w:rFonts w:ascii="Liberation Sans" w:hAnsi="Liberation Sans" w:cs="Liberation Sans"/>
          <w:sz w:val="28"/>
          <w:szCs w:val="28"/>
          <w:highlight w:val="none"/>
        </w:rPr>
        <w:instrText xml:space="preserve"> HYPERLINK "https://rmsp.nalog.ru" </w:instrText>
      </w:r>
      <w:r>
        <w:rPr>
          <w:rFonts w:ascii="Liberation Sans" w:hAnsi="Liberation Sans" w:cs="Liberation Sans"/>
          <w:sz w:val="28"/>
          <w:szCs w:val="28"/>
          <w:highlight w:val="none"/>
        </w:rPr>
        <w:fldChar w:fldCharType="separate"/>
      </w:r>
      <w:r>
        <w:rPr>
          <w:rStyle w:val="1125"/>
          <w:rFonts w:ascii="Liberation Sans" w:hAnsi="Liberation Sans" w:cs="Liberation Sans"/>
          <w:sz w:val="28"/>
          <w:szCs w:val="28"/>
          <w:highlight w:val="none"/>
        </w:rPr>
        <w:t xml:space="preserve">https://rmsp.nalog.ru</w:t>
      </w:r>
      <w:r>
        <w:rPr>
          <w:rFonts w:ascii="Liberation Sans" w:hAnsi="Liberation Sans" w:cs="Liberation Sans"/>
          <w:sz w:val="28"/>
          <w:szCs w:val="28"/>
          <w:highlight w:val="none"/>
        </w:rPr>
        <w:fldChar w:fldCharType="end"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по состоянию на 11.01.2024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 и 6 513 физических лиц, не являющихся индивидуальными предпринимателями, применяющих специальный налоговый режим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«Налог на профессиональный доход»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с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амозанятых граждан </w:t>
        <w:br/>
        <w:t xml:space="preserve">(по данным МИ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ФНС России №2 по Ямало-Ненецкому автономному округу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Численность занятых 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малом и среднем предпринимательстве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(с учетом самозанятых граждан)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отчетном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году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составила более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24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тыс.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человек. </w:t>
      </w:r>
      <w:r>
        <w:rPr>
          <w:color w:val="000000" w:themeColor="text1"/>
          <w:highlight w:val="none"/>
        </w:rPr>
      </w:r>
      <w:r/>
    </w:p>
    <w:p>
      <w:pPr>
        <w:pStyle w:val="1134"/>
        <w:ind w:firstLine="709"/>
        <w:jc w:val="both"/>
        <w:spacing w:line="240" w:lineRule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году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объем налоговых поступлений от субъектов малого и среднего предпринимательства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от все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х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налоговых поступлений в бюджет муниципального образования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сос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тавил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11,8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1135"/>
        <w:ind w:firstLine="709"/>
        <w:jc w:val="both"/>
        <w:spacing w:after="0" w:afterAutospacing="0" w:line="283" w:lineRule="atLeast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Финансовая поддержка.</w:t>
      </w:r>
      <w:r>
        <w:rPr>
          <w:highlight w:val="none"/>
        </w:rPr>
      </w:r>
      <w:r/>
    </w:p>
    <w:p>
      <w:pPr>
        <w:pStyle w:val="1134"/>
        <w:ind w:firstLine="709"/>
        <w:jc w:val="both"/>
        <w:spacing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outlineLvl w:val="0"/>
      </w:pPr>
      <w:r/>
      <w:bookmarkStart w:id="18" w:name="_Toc18"/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п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роведено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заседани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я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онкурсной комиссии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по оказанию финансовой поддержки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субъектам малого и среднего предпринимательства,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самозанятым гражданам и некоммерческим организациям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заочном формате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(далее – конкурсная комиссия).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Рассмотрено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79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заявлений на предоставление грантов и субси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дий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bookmarkEnd w:id="18"/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pStyle w:val="1134"/>
        <w:ind w:firstLine="709"/>
        <w:jc w:val="both"/>
        <w:spacing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outlineLvl w:val="0"/>
      </w:pPr>
      <w:r/>
      <w:bookmarkStart w:id="19" w:name="_Toc19"/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 результатам заседаний конкурсной комиссии финансовая поддержка з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 счет средств местного и окружного бюджетов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была оказана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38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получателям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(35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субъектам малого и среднего предпринимательства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2 самозанятым гражданам и 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организации, образующей инфраструктуру поддержки малого и среднего предпринимательства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общ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ую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сумм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30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,75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млн руб., в том числе: </w:t>
      </w:r>
      <w:bookmarkEnd w:id="19"/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pStyle w:val="1134"/>
        <w:ind w:firstLine="709"/>
        <w:jc w:val="both"/>
        <w:spacing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outlineLvl w:val="0"/>
      </w:pPr>
      <w:r/>
      <w:bookmarkStart w:id="20" w:name="_Toc20"/>
      <w:r>
        <w:rPr>
          <w:rFonts w:ascii="Liberation Sans" w:hAnsi="Liberation Sans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16 начинающим субъектам малого и среднего предпринимательства на начало собственного дела (6,17 млн руб.); </w:t>
      </w:r>
      <w:bookmarkEnd w:id="20"/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pStyle w:val="1134"/>
        <w:ind w:firstLine="709"/>
        <w:jc w:val="both"/>
        <w:spacing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outlineLvl w:val="0"/>
      </w:pPr>
      <w:r/>
      <w:bookmarkStart w:id="21" w:name="_Toc21"/>
      <w:r>
        <w:rPr>
          <w:rFonts w:ascii="Liberation Sans" w:hAnsi="Liberation Sans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11 субъектам предпринимательской деяте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льности </w:t>
        <w:br/>
        <w:t xml:space="preserve">на возмещение части затрат, связанных с приобретением основных средств (9,16 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лн руб.);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bookmarkEnd w:id="21"/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pStyle w:val="1134"/>
        <w:ind w:firstLine="709"/>
        <w:jc w:val="both"/>
        <w:spacing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outlineLvl w:val="0"/>
      </w:pPr>
      <w:r/>
      <w:bookmarkStart w:id="22" w:name="_Toc22"/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5 субъектам социального предпринимательства (1,97 млн руб.);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bookmarkEnd w:id="22"/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pStyle w:val="1134"/>
        <w:ind w:firstLine="709"/>
        <w:jc w:val="both"/>
        <w:spacing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outlineLvl w:val="0"/>
      </w:pPr>
      <w:r/>
      <w:bookmarkStart w:id="23" w:name="_Toc23"/>
      <w:r>
        <w:rPr>
          <w:rFonts w:ascii="Liberation Sans" w:hAnsi="Liberation Sans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 предпринимателям на реализацию крупных инвестиционных проектов на территории муниципального образо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вания (10,0 млн руб.);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bookmarkEnd w:id="23"/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pStyle w:val="1134"/>
        <w:ind w:firstLine="709"/>
        <w:jc w:val="both"/>
        <w:spacing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outlineLvl w:val="0"/>
      </w:pPr>
      <w:r/>
      <w:bookmarkStart w:id="24" w:name="_Toc24"/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 самозанятым гражданам (0,2 млн руб.);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bookmarkEnd w:id="24"/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pStyle w:val="1134"/>
        <w:ind w:firstLine="709"/>
        <w:jc w:val="both"/>
        <w:spacing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outlineLvl w:val="0"/>
      </w:pPr>
      <w:r/>
      <w:bookmarkStart w:id="25" w:name="_Toc25"/>
      <w:r>
        <w:rPr>
          <w:rFonts w:ascii="Liberation Sans" w:hAnsi="Liberation Sans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некоммерческой организации на возмещение затрат, связанных с проведением мероприятий в сфере поддержки предпринимательства на территории муниципального образования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(3,25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млн руб.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).</w:t>
      </w:r>
      <w:bookmarkEnd w:id="25"/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pStyle w:val="1134"/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32"/>
          <w:szCs w:val="32"/>
          <w:highlight w:val="none"/>
        </w:rPr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</w:r>
      <w:r/>
    </w:p>
    <w:p>
      <w:pPr>
        <w:pStyle w:val="1134"/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highlight w:val="none"/>
        </w:rPr>
        <w:drawing>
          <wp:inline distT="0" distB="0" distL="0" distR="0">
            <wp:extent cx="5381003" cy="3063929"/>
            <wp:effectExtent l="4762" t="4762" r="4762" b="4762"/>
            <wp:docPr id="22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1135"/>
        <w:ind w:firstLine="709"/>
        <w:jc w:val="both"/>
        <w:tabs>
          <w:tab w:val="left" w:pos="1134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bCs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35"/>
        <w:ind w:firstLine="709"/>
        <w:jc w:val="both"/>
        <w:tabs>
          <w:tab w:val="left" w:pos="1134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Имущественная поддержка.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PT Astra Serif"/>
          <w:color w:val="000000"/>
          <w:highlight w:val="none"/>
        </w:rPr>
      </w:pP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/>
          <w:bCs/>
          <w:color w:val="000000" w:themeColor="text1"/>
          <w:sz w:val="28"/>
          <w:szCs w:val="28"/>
          <w:highlight w:val="none"/>
        </w:rPr>
        <w:t xml:space="preserve">Перечень муниципального имущества муниципального образования город Новый Уренгой, свободного от прав третьих лиц </w:t>
        <w:br/>
        <w:t xml:space="preserve">(за исключением права хозяйственного ведения, права оперативного управления, а также имущественных пра</w:t>
      </w:r>
      <w:r>
        <w:rPr>
          <w:rFonts w:ascii="Liberation Sans" w:hAnsi="Liberation Sans"/>
          <w:bCs/>
          <w:color w:val="000000" w:themeColor="text1"/>
          <w:sz w:val="28"/>
          <w:szCs w:val="28"/>
          <w:highlight w:val="none"/>
        </w:rPr>
        <w:t xml:space="preserve">в субъектов малого и среднего предпринимательства, организаций, образующих инфраструктуру поддержки</w:t>
      </w:r>
      <w:r>
        <w:rPr>
          <w:rFonts w:ascii="Liberation Sans" w:hAnsi="Liberation Sans"/>
          <w:bCs/>
          <w:color w:val="000000" w:themeColor="text1"/>
          <w:sz w:val="28"/>
          <w:szCs w:val="28"/>
          <w:highlight w:val="none"/>
        </w:rPr>
        <w:t xml:space="preserve"> субъектов малого и среднего предпринимательства, и физических лиц, не являющимся индивидуальными предпринимателями и применяющим специальный налоговый режим</w:t>
      </w:r>
      <w:r>
        <w:rPr>
          <w:rFonts w:ascii="Liberation Sans" w:hAnsi="Liberation Sans"/>
          <w:bCs/>
          <w:color w:val="000000" w:themeColor="text1"/>
          <w:sz w:val="28"/>
          <w:szCs w:val="28"/>
          <w:highlight w:val="none"/>
        </w:rPr>
        <w:t xml:space="preserve"> «</w:t>
      </w:r>
      <w:r>
        <w:rPr>
          <w:rFonts w:ascii="Liberation Sans" w:hAnsi="Liberation Sans"/>
          <w:bCs/>
          <w:color w:val="000000" w:themeColor="text1"/>
          <w:sz w:val="28"/>
          <w:szCs w:val="28"/>
          <w:highlight w:val="none"/>
        </w:rPr>
        <w:t xml:space="preserve">Налог на профессиональный доход»), предназначенного </w:t>
        <w:br/>
        <w:t xml:space="preserve">для предоставления во владение и (или) в пользование </w:t>
        <w:br/>
        <w:t xml:space="preserve">на долгосрочной основе (5 лет) субъектам малого и среднего предпринимательства, организациям, образующим </w:t>
      </w:r>
      <w:r>
        <w:rPr>
          <w:rFonts w:ascii="Liberation Sans" w:hAnsi="Liberation Sans"/>
          <w:bCs/>
          <w:color w:val="000000" w:themeColor="text1"/>
          <w:sz w:val="28"/>
          <w:szCs w:val="28"/>
          <w:highlight w:val="none"/>
        </w:rPr>
        <w:t xml:space="preserve">инфраструктуру поддержки субъектов малого и среднего предпринимательства, и физическим лицам, не являющимся индивидуальными предпринимателями и применяющим специальный налоговый режим «Налог на профессиональный доход», 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утвержден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 п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остановлением Администрации города Новый Уренгой от 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01.08.2023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№ 3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57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/>
          <w:bCs/>
          <w:color w:val="000000" w:themeColor="text1"/>
          <w:sz w:val="28"/>
          <w:szCs w:val="28"/>
          <w:highlight w:val="none"/>
        </w:rPr>
        <w:t xml:space="preserve">(в ред. </w:t>
        <w:br/>
        <w:t xml:space="preserve">от </w:t>
      </w:r>
      <w:r>
        <w:rPr>
          <w:rFonts w:ascii="Liberation Sans" w:hAnsi="Liberation Sans"/>
          <w:bCs/>
          <w:color w:val="000000" w:themeColor="text1"/>
          <w:sz w:val="28"/>
          <w:szCs w:val="28"/>
          <w:highlight w:val="none"/>
        </w:rPr>
        <w:t xml:space="preserve">14.12.2023</w:t>
      </w:r>
      <w:r>
        <w:rPr>
          <w:rFonts w:ascii="Liberation Sans" w:hAnsi="Liberation Sans"/>
          <w:bCs/>
          <w:color w:val="000000" w:themeColor="text1"/>
          <w:sz w:val="28"/>
          <w:szCs w:val="28"/>
          <w:highlight w:val="none"/>
        </w:rPr>
        <w:t xml:space="preserve"> № 588) </w:t>
      </w:r>
      <w:r>
        <w:rPr>
          <w:rFonts w:ascii="Liberation Sans" w:hAnsi="Liberation Sans"/>
          <w:bCs/>
          <w:color w:val="000000" w:themeColor="text1"/>
          <w:sz w:val="28"/>
          <w:szCs w:val="28"/>
          <w:highlight w:val="none"/>
        </w:rPr>
        <w:t xml:space="preserve">(</w:t>
      </w:r>
      <w:r>
        <w:rPr>
          <w:rFonts w:ascii="Liberation Sans" w:hAnsi="Liberation Sans"/>
          <w:bCs/>
          <w:color w:val="000000" w:themeColor="text1"/>
          <w:sz w:val="28"/>
          <w:szCs w:val="28"/>
          <w:highlight w:val="none"/>
        </w:rPr>
        <w:t xml:space="preserve">далее</w:t>
      </w:r>
      <w:r>
        <w:rPr>
          <w:rFonts w:ascii="Liberation Sans" w:hAnsi="Liberation Sans"/>
          <w:bCs/>
          <w:color w:val="000000" w:themeColor="text1"/>
          <w:sz w:val="28"/>
          <w:szCs w:val="28"/>
          <w:highlight w:val="none"/>
        </w:rPr>
        <w:t xml:space="preserve"> - </w:t>
      </w:r>
      <w:r>
        <w:rPr>
          <w:rFonts w:ascii="Liberation Sans" w:hAnsi="Liberation Sans"/>
          <w:bCs/>
          <w:color w:val="000000" w:themeColor="text1"/>
          <w:sz w:val="28"/>
          <w:szCs w:val="28"/>
          <w:highlight w:val="none"/>
        </w:rPr>
        <w:t xml:space="preserve">Пер</w:t>
      </w:r>
      <w:r>
        <w:rPr>
          <w:rFonts w:ascii="Liberation Sans" w:hAnsi="Liberation Sans"/>
          <w:bCs/>
          <w:color w:val="000000" w:themeColor="text1"/>
          <w:sz w:val="28"/>
          <w:szCs w:val="28"/>
          <w:highlight w:val="none"/>
        </w:rPr>
        <w:t xml:space="preserve">ечен</w:t>
      </w:r>
      <w:r>
        <w:rPr>
          <w:rFonts w:ascii="Liberation Sans" w:hAnsi="Liberation Sans"/>
          <w:bCs/>
          <w:color w:val="000000" w:themeColor="text1"/>
          <w:sz w:val="28"/>
          <w:szCs w:val="28"/>
          <w:highlight w:val="none"/>
        </w:rPr>
        <w:t xml:space="preserve">ь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муниципального имуществ</w:t>
      </w:r>
      <w:r>
        <w:rPr>
          <w:rFonts w:ascii="Liberation Sans" w:hAnsi="Liberation Sans"/>
          <w:bCs/>
          <w:color w:val="000000" w:themeColor="text1"/>
          <w:sz w:val="28"/>
          <w:szCs w:val="28"/>
          <w:highlight w:val="none"/>
        </w:rPr>
        <w:t xml:space="preserve">а</w:t>
      </w:r>
      <w:r>
        <w:rPr>
          <w:rFonts w:ascii="Liberation Sans" w:hAnsi="Liberation Sans"/>
          <w:bCs/>
          <w:color w:val="000000" w:themeColor="text1"/>
          <w:sz w:val="28"/>
          <w:szCs w:val="28"/>
          <w:highlight w:val="none"/>
        </w:rPr>
        <w:t xml:space="preserve">).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Количество объектов в Перечне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муниципального имуществ</w:t>
      </w:r>
      <w:r>
        <w:rPr>
          <w:rFonts w:ascii="Liberation Sans" w:hAnsi="Liberation Sans"/>
          <w:bCs/>
          <w:color w:val="000000" w:themeColor="text1"/>
          <w:sz w:val="28"/>
          <w:szCs w:val="28"/>
          <w:highlight w:val="none"/>
        </w:rPr>
        <w:t xml:space="preserve">а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составляет 8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7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 единиц, в том числе 2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5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 земельных участков общей площадью 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174 933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 кв.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м, 4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7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 объектов недвижимого имущества общей площадью 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7 226,87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 кв.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 м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, 1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5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 единиц движимого имущества.</w:t>
      </w:r>
      <w:r>
        <w:rPr>
          <w:rFonts w:ascii="Liberation Sans" w:hAnsi="Liberation Sans" w:eastAsia="PT Astra Serif"/>
          <w:color w:val="000000"/>
          <w:highlight w:val="none"/>
        </w:rPr>
      </w:r>
      <w:r/>
    </w:p>
    <w:p>
      <w:pPr>
        <w:pStyle w:val="1136"/>
        <w:ind w:left="0" w:right="0" w:firstLine="709"/>
        <w:jc w:val="both"/>
        <w:shd w:val="clear" w:color="ffffff" w:themeColor="background1" w:fill="ffffff" w:themeFill="background1"/>
        <w:tabs>
          <w:tab w:val="left" w:pos="0" w:leader="none"/>
          <w:tab w:val="clear" w:pos="4677" w:leader="none"/>
          <w:tab w:val="clear" w:pos="9355" w:leader="none"/>
        </w:tabs>
        <w:rPr>
          <w:color w:val="000000" w:themeColor="text1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течение 2023 года в аренде у субъектов малого и среднего предпринимательства и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самозанятых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граждан нахо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дилось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58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объектов муниципального имущества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общей площадью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174 579,67 кв. м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из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них:</w:t>
      </w:r>
      <w:r>
        <w:rPr>
          <w:color w:val="000000" w:themeColor="text1"/>
          <w:highlight w:val="none"/>
        </w:rPr>
      </w:r>
      <w:r/>
    </w:p>
    <w:p>
      <w:pPr>
        <w:ind w:firstLine="709"/>
        <w:jc w:val="both"/>
        <w:spacing w:after="0" w:line="240" w:lineRule="auto"/>
        <w:rPr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24 объекта недвижимого имущества (здания, нежилые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помещения) общей площадью 1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 544,67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кв.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м;</w:t>
      </w:r>
      <w:r>
        <w:rPr>
          <w:color w:val="000000" w:themeColor="text1"/>
          <w:highlight w:val="none"/>
        </w:rPr>
      </w:r>
      <w:r/>
    </w:p>
    <w:p>
      <w:pPr>
        <w:ind w:firstLine="709"/>
        <w:jc w:val="both"/>
        <w:spacing w:after="0" w:line="240" w:lineRule="auto"/>
        <w:rPr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4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земельных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участк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общей площадью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173 035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кв. 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color w:val="000000" w:themeColor="text1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- 1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объектов движимого имущества.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В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поль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зовании организации, образующей инфраструктуру поддержки субъект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ам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 малого и среднего предпринимательства,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находилось 1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9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 объектов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 муниципального недвижимого имущества общей площадью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5 595,40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 кв.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м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ffffff" w:themeColor="background1" w:fill="ffffff" w:themeFill="background1"/>
        <w:rPr>
          <w:highlight w:val="none"/>
        </w:rPr>
      </w:pP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Имущественная поддержка в 20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23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 году оказана 144 субъектам предпринимательства и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самозанятым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 гражданам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, в том числе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: 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ffffff" w:themeColor="background1" w:fill="ffffff" w:themeFill="background1"/>
        <w:rPr>
          <w:highlight w:val="none"/>
        </w:rPr>
      </w:pP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23 субъектам малого и среднего предпринимательства - поддержка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иде предоставления в пользование на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долгосрочной основе объектов недвижимого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 движимого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муниципального имущества, вклю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ченного в Перечень муниципального имущества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;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 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ffffff" w:themeColor="background1" w:fill="ffffff" w:themeFill="background1"/>
        <w:rPr>
          <w:highlight w:val="none"/>
        </w:rPr>
      </w:pP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субъекту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малого и среднего предпринимательства - в виде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реализации права выкупа арендуемого муниципального имущества;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ffffff" w:themeColor="background1" w:fill="ffffff" w:themeFill="background1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120 субъектам предпринимательства -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п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оддержка в виде приостановления применения повышающих коэффициентов </w:t>
        <w:br/>
        <w:t xml:space="preserve">по арендной плате за пользование земельными участками, учитывающих категорию арендат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ора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(Ка).</w:t>
      </w:r>
      <w:r>
        <w:rPr>
          <w:highlight w:val="none"/>
        </w:rPr>
      </w:r>
      <w:r/>
    </w:p>
    <w:p>
      <w:pPr>
        <w:pStyle w:val="1121"/>
        <w:ind w:firstLine="709"/>
        <w:jc w:val="both"/>
        <w:shd w:val="clear" w:color="ffffff" w:themeColor="background1" w:fill="ffffff" w:themeFill="background1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Сумма выпадающих доходов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(имущественная поддержка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субъектов малого и среднего предпринимательства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)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в 2023 году составила 18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 111,1 тыс. руб.</w:t>
      </w:r>
      <w:r>
        <w:rPr>
          <w:rFonts w:ascii="Liberation Sans" w:hAnsi="Liberation Sans" w:cs="Liberation Sans"/>
          <w:highlight w:val="none"/>
        </w:rPr>
      </w:r>
      <w:r/>
    </w:p>
    <w:p>
      <w:pPr>
        <w:pStyle w:val="1118"/>
        <w:ind w:firstLine="709"/>
        <w:jc w:val="both"/>
        <w:spacing w:after="0" w:afterAutospacing="0" w:line="283" w:lineRule="atLeast"/>
        <w:tabs>
          <w:tab w:val="left" w:pos="1134" w:leader="none"/>
        </w:tabs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Иная поддержка.</w:t>
      </w:r>
      <w:r>
        <w:rPr>
          <w:highlight w:val="none"/>
        </w:rPr>
      </w:r>
      <w:r/>
    </w:p>
    <w:p>
      <w:pPr>
        <w:pStyle w:val="1118"/>
        <w:ind w:firstLine="709"/>
        <w:jc w:val="both"/>
        <w:spacing w:after="0" w:afterAutospacing="0" w:line="283" w:lineRule="atLeast"/>
        <w:tabs>
          <w:tab w:val="left" w:pos="1134" w:leader="none"/>
        </w:tabs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рамках информационной поддержки за отчетный период оказана информационно-консультационная поддержка более </w:t>
        <w:br/>
        <w:t xml:space="preserve">350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субъектам предпринимательства и самозанятым гражданам </w:t>
        <w:br/>
        <w:t xml:space="preserve">по различным вопросам ведения предпринимательской деятельности.</w:t>
      </w:r>
      <w:r>
        <w:rPr>
          <w:highlight w:val="none"/>
        </w:rPr>
      </w:r>
      <w:r/>
    </w:p>
    <w:p>
      <w:pPr>
        <w:pStyle w:val="1118"/>
        <w:ind w:firstLine="709"/>
        <w:jc w:val="both"/>
        <w:spacing w:after="0" w:line="240" w:lineRule="auto"/>
        <w:tabs>
          <w:tab w:val="left" w:pos="1134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местных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средствах массовой информации, на официальном сайте муниципального образования город Новый Уренгой размещено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более 200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 материалов о поддержке малого и среднего бизнеса.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18"/>
        <w:ind w:firstLine="709"/>
        <w:jc w:val="both"/>
        <w:spacing w:after="0" w:afterAutospacing="0" w:line="283" w:lineRule="atLeast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  <w:t xml:space="preserve">На постоянной основе осуществлялось информирование субъектов малого и среднего предпринимательства о проводимых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  <w:br/>
        <w:t xml:space="preserve">на территории муниципального образования, а также автономного округа мероприятиях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  <w:t xml:space="preserve">направленных на развитие и поддерж</w:t>
      </w:r>
      <w:r>
        <w:rPr>
          <w:rFonts w:ascii="Liberation Sans" w:hAnsi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ку предпринимательской деятельности, через официальный сайт муниципального образования город Новый Уренгой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shd w:val="clear" w:color="auto" w:fill="ffffff"/>
        </w:rPr>
        <w:t xml:space="preserve">nur.y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shd w:val="clear" w:color="auto" w:fill="ffffff"/>
        </w:rPr>
        <w:t xml:space="preserve">anao.ru,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Telegram-канал,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социальную сеть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ВКонтакте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, путем адресного обзвона.</w:t>
      </w:r>
      <w:r>
        <w:rPr>
          <w:rFonts w:ascii="Liberation Sans" w:hAnsi="Liberation Sans" w:cs="Liberation Sans"/>
          <w:color w:val="auto"/>
          <w:highlight w:val="none"/>
        </w:rPr>
        <w:t xml:space="preserve"> </w:t>
      </w:r>
      <w:r>
        <w:rPr>
          <w:rFonts w:ascii="Liberation Sans" w:hAnsi="Liberation Sans" w:cs="Liberation Sans"/>
          <w:highlight w:val="none"/>
        </w:rPr>
      </w:r>
      <w:r/>
    </w:p>
    <w:p>
      <w:pPr>
        <w:pStyle w:val="1135"/>
        <w:ind w:firstLine="709"/>
        <w:jc w:val="both"/>
        <w:rPr>
          <w:highlight w:val="none"/>
        </w:rPr>
      </w:pP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В марте 2023 года на те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рритории муниципального образования проведен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 Ямальский нефтегазовый форум, в рамках которого была организована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  <w:lang w:val="en-US"/>
        </w:rPr>
        <w:t xml:space="preserve">XVII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Cs/>
          <w:color w:val="000000"/>
          <w:sz w:val="28"/>
          <w:szCs w:val="28"/>
          <w:highlight w:val="none"/>
        </w:rPr>
        <w:t xml:space="preserve">межрегиональная специализированная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выставка «Газ. Нефть. Новые технологи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и - К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райнему Северу»,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проведены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 обширная деловая программа, благотворительный турнир </w:t>
        <w:br/>
        <w:t xml:space="preserve">по волей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болу.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Выставка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 собрал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а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 75 участников из различных городов России.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Посетительская аудитория составила около 2 тыс. человек.</w:t>
      </w:r>
      <w:r>
        <w:rPr>
          <w:highlight w:val="none"/>
        </w:rPr>
      </w:r>
      <w:r/>
    </w:p>
    <w:p>
      <w:pPr>
        <w:pStyle w:val="1135"/>
        <w:ind w:firstLine="709"/>
        <w:jc w:val="both"/>
        <w:rPr>
          <w:highlight w:val="none"/>
        </w:rPr>
      </w:pPr>
      <w:r>
        <w:rPr>
          <w:rFonts w:ascii="Liberation Sans" w:hAnsi="Liberation Sans" w:eastAsia="Liberation Serif" w:cs="Liberation Sans"/>
          <w:b w:val="0"/>
          <w:bCs w:val="0"/>
          <w:sz w:val="28"/>
          <w:szCs w:val="28"/>
          <w:highlight w:val="none"/>
        </w:rPr>
      </w:r>
      <w:r>
        <w:rPr>
          <w:rFonts w:ascii="Liberation Sans" w:hAnsi="Liberation Sans" w:eastAsia="Liberation Serif" w:cs="Liberation Sans"/>
          <w:b w:val="0"/>
          <w:bCs w:val="0"/>
          <w:sz w:val="28"/>
          <w:szCs w:val="28"/>
          <w:highlight w:val="none"/>
        </w:rPr>
        <w:t xml:space="preserve">В</w:t>
      </w:r>
      <w:r>
        <w:rPr>
          <w:rFonts w:ascii="Liberation Sans" w:hAnsi="Liberation Sans" w:eastAsia="Liberation Serif" w:cs="Liberation Sans"/>
          <w:b w:val="0"/>
          <w:bCs w:val="0"/>
          <w:sz w:val="28"/>
          <w:szCs w:val="28"/>
          <w:highlight w:val="none"/>
        </w:rPr>
        <w:t xml:space="preserve"> рамках празднования Дня российского предпринимательства </w:t>
      </w:r>
      <w:r>
        <w:rPr>
          <w:rFonts w:ascii="Liberation Sans" w:hAnsi="Liberation Sans" w:eastAsia="Liberation Serif" w:cs="Liberation Sans"/>
          <w:b w:val="0"/>
          <w:bCs w:val="0"/>
          <w:sz w:val="28"/>
          <w:szCs w:val="28"/>
          <w:highlight w:val="none"/>
        </w:rPr>
        <w:t xml:space="preserve">Администрацией города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  <w:t xml:space="preserve">совместно с НО «Новоуренгойский фонд развития предпринимательства» в мае 2023 года впервые организован и проведен конкурс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  <w:t xml:space="preserve">среди предпринимателей «НУР_доверяет».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Участие в данном конкурсе приняли 34 субъекта предпринимательства,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из них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 результатам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народного голосования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16 предпринимателей признаны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победителями в номинациях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Лучший ресторан»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«Лучший магазин промышленных товаров»,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«Лучший салон красоты»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и др.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</w:t>
        <w:br/>
      </w:r>
      <w:r>
        <w:rPr>
          <w:rFonts w:ascii="Liberation Sans" w:hAnsi="Liberation Sans" w:eastAsia="Arial" w:cs="Liberation Sans"/>
          <w:color w:val="000000" w:themeColor="text1"/>
          <w:sz w:val="28"/>
          <w:szCs w:val="28"/>
          <w:highlight w:val="none"/>
        </w:rPr>
        <w:t xml:space="preserve">По итогам народного голосования номинанты набрали около </w:t>
        <w:br/>
        <w:t xml:space="preserve">12 тыс. голосов горожан.</w:t>
      </w:r>
      <w:r>
        <w:rPr>
          <w:highlight w:val="none"/>
        </w:rPr>
      </w:r>
      <w:r/>
    </w:p>
    <w:p>
      <w:pPr>
        <w:ind w:left="0" w:right="0" w:firstLine="709"/>
        <w:jc w:val="both"/>
        <w:spacing w:after="0" w:afterAutospacing="0" w:line="240" w:lineRule="auto"/>
        <w:tabs>
          <w:tab w:val="left" w:pos="851" w:leader="none"/>
        </w:tabs>
        <w:rPr>
          <w:color w:val="auto"/>
          <w:highlight w:val="no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</w:pPr>
      <w:r>
        <w:rPr>
          <w:rFonts w:ascii="Liberation Sans" w:hAnsi="Liberation Sans" w:eastAsia="Times New Roman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В</w:t>
      </w:r>
      <w:r>
        <w:rPr>
          <w:rFonts w:ascii="Liberation Sans" w:hAnsi="Liberation Sans" w:eastAsia="Times New Roman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 июле 2023 года в рамках празднования </w:t>
      </w:r>
      <w:r>
        <w:rPr>
          <w:rFonts w:ascii="Liberation Sans" w:hAnsi="Liberation Sans" w:eastAsia="Times New Roman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Дня молодежи </w:t>
      </w:r>
      <w:r>
        <w:rPr>
          <w:rFonts w:ascii="Liberation Sans" w:hAnsi="Liberation Sans" w:eastAsia="Times New Roman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организованы и проведены:</w:t>
      </w:r>
      <w:r>
        <w:rPr>
          <w:color w:val="auto"/>
          <w:highlight w:val="none"/>
        </w:rPr>
      </w:r>
      <w:r/>
    </w:p>
    <w:p>
      <w:pPr>
        <w:ind w:left="0" w:right="0" w:firstLine="709"/>
        <w:jc w:val="both"/>
        <w:spacing w:after="0" w:afterAutospacing="0" w:line="240" w:lineRule="auto"/>
        <w:tabs>
          <w:tab w:val="left" w:pos="851" w:leader="none"/>
        </w:tabs>
        <w:rPr>
          <w:color w:val="auto"/>
          <w:highlight w:val="no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</w:pPr>
      <w:r>
        <w:rPr>
          <w:rFonts w:ascii="Liberation Sans" w:hAnsi="Liberation Sans" w:eastAsia="Times New Roman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- бизне</w:t>
      </w:r>
      <w:r>
        <w:rPr>
          <w:rFonts w:ascii="Liberation Sans" w:hAnsi="Liberation Sans" w:eastAsia="Times New Roman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с-з</w:t>
      </w:r>
      <w:r>
        <w:rPr>
          <w:rFonts w:ascii="Liberation Sans" w:hAnsi="Liberation Sans" w:eastAsia="Times New Roman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автрак с участием </w:t>
      </w:r>
      <w:r>
        <w:rPr>
          <w:rFonts w:ascii="Liberation Sans" w:hAnsi="Liberation Sans" w:eastAsia="Times New Roman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Главы города Новый Уренгой Воронова А.В., </w:t>
      </w:r>
      <w:r>
        <w:rPr>
          <w:rFonts w:ascii="Liberation Sans" w:hAnsi="Liberation Sans" w:eastAsia="Times New Roman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студентов и </w:t>
      </w:r>
      <w:r>
        <w:rPr>
          <w:rFonts w:ascii="Liberation Sans" w:hAnsi="Liberation Sans" w:eastAsia="Times New Roman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мол</w:t>
      </w:r>
      <w:r>
        <w:rPr>
          <w:rFonts w:ascii="Liberation Sans" w:hAnsi="Liberation Sans" w:eastAsia="Times New Roman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одых предпринимателей</w:t>
      </w:r>
      <w:r>
        <w:rPr>
          <w:rFonts w:ascii="Liberation Sans" w:hAnsi="Liberation Sans" w:eastAsia="Times New Roman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;</w:t>
      </w:r>
      <w:r>
        <w:rPr>
          <w:color w:val="auto"/>
          <w:highlight w:val="none"/>
        </w:rPr>
      </w:r>
      <w:r/>
    </w:p>
    <w:p>
      <w:pPr>
        <w:ind w:left="0" w:right="0" w:firstLine="709"/>
        <w:jc w:val="both"/>
        <w:spacing w:after="0" w:afterAutospacing="0" w:line="240" w:lineRule="auto"/>
        <w:tabs>
          <w:tab w:val="left" w:pos="851" w:leader="none"/>
        </w:tabs>
        <w:rPr>
          <w:color w:val="auto"/>
          <w:highlight w:val="no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</w:pPr>
      <w:r>
        <w:rPr>
          <w:rFonts w:ascii="Liberation Sans" w:hAnsi="Liberation Sans" w:eastAsia="Times New Roman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-</w:t>
      </w:r>
      <w:r>
        <w:rPr>
          <w:rFonts w:ascii="Liberation Sans" w:hAnsi="Liberation Sans" w:eastAsia="Times New Roman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 </w:t>
      </w:r>
      <w:r>
        <w:rPr>
          <w:rFonts w:ascii="Liberation Sans" w:hAnsi="Liberation Sans" w:eastAsia="Times New Roman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тематическая линия «Навстречу своему делу» </w:t>
      </w:r>
      <w:r>
        <w:rPr>
          <w:rFonts w:ascii="Liberation Sans" w:hAnsi="Liberation Sans" w:eastAsia="Times New Roman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с участием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eastAsia="ru-RU"/>
        </w:rPr>
        <w:t xml:space="preserve"> директора агентства «РосФорум»,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eastAsia="ru-RU"/>
        </w:rPr>
        <w:t xml:space="preserve"> экспе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eastAsia="ru-RU"/>
        </w:rPr>
        <w:t xml:space="preserve">рта и тренера федеральн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eastAsia="ru-RU"/>
        </w:rPr>
        <w:t xml:space="preserve">ых образовательных программ, вице-президента клуба предпринимателей Росмо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eastAsia="ru-RU"/>
        </w:rPr>
        <w:t xml:space="preserve">лодеж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eastAsia="ru-RU"/>
        </w:rPr>
        <w:t xml:space="preserve">и</w:t>
      </w:r>
      <w:r>
        <w:rPr>
          <w:rFonts w:ascii="Liberation Sans" w:hAnsi="Liberation Sans" w:eastAsia="Times New Roman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Захарова Д.С</w:t>
      </w:r>
      <w:r>
        <w:rPr>
          <w:rFonts w:ascii="Liberation Sans" w:hAnsi="Liberation Sans" w:eastAsia="Times New Roman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.;</w:t>
      </w:r>
      <w:r>
        <w:rPr>
          <w:rFonts w:ascii="Liberation Sans" w:hAnsi="Liberation Sans" w:eastAsia="Times New Roman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eastAsia="ru-RU"/>
        </w:rPr>
        <w:t xml:space="preserve">б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eastAsia="ru-RU"/>
        </w:rPr>
        <w:t xml:space="preserve">изнес-спике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eastAsia="ru-RU"/>
        </w:rPr>
        <w:t xml:space="preserve">р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а 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Чечерина Эдуард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а 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eastAsia="ru-RU"/>
        </w:rPr>
        <w:t xml:space="preserve">- предпринимателя, маркетолога, EX SEO XO TEAM</w:t>
      </w:r>
      <w:r>
        <w:rPr>
          <w:rFonts w:ascii="Liberation Sans" w:hAnsi="Liberation Sans" w:eastAsia="Times New Roman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; 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eastAsia="ru-RU"/>
        </w:rPr>
        <w:t xml:space="preserve">в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eastAsia="ru-RU"/>
        </w:rPr>
        <w:t xml:space="preserve">ед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eastAsia="ru-RU"/>
        </w:rPr>
        <w:t xml:space="preserve">ущей Europa plus</w:t>
      </w:r>
      <w:r>
        <w:rPr>
          <w:rFonts w:ascii="Liberation Sans" w:hAnsi="Liberation Sans" w:eastAsia="Times New Roman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 Пестряковой Т.В.</w:t>
      </w:r>
      <w:r>
        <w:rPr>
          <w:rFonts w:ascii="Liberation Sans" w:hAnsi="Liberation Sans" w:eastAsia="Times New Roman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, а также 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eastAsia="ru-RU"/>
        </w:rPr>
        <w:t xml:space="preserve">режиссёра, продюсера, директора продакш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eastAsia="ru-RU"/>
        </w:rPr>
        <w:t xml:space="preserve">е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eastAsia="ru-RU"/>
        </w:rPr>
        <w:t xml:space="preserve">н-студии «Other Story Co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eastAsia="ru-RU"/>
        </w:rPr>
        <w:t xml:space="preserve">mpany»</w:t>
      </w:r>
      <w:r>
        <w:rPr>
          <w:rFonts w:ascii="Liberation Sans" w:hAnsi="Liberation Sans" w:eastAsia="Times New Roman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 Булгаковой О.А.</w:t>
      </w:r>
      <w:r>
        <w:rPr>
          <w:color w:val="auto"/>
          <w:highlight w:val="none"/>
        </w:rPr>
      </w:r>
      <w:r/>
    </w:p>
    <w:p>
      <w:pPr>
        <w:pStyle w:val="1118"/>
        <w:ind w:firstLine="709"/>
        <w:jc w:val="both"/>
        <w:spacing w:after="0" w:line="240" w:lineRule="auto"/>
        <w:tabs>
          <w:tab w:val="left" w:pos="1134" w:leader="none"/>
        </w:tabs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продолжилась работа по ул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учшению инвестиционного климата на терр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итории муниципального образования:</w:t>
      </w:r>
      <w:r>
        <w:rPr>
          <w:highlight w:val="none"/>
        </w:rPr>
      </w:r>
      <w:r/>
    </w:p>
    <w:p>
      <w:pPr>
        <w:pStyle w:val="1118"/>
        <w:ind w:firstLine="709"/>
        <w:jc w:val="both"/>
        <w:spacing w:after="0" w:line="240" w:lineRule="auto"/>
        <w:tabs>
          <w:tab w:val="left" w:pos="1134" w:leader="none"/>
        </w:tabs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сформирован Инвестиционный паспорт муниципального образования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Инвестиционное послание Главы города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118"/>
        <w:ind w:firstLine="709"/>
        <w:jc w:val="both"/>
        <w:spacing w:after="0" w:line="240" w:lineRule="auto"/>
        <w:tabs>
          <w:tab w:val="left" w:pos="1134" w:leader="none"/>
        </w:tabs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работает система оценки регулирующего воздействия проектов муниципальных нормативных правовых актов и экспертизы муниципальных нормативных правовых актов, затрагивающих вопросы осуществления предпринимательской и инвестиционной деятельности. Подготовлен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52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заключени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об экономических последствиях принятия проектов муниципал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ьных нормативных правовых актов.</w:t>
      </w:r>
      <w:r>
        <w:rPr>
          <w:highlight w:val="none"/>
        </w:rPr>
      </w:r>
      <w:r/>
    </w:p>
    <w:p>
      <w:pPr>
        <w:pStyle w:val="1118"/>
        <w:ind w:firstLine="709"/>
        <w:jc w:val="both"/>
        <w:spacing w:after="0" w:line="0" w:lineRule="atLeast"/>
        <w:rPr>
          <w:highlight w:val="none"/>
        </w:rPr>
      </w:pP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На регулярной основе проводилась работа по включению в реестр инвестиционных проектов ЯНАО проектов субъектов предпринимательской д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еятельности, реализуемых на территории муниципального образования. </w:t>
      </w:r>
      <w:r>
        <w:rPr>
          <w:highlight w:val="none"/>
        </w:rPr>
      </w:r>
      <w:r/>
    </w:p>
    <w:p>
      <w:pPr>
        <w:ind w:firstLine="709"/>
        <w:jc w:val="both"/>
        <w:spacing w:after="0" w:line="0" w:lineRule="atLeast"/>
        <w:rPr>
          <w:highlight w:val="none"/>
        </w:rPr>
      </w:pPr>
      <w:r>
        <w:rPr>
          <w:rFonts w:ascii="Liberation Sans" w:hAnsi="Liberation Sans" w:cs="Liberation Sans"/>
          <w:bCs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2023 году в реестре инвестиционных проектов ЯНАО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  <w:br/>
        <w:t xml:space="preserve">по муниципальному образованию размещено 130 инвестиционных проектов со статусом «реализованные»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на сумму порядка 3,7 млрд руб.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из них 63 проекта стоимостью более 10,0 млн руб.</w:t>
      </w:r>
      <w:r>
        <w:rPr>
          <w:highlight w:val="none"/>
        </w:rPr>
      </w:r>
      <w:r/>
    </w:p>
    <w:p>
      <w:pPr>
        <w:ind w:firstLine="709"/>
        <w:jc w:val="both"/>
        <w:spacing w:after="0" w:line="0" w:lineRule="atLeast"/>
        <w:rPr>
          <w:color w:val="auto"/>
          <w:highlight w:val="none"/>
        </w:rPr>
      </w:pPr>
      <w:r>
        <w:rPr>
          <w:rFonts w:ascii="Liberation Sans" w:hAnsi="Liberation Sans" w:eastAsia="Liberation Serif" w:cs="Liberation Sans"/>
          <w:b w:val="0"/>
          <w:bCs w:val="0"/>
          <w:color w:val="auto"/>
          <w:sz w:val="28"/>
          <w:szCs w:val="28"/>
          <w:highlight w:val="none"/>
          <w:lang w:val="ru-RU"/>
        </w:rPr>
        <w:t xml:space="preserve">Администрацией города оказана финансовая поддержка </w:t>
      </w:r>
      <w:r>
        <w:rPr>
          <w:rFonts w:ascii="Liberation Sans" w:hAnsi="Liberation Sans" w:eastAsia="Liberation Serif" w:cs="Liberation Sans"/>
          <w:b w:val="0"/>
          <w:bCs w:val="0"/>
          <w:color w:val="auto"/>
          <w:sz w:val="28"/>
          <w:szCs w:val="28"/>
          <w:highlight w:val="none"/>
          <w:lang w:val="ru-RU"/>
        </w:rPr>
        <w:t xml:space="preserve">в сумме </w:t>
      </w:r>
      <w:r>
        <w:rPr>
          <w:rFonts w:ascii="Liberation Sans" w:hAnsi="Liberation Sans" w:eastAsia="Liberation Serif" w:cs="Liberation Sans"/>
          <w:b w:val="0"/>
          <w:bCs w:val="0"/>
          <w:color w:val="auto"/>
          <w:sz w:val="28"/>
          <w:szCs w:val="28"/>
          <w:highlight w:val="none"/>
          <w:lang w:val="ru-RU"/>
        </w:rPr>
        <w:t xml:space="preserve">12,8 млн руб. на реализацию отдельных проектов:</w:t>
      </w:r>
      <w:r>
        <w:rPr>
          <w:rFonts w:ascii="Liberation Sans" w:hAnsi="Liberation Sans" w:eastAsia="Liberation Serif" w:cs="Liberation Sans"/>
          <w:b w:val="0"/>
          <w:bCs w:val="0"/>
          <w:color w:val="auto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eastAsia="Liberation Serif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val="ru-RU"/>
        </w:rPr>
        <w:t xml:space="preserve">киберспортивный клуб «Colezium», </w:t>
      </w:r>
      <w:r>
        <w:rPr>
          <w:rFonts w:ascii="Liberation Sans" w:hAnsi="Liberation Sans" w:eastAsia="Liberation Serif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val="ru-RU"/>
        </w:rPr>
        <w:t xml:space="preserve">компьютерный клуб «NOVA»</w:t>
      </w:r>
      <w:r>
        <w:rPr>
          <w:rFonts w:ascii="Liberation Sans" w:hAnsi="Liberation Sans" w:eastAsia="Liberation Serif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val="ru-RU"/>
        </w:rPr>
        <w:t xml:space="preserve">, </w:t>
      </w:r>
      <w:r>
        <w:rPr>
          <w:rFonts w:ascii="Liberation Sans" w:hAnsi="Liberation Sans" w:eastAsia="Liberation Serif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val="ru-RU"/>
        </w:rPr>
        <w:t xml:space="preserve">прачечная «Big Wash»</w:t>
      </w:r>
      <w:r>
        <w:rPr>
          <w:rFonts w:ascii="Liberation Sans" w:hAnsi="Liberation Sans" w:eastAsia="Liberation Serif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val="ru-RU"/>
        </w:rPr>
        <w:t xml:space="preserve">, </w:t>
      </w:r>
      <w:r>
        <w:rPr>
          <w:rFonts w:ascii="Liberation Sans" w:hAnsi="Liberation Sans" w:eastAsia="Liberation Serif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val="ru-RU"/>
        </w:rPr>
        <w:t xml:space="preserve">спортивный клуб «MF4»</w:t>
      </w:r>
      <w:r>
        <w:rPr>
          <w:rFonts w:ascii="Liberation Sans" w:hAnsi="Liberation Sans" w:eastAsia="Liberation Serif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val="ru-RU"/>
        </w:rPr>
        <w:t xml:space="preserve">, ресторан</w:t>
      </w:r>
      <w:r>
        <w:rPr>
          <w:rFonts w:ascii="Liberation Sans" w:hAnsi="Liberation Sans" w:eastAsia="Liberation Serif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val="ru-RU"/>
        </w:rPr>
        <w:t xml:space="preserve"> «</w:t>
      </w:r>
      <w:r>
        <w:rPr>
          <w:rFonts w:ascii="Liberation Sans" w:hAnsi="Liberation Sans" w:eastAsia="Liberation Serif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val="ru-RU"/>
        </w:rPr>
        <w:t xml:space="preserve">Чеснок grill»</w:t>
      </w:r>
      <w:r>
        <w:rPr>
          <w:rFonts w:ascii="Liberation Sans" w:hAnsi="Liberation Sans" w:eastAsia="Liberation Serif" w:cs="Liberation Sans"/>
          <w:b w:val="0"/>
          <w:bCs w:val="0"/>
          <w:i w:val="0"/>
          <w:iCs w:val="0"/>
          <w:color w:val="auto"/>
          <w:sz w:val="28"/>
          <w:szCs w:val="28"/>
          <w:highlight w:val="none"/>
          <w:lang w:val="ru-RU"/>
        </w:rPr>
        <w:t xml:space="preserve"> и др</w:t>
      </w:r>
      <w:r>
        <w:rPr>
          <w:rFonts w:ascii="Liberation Sans" w:hAnsi="Liberation Sans" w:eastAsia="Liberation Serif" w:cs="Liberation Sans"/>
          <w:b w:val="0"/>
          <w:bCs w:val="0"/>
          <w:i/>
          <w:iCs/>
          <w:color w:val="auto"/>
          <w:sz w:val="28"/>
          <w:szCs w:val="28"/>
          <w:highlight w:val="none"/>
          <w:lang w:val="ru-RU"/>
        </w:rPr>
        <w:t xml:space="preserve">.</w:t>
      </w:r>
      <w:r>
        <w:rPr>
          <w:color w:val="auto"/>
          <w:highlight w:val="none"/>
        </w:rPr>
      </w:r>
      <w:r/>
    </w:p>
    <w:p>
      <w:pPr>
        <w:pStyle w:val="1160"/>
        <w:ind w:left="0" w:firstLine="709"/>
        <w:jc w:val="both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В рамках работы Совета по улучшению инвестиционного климата, развитию предпринимательства и конкуренции в муниципальном образовании горо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д Новый Уренгой (далее - Совет)</w:t>
      </w:r>
      <w:r>
        <w:rPr>
          <w:rFonts w:ascii="Liberation Sans" w:hAnsi="Liberation Sans" w:cs="Liberation Sans"/>
          <w:bCs/>
          <w:sz w:val="28"/>
          <w:szCs w:val="28"/>
          <w:highlight w:val="none"/>
          <w:lang w:val="ru-RU"/>
        </w:rPr>
        <w:t xml:space="preserve">: </w:t>
      </w:r>
      <w:r>
        <w:rPr>
          <w:highlight w:val="none"/>
        </w:rPr>
      </w:r>
      <w:r/>
    </w:p>
    <w:p>
      <w:pPr>
        <w:pStyle w:val="1160"/>
        <w:ind w:left="0" w:firstLine="709"/>
        <w:jc w:val="both"/>
        <w:rPr>
          <w:highlight w:val="none"/>
        </w:rPr>
      </w:pPr>
      <w:r>
        <w:rPr>
          <w:rFonts w:ascii="Liberation Sans" w:hAnsi="Liberation Sans" w:cs="Liberation Sans"/>
          <w:bCs/>
          <w:sz w:val="28"/>
          <w:szCs w:val="28"/>
          <w:highlight w:val="none"/>
          <w:lang w:val="ru-RU"/>
        </w:rPr>
        <w:t xml:space="preserve">- </w:t>
      </w:r>
      <w:r>
        <w:rPr>
          <w:rFonts w:ascii="Liberation Sans" w:hAnsi="Liberation Sans" w:cs="Liberation Sans"/>
          <w:bCs/>
          <w:sz w:val="28"/>
          <w:szCs w:val="28"/>
          <w:highlight w:val="none"/>
          <w:lang w:val="ru-RU"/>
        </w:rPr>
        <w:t xml:space="preserve">подведены итоги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 работы по решению муниципального проблематора за 2022 год</w:t>
      </w:r>
      <w:r>
        <w:rPr>
          <w:rFonts w:ascii="Liberation Sans" w:hAnsi="Liberation Sans" w:cs="Liberation Sans"/>
          <w:bCs/>
          <w:sz w:val="28"/>
          <w:szCs w:val="28"/>
          <w:highlight w:val="none"/>
          <w:lang w:val="ru-RU"/>
        </w:rPr>
        <w:t xml:space="preserve">;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 сформирован муниципальный проблематор на 2023 год</w:t>
      </w:r>
      <w:r>
        <w:rPr>
          <w:rFonts w:ascii="Liberation Sans" w:hAnsi="Liberation Sans" w:cs="Liberation Sans"/>
          <w:bCs/>
          <w:sz w:val="28"/>
          <w:szCs w:val="28"/>
          <w:highlight w:val="none"/>
          <w:lang w:val="ru-RU"/>
        </w:rPr>
        <w:t xml:space="preserve">; </w:t>
      </w:r>
      <w:r>
        <w:rPr>
          <w:highlight w:val="none"/>
        </w:rPr>
      </w:r>
      <w:r/>
    </w:p>
    <w:p>
      <w:pPr>
        <w:pStyle w:val="1160"/>
        <w:ind w:left="0" w:firstLine="709"/>
        <w:jc w:val="both"/>
        <w:rPr>
          <w:highlight w:val="none"/>
        </w:rPr>
      </w:pPr>
      <w:r>
        <w:rPr>
          <w:rFonts w:ascii="Liberation Sans" w:hAnsi="Liberation Sans" w:cs="Liberation Sans"/>
          <w:bCs/>
          <w:sz w:val="28"/>
          <w:szCs w:val="28"/>
          <w:highlight w:val="none"/>
          <w:lang w:val="ru-RU"/>
        </w:rPr>
        <w:t xml:space="preserve">- </w:t>
      </w:r>
      <w:r>
        <w:rPr>
          <w:rFonts w:ascii="Liberation Sans" w:hAnsi="Liberation Sans" w:cs="Liberation Sans"/>
          <w:bCs/>
          <w:sz w:val="28"/>
          <w:szCs w:val="28"/>
          <w:highlight w:val="none"/>
          <w:lang w:val="ru-RU"/>
        </w:rPr>
        <w:t xml:space="preserve">провед</w:t>
      </w:r>
      <w:r>
        <w:rPr>
          <w:rFonts w:ascii="Liberation Sans" w:hAnsi="Liberation Sans" w:cs="Liberation Sans"/>
          <w:bCs/>
          <w:sz w:val="28"/>
          <w:szCs w:val="28"/>
          <w:highlight w:val="none"/>
          <w:lang w:val="ru-RU"/>
        </w:rPr>
        <w:t xml:space="preserve">ено 7</w:t>
      </w:r>
      <w:r>
        <w:rPr>
          <w:rFonts w:ascii="Liberation Sans" w:hAnsi="Liberation Sans" w:cs="Liberation Sans"/>
          <w:b/>
          <w:bCs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cs="Liberation Sans"/>
          <w:bCs/>
          <w:sz w:val="28"/>
          <w:szCs w:val="28"/>
          <w:highlight w:val="none"/>
          <w:lang w:val="ru-RU"/>
        </w:rPr>
        <w:t xml:space="preserve">заседа</w:t>
      </w:r>
      <w:r>
        <w:rPr>
          <w:rFonts w:ascii="Liberation Sans" w:hAnsi="Liberation Sans" w:cs="Liberation Sans"/>
          <w:bCs/>
          <w:sz w:val="28"/>
          <w:szCs w:val="28"/>
          <w:highlight w:val="none"/>
          <w:lang w:val="ru-RU"/>
        </w:rPr>
        <w:t xml:space="preserve">ний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cs="Liberation Sans"/>
          <w:bCs/>
          <w:sz w:val="28"/>
          <w:szCs w:val="28"/>
          <w:highlight w:val="none"/>
          <w:lang w:val="ru-RU"/>
        </w:rPr>
        <w:t xml:space="preserve">с участием представителей Администрации города, ресурсоснабжающих организаций, </w:t>
      </w:r>
      <w:r>
        <w:rPr>
          <w:rFonts w:ascii="Liberation Sans" w:hAnsi="Liberation Sans" w:cs="Liberation Sans"/>
          <w:bCs/>
          <w:sz w:val="28"/>
          <w:szCs w:val="28"/>
          <w:highlight w:val="none"/>
          <w:lang w:val="ru-RU"/>
        </w:rPr>
        <w:t xml:space="preserve">предпринимателей города</w:t>
      </w:r>
      <w:r>
        <w:rPr>
          <w:rFonts w:ascii="Liberation Sans" w:hAnsi="Liberation Sans" w:cs="Liberation Sans"/>
          <w:bCs/>
          <w:sz w:val="28"/>
          <w:szCs w:val="28"/>
          <w:highlight w:val="none"/>
          <w:lang w:val="ru-RU"/>
        </w:rPr>
        <w:t xml:space="preserve">. </w:t>
      </w:r>
      <w:r>
        <w:rPr>
          <w:rFonts w:ascii="Liberation Sans" w:hAnsi="Liberation Sans" w:cs="Liberation Sans"/>
          <w:bCs/>
          <w:sz w:val="28"/>
          <w:szCs w:val="28"/>
          <w:highlight w:val="none"/>
          <w:lang w:val="ru-RU"/>
        </w:rPr>
        <w:t xml:space="preserve">В течение года на заседаниях Совета рассмотрены вопросы эффективности поддержки малого и среднего предпринимательства города и развития конкуренции,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 </w:t>
        <w:br/>
        <w:t xml:space="preserve">по решению муниципального проблематора</w:t>
      </w:r>
      <w:r>
        <w:rPr>
          <w:rFonts w:ascii="Liberation Sans" w:hAnsi="Liberation Sans" w:cs="Liberation Sans"/>
          <w:bCs/>
          <w:sz w:val="28"/>
          <w:szCs w:val="28"/>
          <w:highlight w:val="none"/>
          <w:lang w:val="ru-RU"/>
        </w:rPr>
        <w:t xml:space="preserve">; </w:t>
      </w:r>
      <w:r>
        <w:rPr>
          <w:rFonts w:ascii="Liberation Sans" w:hAnsi="Liberation Sans" w:cs="Liberation Sans"/>
          <w:bCs/>
          <w:sz w:val="28"/>
          <w:szCs w:val="28"/>
          <w:highlight w:val="none"/>
          <w:lang w:val="ru-RU"/>
        </w:rPr>
        <w:t xml:space="preserve">утверждены доклады </w:t>
        <w:br/>
        <w:t xml:space="preserve">по развитию конкуренции на территории муниципального образования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и об антимонопольном комплаенсе;</w:t>
      </w:r>
      <w:r>
        <w:rPr>
          <w:highlight w:val="none"/>
        </w:rPr>
      </w:r>
      <w:r/>
    </w:p>
    <w:p>
      <w:pPr>
        <w:pStyle w:val="1160"/>
        <w:ind w:left="0" w:firstLine="709"/>
        <w:jc w:val="both"/>
        <w:rPr>
          <w:rFonts w:ascii="Liberation Sans" w:hAnsi="Liberation Sans" w:cs="Liberation Sans"/>
          <w:sz w:val="28"/>
          <w:szCs w:val="28"/>
          <w:highlight w:val="none"/>
          <w:lang w:val="ru-RU"/>
        </w:rPr>
      </w:pP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проведено 13 заседаний комиссии по вопросам развития предпринимательско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й деятельности при Совете, на которых рассмотрены заявления и документы претендентов из числа субъектов малого и среднего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предпринимательства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на получение финансовой поддержки, оказываемой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  <w:lang w:val="ru-RU"/>
        </w:rPr>
        <w:t xml:space="preserve">Фондом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«Агентство инвестиционного развития и поддержки предпринимательства Ямало-Ненецкого автономного округа «Мой Бизнес» (МКК).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В рамках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заседаний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рассмотрены документ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ы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 субъек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тов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малого и среднего предпринимательства, претендующих на предоставление в 2023 году компенсации части затрат субъектов малого и среднего предпринимательства, связанных с</w:t>
      </w:r>
      <w:r>
        <w:rPr>
          <w:rFonts w:ascii="Liberation Sans" w:hAnsi="Liberation Sans" w:cs="Liberation Sans"/>
          <w:bCs/>
          <w:sz w:val="28"/>
          <w:szCs w:val="28"/>
          <w:highlight w:val="none"/>
          <w:lang w:val="ru-RU"/>
        </w:rPr>
        <w:t xml:space="preserve"> подключением к сетям газораспределения (газопотребления), и (или) электроснабжения, и (или) водоснабжения, и (или) теплоснабжения.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В рамках подготовки </w:t>
        <w:br/>
        <w:t xml:space="preserve">к заседаниям комиссии с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val="ru-RU"/>
        </w:rPr>
        <w:t xml:space="preserve">пециалистами Департамента экономики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Администрации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города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val="ru-RU"/>
        </w:rPr>
        <w:t xml:space="preserve">проведены выезды (осмотры) с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val="ru-RU"/>
        </w:rPr>
        <w:t xml:space="preserve">фотофиксацией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val="ru-RU"/>
        </w:rPr>
        <w:t xml:space="preserve"> на место реализации каждого рассматриваемого проекта.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br/>
        <w:t xml:space="preserve">По результатам рассмотрения 22 заявлений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субъектов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малого и среднего предпринимательства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 комиссией рекомендовано предоставить вышеуказанную компенс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ацию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21 субъекту предпринимательства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.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</w:r>
      <w:r/>
    </w:p>
    <w:p>
      <w:pPr>
        <w:pStyle w:val="1160"/>
        <w:ind w:left="0" w:firstLine="709"/>
        <w:jc w:val="both"/>
        <w:rPr>
          <w:highlight w:val="none"/>
          <w:lang w:val="ru-RU"/>
        </w:rPr>
      </w:pP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По предварительным данным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о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бъем инвестиций </w:t>
        <w:br/>
        <w:t xml:space="preserve">по муниципальному образованию за 202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3 год составил </w:t>
        <w:br/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46 301,3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 м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лн руб., что на 32,7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%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меньше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 уточненных значений </w:t>
        <w:br/>
        <w:t xml:space="preserve">20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22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 года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Значительное снижение инвестиций отмечено по видам деятельности «предоставление услуг в области добычи полезных ископаемых» на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76,8%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, «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транспортировка и хранение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» на 46,6%,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«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деятельность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в области здравоохранения и социальных услуг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» </w:t>
        <w:br/>
        <w:t xml:space="preserve">на 82,8%.</w:t>
      </w:r>
      <w:r>
        <w:rPr>
          <w:highlight w:val="none"/>
          <w:lang w:val="ru-RU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По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данному показателю в абсолютном выражении муниципальное образование среди городских округов автономного округа занимает </w:t>
        <w:br/>
        <w:t xml:space="preserve">2 место.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В общем объеме инвестиций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(без субъектов малого предпринимательства)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на территории 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автономного округа 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доля муниципального образования 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составила 3,2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  <w:t xml:space="preserve">%.</w:t>
      </w:r>
      <w:r>
        <w:rPr>
          <w:rFonts w:ascii="Liberation Sans" w:hAnsi="Liberation Sans" w:cs="Liberation Sans"/>
          <w:color w:val="auto"/>
          <w:spacing w:val="-4"/>
          <w:sz w:val="28"/>
          <w:szCs w:val="28"/>
          <w:highlight w:val="none"/>
        </w:rPr>
      </w:r>
      <w:r/>
    </w:p>
    <w:p>
      <w:pPr>
        <w:contextualSpacing/>
        <w:ind w:firstLine="708"/>
        <w:jc w:val="both"/>
        <w:keepLines/>
        <w:spacing w:line="282" w:lineRule="atLeast"/>
        <w:rPr>
          <w:color w:val="auto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В 2023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году в структуре объема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инвестиций по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источник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ам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финансирования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доля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собственны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х средств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организаций занима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е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т 69,4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%,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доля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привлеченны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х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средств -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30,6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%, из которых бюджетные средства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45,3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%.</w:t>
      </w:r>
      <w:r>
        <w:rPr>
          <w:color w:val="auto"/>
          <w:highlight w:val="none"/>
        </w:rPr>
      </w:r>
      <w:r/>
    </w:p>
    <w:p>
      <w:pPr>
        <w:contextualSpacing/>
        <w:ind w:firstLine="708"/>
        <w:jc w:val="both"/>
        <w:keepLines/>
        <w:spacing w:after="0" w:afterAutospacing="0" w:line="240" w:lineRule="auto"/>
        <w:rPr>
          <w:rFonts w:ascii="Liberation Sans" w:hAnsi="Liberation Sans" w:cs="Liberation Sans"/>
          <w:color w:val="auto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Доля объема инвестиций по виду экономичес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кой деятельности «добыча полезных ископаемых» по-прежнему остается самой значительной в общем объеме инвестиций в основной капитал -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55,8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%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auto"/>
          <w:highlight w:val="none"/>
        </w:rPr>
      </w:r>
      <w:r/>
    </w:p>
    <w:p>
      <w:pPr>
        <w:pStyle w:val="1121"/>
        <w:ind w:firstLine="709"/>
        <w:jc w:val="both"/>
        <w:spacing w:before="0" w:beforeAutospacing="0" w:after="0" w:afterAutospacing="0" w:line="240" w:lineRule="auto"/>
        <w:tabs>
          <w:tab w:val="left" w:pos="1134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946"/>
        <w:numPr>
          <w:ilvl w:val="1"/>
          <w:numId w:val="1"/>
        </w:numPr>
        <w:ind w:left="0" w:firstLine="0"/>
        <w:jc w:val="center"/>
        <w:spacing w:before="0" w:beforeAutospacing="0" w:after="0" w:afterAutospacing="0" w:line="240" w:lineRule="auto"/>
        <w:tabs>
          <w:tab w:val="left" w:pos="426" w:leader="none"/>
        </w:tabs>
        <w:rPr>
          <w:rFonts w:ascii="Liberation Sans" w:hAnsi="Liberation Sans" w:cs="Liberation Sans"/>
          <w:sz w:val="28"/>
          <w:szCs w:val="28"/>
        </w:rPr>
      </w:pPr>
      <w:r/>
      <w:bookmarkStart w:id="26" w:name="_Toc26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Осуществление международных </w:t>
        <w:br/>
        <w:t xml:space="preserve">и внешнеэкономических связей</w:t>
      </w:r>
      <w:bookmarkEnd w:id="0"/>
      <w:r/>
      <w:bookmarkEnd w:id="26"/>
      <w:r>
        <w:rPr>
          <w:rFonts w:ascii="Liberation Sans" w:hAnsi="Liberation Sans" w:cs="Liberation Sans"/>
          <w:sz w:val="28"/>
          <w:szCs w:val="28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  <w:rPr>
          <w:sz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условиях экономических санкций и снижения межгосударственных контактов одним из приоритетов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br/>
        <w:t xml:space="preserve">в международных межмуниципальных связях является развитие сотрудни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чества со странами СНГ, ШОС и БРИКС.</w:t>
      </w:r>
      <w:r>
        <w:rPr>
          <w:sz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sz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202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3 году в международных мероприятиях спортивной направленности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з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а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пределами Российской Федерации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принял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и участие 17 человек:</w:t>
      </w:r>
      <w:r>
        <w:rPr>
          <w:sz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sz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- 60-й международный турнир по боксу «Победитель Белграда» (28.03.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2023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- 03.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04.2023,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г. Белград, Республика Сербия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)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;</w:t>
      </w:r>
      <w:r>
        <w:rPr>
          <w:sz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sz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м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еждународный турнир по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карате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(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кёкусин-кан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) «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Lida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open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Cup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» (09.11.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2023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- 15.11.2023, г. Лида, Республика Беларусь);</w:t>
      </w:r>
      <w:r>
        <w:rPr>
          <w:sz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sz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р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ождественский международный турнир по волейбол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у «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Future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Stars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» (21.12.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2023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- 24.12.2023,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г. София, Республика Болгария).</w:t>
      </w:r>
      <w:r>
        <w:rPr>
          <w:highlight w:val="none"/>
        </w:rPr>
        <w:t xml:space="preserve"> </w:t>
      </w:r>
      <w:r>
        <w:rPr>
          <w:sz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sz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международных мероприятиях на территории Ямало-Ненецкого автономного округа,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других субъектов Российской Федерации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br/>
        <w:t xml:space="preserve">в 2023 году приняли участие 30 человек:</w:t>
      </w:r>
      <w:r>
        <w:rPr>
          <w:sz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sz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ткрытый турнир Федерации тяж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елой атлетики России </w:t>
        <w:br/>
        <w:t xml:space="preserve">(13.06.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2023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- 16.06.2023, г. Новый Уренгой);</w:t>
      </w:r>
      <w:r>
        <w:rPr>
          <w:sz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sz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 Арктический международный детский турнир по волейболу «Кубок Губернатора Ямала - 2023» (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11.09.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2023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- 18.09.2023, г. Новый Уренгой);</w:t>
      </w:r>
      <w:r>
        <w:rPr>
          <w:sz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sz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м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еждународные соревнования по прыжкам на батуте «Кубок </w:t>
        <w:br/>
        <w:t xml:space="preserve">Г.Т. Добровольского» (20.09.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2023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- 24.09.2023, г. Санкт-Петербург);</w:t>
      </w:r>
      <w:r>
        <w:rPr>
          <w:sz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sz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м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еждународные соревнования по боксу «Янтарные перчатки» (30.11.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2023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- 04.12.2023,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г. Калининград);</w:t>
      </w:r>
      <w:r>
        <w:rPr>
          <w:sz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м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еждународный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ф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естиваль бокса в Ямало-Ненецком автономном округе - «Северный характер» (21.12.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2023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- 23.1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2.2023, г. Новый Уренгой).</w:t>
      </w:r>
      <w:r>
        <w:rPr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yellow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yellow"/>
        </w:rPr>
      </w:r>
      <w:r>
        <w:rPr>
          <w:rFonts w:ascii="Liberation Sans" w:hAnsi="Liberation Sans" w:cs="Liberation Sans"/>
          <w:sz w:val="28"/>
          <w:szCs w:val="28"/>
          <w:highlight w:val="yellow"/>
        </w:rPr>
      </w:r>
      <w:r/>
    </w:p>
    <w:p>
      <w:pPr>
        <w:pStyle w:val="946"/>
        <w:numPr>
          <w:ilvl w:val="1"/>
          <w:numId w:val="1"/>
        </w:numPr>
        <w:ind w:left="0" w:firstLine="0"/>
        <w:jc w:val="center"/>
        <w:spacing w:before="0" w:beforeAutospacing="0" w:after="0" w:afterAutospacing="0" w:line="240" w:lineRule="auto"/>
        <w:tabs>
          <w:tab w:val="left" w:pos="426" w:leader="none"/>
        </w:tabs>
        <w:rPr>
          <w:rFonts w:ascii="Liberation Sans" w:hAnsi="Liberation Sans" w:cs="Liberation Sans"/>
          <w:sz w:val="28"/>
          <w:szCs w:val="28"/>
        </w:rPr>
      </w:pPr>
      <w:r/>
      <w:bookmarkStart w:id="27" w:name="_Toc27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/>
      <w:bookmarkEnd w:id="0"/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Специальная военная операция</w:t>
      </w:r>
      <w:bookmarkEnd w:id="27"/>
      <w:r>
        <w:rPr>
          <w:rFonts w:ascii="Liberation Sans" w:hAnsi="Liberation Sans" w:cs="Liberation Sans"/>
          <w:sz w:val="28"/>
          <w:szCs w:val="28"/>
        </w:rPr>
      </w:r>
      <w:r/>
    </w:p>
    <w:p>
      <w:pPr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b w:val="0"/>
          <w:bCs w:val="0"/>
          <w:color w:val="000000" w:themeColor="text1"/>
          <w:sz w:val="28"/>
          <w:szCs w:val="28"/>
        </w:rPr>
      </w:pP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white"/>
          <w:lang w:eastAsia="en-US"/>
        </w:rPr>
        <w:t xml:space="preserve">С первых дней специальной военной операции (далее - СВО)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white"/>
          <w:lang w:eastAsia="en-US"/>
        </w:rPr>
        <w:t xml:space="preserve">новоурен</w:t>
      </w:r>
      <w:r>
        <w:rPr>
          <w:rFonts w:ascii="Liberation Sans" w:hAnsi="Liberation Sans" w:eastAsia="Roboto" w:cs="Liberation Sans"/>
          <w:b w:val="0"/>
          <w:bCs w:val="0"/>
          <w:color w:val="000000" w:themeColor="text1"/>
          <w:sz w:val="28"/>
          <w:szCs w:val="28"/>
          <w:highlight w:val="white"/>
          <w:lang w:eastAsia="en-US"/>
        </w:rPr>
        <w:t xml:space="preserve">гойцы</w:t>
      </w:r>
      <w:r>
        <w:rPr>
          <w:rFonts w:ascii="Liberation Sans" w:hAnsi="Liberation Sans" w:eastAsia="Roboto" w:cs="Liberation Sans"/>
          <w:b w:val="0"/>
          <w:bCs w:val="0"/>
          <w:color w:val="000000" w:themeColor="text1"/>
          <w:sz w:val="28"/>
          <w:szCs w:val="28"/>
          <w:highlight w:val="white"/>
          <w:lang w:eastAsia="en-US"/>
        </w:rPr>
        <w:t xml:space="preserve">, общественники, волонтеры, организации города объединились для помощи военнослужащим </w:t>
      </w:r>
      <w:r>
        <w:rPr>
          <w:rFonts w:ascii="Liberation Sans" w:hAnsi="Liberation Sans" w:eastAsia="Roboto" w:cs="Liberation Sans"/>
          <w:b w:val="0"/>
          <w:bCs w:val="0"/>
          <w:color w:val="000000" w:themeColor="text1"/>
          <w:sz w:val="28"/>
          <w:szCs w:val="28"/>
          <w:highlight w:val="white"/>
          <w:lang w:eastAsia="en-US"/>
        </w:rPr>
        <w:t xml:space="preserve">и</w:t>
      </w:r>
      <w:r>
        <w:rPr>
          <w:rFonts w:ascii="Liberation Sans" w:hAnsi="Liberation Sans" w:eastAsia="Roboto" w:cs="Liberation Sans"/>
          <w:b w:val="0"/>
          <w:bCs w:val="0"/>
          <w:color w:val="000000" w:themeColor="text1"/>
          <w:sz w:val="28"/>
          <w:szCs w:val="28"/>
          <w:highlight w:val="white"/>
          <w:lang w:eastAsia="en-US"/>
        </w:rPr>
        <w:t xml:space="preserve"> </w:t>
      </w:r>
      <w:r>
        <w:rPr>
          <w:rFonts w:ascii="Liberation Sans" w:hAnsi="Liberation Sans" w:eastAsia="Roboto" w:cs="Liberation Sans"/>
          <w:b w:val="0"/>
          <w:bCs w:val="0"/>
          <w:color w:val="000000" w:themeColor="text1"/>
          <w:sz w:val="28"/>
          <w:szCs w:val="28"/>
          <w:highlight w:val="white"/>
          <w:lang w:eastAsia="en-US"/>
        </w:rPr>
        <w:t xml:space="preserve">жителям новых территорий</w:t>
      </w:r>
      <w:r>
        <w:rPr>
          <w:rFonts w:ascii="Liberation Sans" w:hAnsi="Liberation Sans" w:eastAsia="Roboto" w:cs="Liberation Sans"/>
          <w:b w:val="0"/>
          <w:bCs w:val="0"/>
          <w:color w:val="000000" w:themeColor="text1"/>
          <w:sz w:val="28"/>
          <w:szCs w:val="28"/>
          <w:highlight w:val="white"/>
          <w:lang w:eastAsia="en-US"/>
        </w:rPr>
        <w:t xml:space="preserve">.</w:t>
      </w:r>
      <w:r>
        <w:rPr>
          <w:b w:val="0"/>
          <w:bCs w:val="0"/>
          <w:color w:val="000000" w:themeColor="text1"/>
          <w:sz w:val="28"/>
          <w:szCs w:val="28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01.07.2023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открыт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филиал Государственного фонда поддержки участников СВО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«Защитники О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течества»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по Ямало-Ненецкому автономному округу в Новом Уренгое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по адресу: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м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кр. Тундровый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д. 6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</w:r>
      <w:r>
        <w:rPr>
          <w:rFonts w:ascii="Liberation Sans" w:hAnsi="Liberation Sans" w:eastAsia="Liberation Serif" w:cs="Liberation Sans"/>
          <w:color w:val="000000"/>
          <w:sz w:val="28"/>
          <w:szCs w:val="28"/>
          <w:highlight w:val="none"/>
        </w:rPr>
        <w:t xml:space="preserve">С</w:t>
      </w:r>
      <w:r>
        <w:rPr>
          <w:rFonts w:ascii="Liberation Sans" w:hAnsi="Liberation Sans" w:eastAsia="Liberation Serif" w:cs="Liberation Sans"/>
          <w:color w:val="000000"/>
          <w:sz w:val="28"/>
          <w:szCs w:val="28"/>
          <w:highlight w:val="none"/>
        </w:rPr>
        <w:t xml:space="preserve"> целью организации работы</w:t>
      </w:r>
      <w:r>
        <w:rPr>
          <w:rFonts w:ascii="Liberation Sans" w:hAnsi="Liberation Sans" w:eastAsia="Arial" w:cs="Liberation Sans"/>
          <w:color w:val="000000"/>
          <w:sz w:val="28"/>
          <w:szCs w:val="28"/>
          <w:highlight w:val="none"/>
        </w:rPr>
        <w:t xml:space="preserve"> отделения социального сопровождения участников СВО и их семей приобретены </w:t>
      </w:r>
      <w:r>
        <w:rPr>
          <w:rFonts w:ascii="Liberation Sans" w:hAnsi="Liberation Sans" w:eastAsia="Liberation Serif" w:cs="Liberation Sans"/>
          <w:color w:val="000000"/>
          <w:sz w:val="28"/>
          <w:szCs w:val="28"/>
          <w:highlight w:val="none"/>
        </w:rPr>
        <w:t xml:space="preserve">и переданы в безвозмездное пользование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государственному бюджетному учреждению Ямало-Ненецкого автономного округа «Центр социального обслуживания населения «Садко» в муниципальном образовании город Новый Уренгой»</w:t>
      </w:r>
      <w:r>
        <w:rPr>
          <w:rFonts w:ascii="Liberation Sans" w:hAnsi="Liberation Sans" w:eastAsia="Liberation Serif" w:cs="Liberation Sans"/>
          <w:color w:val="000000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/>
          <w:sz w:val="28"/>
          <w:szCs w:val="28"/>
          <w:highlight w:val="none"/>
        </w:rPr>
        <w:t xml:space="preserve">н</w:t>
      </w:r>
      <w:r>
        <w:rPr>
          <w:rFonts w:ascii="Liberation Sans" w:hAnsi="Liberation Sans" w:eastAsia="Liberation Serif" w:cs="Liberation Sans"/>
          <w:color w:val="000000"/>
          <w:sz w:val="28"/>
          <w:szCs w:val="28"/>
          <w:highlight w:val="none"/>
        </w:rPr>
        <w:t xml:space="preserve">ежилые поме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щения в мкр. Тундровый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д. 6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общей площадью 597,8 кв. м. </w:t>
      </w:r>
      <w:r>
        <w:rPr>
          <w:rFonts w:ascii="Liberation Sans" w:hAnsi="Liberation Sans" w:eastAsia="Arial" w:cs="Liberation Sans"/>
          <w:color w:val="000000"/>
          <w:sz w:val="28"/>
          <w:szCs w:val="28"/>
          <w:highlight w:val="none"/>
        </w:rPr>
        <w:t xml:space="preserve">О</w:t>
      </w:r>
      <w:r>
        <w:rPr>
          <w:rFonts w:ascii="Liberation Sans" w:hAnsi="Liberation Sans" w:eastAsia="Arial" w:cs="Liberation Sans"/>
          <w:color w:val="000000"/>
          <w:sz w:val="28"/>
          <w:szCs w:val="28"/>
          <w:highlight w:val="none"/>
        </w:rPr>
        <w:t xml:space="preserve">тделение социального сопровождения участников СВО и их семей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государственного бюджетного учреждения Ямало-Ненецкого автономного округа «Центр социального обслуживания населения «Садко» в муниципальном образовании город Новый Уренгой»</w:t>
      </w:r>
      <w:r>
        <w:rPr>
          <w:rFonts w:ascii="Liberation Sans" w:hAnsi="Liberation Sans" w:eastAsia="Liberation Serif" w:cs="Liberation Sans"/>
          <w:color w:val="000000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открыто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15.08.2023.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Налажено тесное сотрудничество с </w:t>
      </w:r>
      <w:r>
        <w:rPr>
          <w:rFonts w:ascii="Liberation Sans" w:hAnsi="Liberation Sans" w:eastAsia="Arial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региональным и городским штабами Автономной некоммерческой организации «Комитет семе</w:t>
      </w:r>
      <w:r>
        <w:rPr>
          <w:rFonts w:ascii="Liberation Sans" w:hAnsi="Liberation Sans" w:eastAsia="Arial" w:cs="Liberation Sans"/>
          <w:b w:val="0"/>
          <w:bCs w:val="0"/>
          <w:color w:val="000000" w:themeColor="text1"/>
          <w:sz w:val="28"/>
          <w:szCs w:val="28"/>
          <w:highlight w:val="white"/>
        </w:rPr>
        <w:t xml:space="preserve">й воинов Отечества»</w:t>
      </w:r>
      <w:r>
        <w:rPr>
          <w:rFonts w:ascii="Liberation Sans" w:hAnsi="Liberation Sans" w:eastAsia="Arial" w:cs="Liberation Sans"/>
          <w:b w:val="0"/>
          <w:bCs w:val="0"/>
          <w:color w:val="000000" w:themeColor="text1"/>
          <w:sz w:val="28"/>
          <w:szCs w:val="28"/>
        </w:rPr>
        <w:t xml:space="preserve">.</w:t>
      </w:r>
      <w:r>
        <w:rPr>
          <w:rFonts w:ascii="Liberation Sans" w:hAnsi="Liberation Sans" w:cs="Liberation Sans"/>
          <w:b w:val="0"/>
          <w:bCs w:val="0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В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Но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white"/>
          <w:lang w:eastAsia="en-US"/>
        </w:rPr>
        <w:t xml:space="preserve">вом Уренгое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white"/>
          <w:lang w:eastAsia="en-US"/>
        </w:rPr>
        <w:t xml:space="preserve">за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white"/>
          <w:lang w:eastAsia="en-US"/>
        </w:rPr>
        <w:t xml:space="preserve">каждой семьей участников СВО закреплен куратор из числа депутатов Городской Думы, заместителей Главы Администрации города, руководителей органов Администрации города, руководителей организаций, учреждений города (далее - кураторы).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white"/>
          <w:lang w:eastAsia="en-US"/>
        </w:rPr>
        <w:t xml:space="preserve">Родным и близким участников СВО обеспечен индивидуальный подход,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white"/>
          <w:lang w:eastAsia="en-US"/>
        </w:rPr>
        <w:t xml:space="preserve">кураторы постоянно находятся на связи с закреплёнными за ними семьями.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white"/>
          <w:lang w:eastAsia="en-US"/>
        </w:rPr>
        <w:t xml:space="preserve">Для оперативного решения поступающих вопросов создан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white"/>
          <w:lang w:eastAsia="en-US"/>
        </w:rPr>
        <w:t xml:space="preserve">телеграм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white"/>
          <w:lang w:eastAsia="en-US"/>
        </w:rPr>
        <w:t xml:space="preserve">-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white"/>
          <w:lang w:eastAsia="en-US"/>
        </w:rPr>
        <w:t xml:space="preserve">чат кураторов. Тематика обращений в основном связана </w:t>
        <w:br/>
        <w:t xml:space="preserve">с оказанием бытовой помощи, жилищными и медицинскими вопросами, консультациями по выплатам и льготам. Отработано более 380 заявок.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b w:val="0"/>
          <w:bCs w:val="0"/>
          <w:sz w:val="28"/>
          <w:szCs w:val="28"/>
          <w:highlight w:val="none"/>
        </w:rPr>
      </w:pP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white"/>
          <w:lang w:eastAsia="en-US"/>
        </w:rPr>
        <w:t xml:space="preserve">С целью выявления и удовлетворения социально-бытовых потребностей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white"/>
          <w:lang w:eastAsia="en-US"/>
        </w:rPr>
        <w:t xml:space="preserve">Главой города в 2023 году проведены личные встречи </w:t>
        <w:br/>
        <w:t xml:space="preserve">со всеми семьями мобилизованных, в том числе онлайн-встречи </w:t>
        <w:br/>
        <w:t xml:space="preserve">с 15 семьями, постоянно проживающими за пределами города. </w:t>
      </w:r>
      <w:r>
        <w:rPr>
          <w:b w:val="0"/>
          <w:bCs w:val="0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white"/>
          <w:lang w:eastAsia="en-US"/>
        </w:rPr>
        <w:t xml:space="preserve">В муниципальном образовании в целях поддержки участников СВО и членов их семей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white"/>
          <w:lang w:eastAsia="en-US"/>
        </w:rPr>
        <w:t xml:space="preserve">предоставляются следующие меры поддержки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:lang w:eastAsia="en-US"/>
        </w:rPr>
        <w:t xml:space="preserve">: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eastAsia="Roboto" w:cs="Liberation Sans"/>
          <w:b w:val="0"/>
          <w:bCs/>
          <w:i/>
          <w:color w:val="000000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Roboto" w:cs="Liberation Sans"/>
          <w:b w:val="0"/>
          <w:bCs w:val="0"/>
          <w:i/>
          <w:iCs/>
          <w:color w:val="000000"/>
          <w:sz w:val="28"/>
          <w:szCs w:val="28"/>
          <w:highlight w:val="none"/>
          <w:lang w:eastAsia="en-US"/>
        </w:rPr>
        <w:t xml:space="preserve">- </w:t>
      </w:r>
      <w:r>
        <w:rPr>
          <w:rFonts w:ascii="Liberation Sans" w:hAnsi="Liberation Sans" w:eastAsia="Roboto" w:cs="Liberation Sans"/>
          <w:b w:val="0"/>
          <w:bCs w:val="0"/>
          <w:i/>
          <w:iCs/>
          <w:color w:val="000000"/>
          <w:sz w:val="28"/>
          <w:szCs w:val="28"/>
          <w:highlight w:val="none"/>
          <w:lang w:eastAsia="en-US"/>
          <w14:ligatures w14:val="none"/>
        </w:rPr>
        <w:t xml:space="preserve">в сфере жилищной политики:</w:t>
      </w:r>
      <w:r>
        <w:rPr>
          <w:rFonts w:ascii="Liberation Sans" w:hAnsi="Liberation Sans" w:eastAsia="Roboto" w:cs="Liberation Sans"/>
          <w:b w:val="0"/>
          <w:bCs/>
          <w:i/>
          <w:color w:val="000000"/>
          <w:sz w:val="28"/>
          <w:szCs w:val="28"/>
          <w:highlight w:val="none"/>
          <w14:ligatures w14:val="none"/>
        </w:rPr>
      </w:r>
      <w:r/>
    </w:p>
    <w:p>
      <w:pPr>
        <w:ind w:firstLine="1417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suppressLineNumbers w:val="0"/>
      </w:pP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:lang w:eastAsia="en-US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дополнительные меры социальной поддержки </w:t>
        <w:br/>
        <w:t xml:space="preserve">по освобождению от уплаты арендных платежей п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 договорам аренды недвижимого (движимого) муниципального имущества муниципальног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 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бразования город Новый Уренгой, земельных участков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находящихся </w:t>
        <w:br/>
        <w:t xml:space="preserve">в собственности муниципального образования город Новый Уренгой, земельных участков, государственная собственность на которые </w:t>
        <w:br/>
        <w:t xml:space="preserve">не разграничена, пени по договорам купли-продажи (мены) квартир </w:t>
        <w:br/>
        <w:t xml:space="preserve">с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рассрочкой части платежа, соглашениям об изъятии недвижимого имущества для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муниципальных нужд путем мены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гражданам, участвующим в специальной военной операции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решение Городской Думы муниципального образования город Новый Уренгой от 22.12.2022 № 192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(в ре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акции решения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Городской Думы муниципального образования город Новый Уренгой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от 28.09.2023 № 255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рендаторы, участвующие (участвовавшие) в специальной военной операции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или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ч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лены их семей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 за оказанием данной поддержки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в </w:t>
      </w:r>
      <w:r>
        <w:rPr>
          <w:rFonts w:ascii="Liberation Sans" w:hAnsi="Liberation Sans" w:cs="Liberation Sans"/>
          <w:sz w:val="28"/>
          <w:szCs w:val="28"/>
          <w:highlight w:val="white"/>
          <w:lang w:val="ru-RU"/>
        </w:rPr>
        <w:t xml:space="preserve">2023 году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 </w:t>
        <w:br/>
        <w:t xml:space="preserve">не обращались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1417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- 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предостав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ление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с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01.09.2023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земельного участка </w:t>
        <w:br/>
        <w:t xml:space="preserve">в собственность бесплатно участникам СВО, удостоенным звания Героя Российской Федерац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ии или награжденным орденами Росс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ийской Федерации за заслуги, проявленные в ходе участия в СВО, и явля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ющимся ветеранами боевых действий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и  членам семей участников СВО, погибших (умерших) в ходе участия в СВО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(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Закон ЯНАО от 19.06.2009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№ 39-ЗАО 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 регулировании отдельных земельных отношений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Ямало-Ненецком автономном округе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поставлены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на учет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для предоставления земельного участка </w:t>
        <w:br/>
        <w:t xml:space="preserve">для индивидуального жилищного строительства, ведения личного подсобного хозяйства в границах населенного пункта в пр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иорите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тном внеочередном порядке: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 участник специальной военной операции,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  <w:br/>
        <w:t xml:space="preserve">3 члена семей погибших участников специальной военной операции; 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1417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первооче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редное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п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редоставление социальных выплат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взамен земельного участка в собственность бесплатно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многодетным семьям, члены семьи которой являются ветераном (инвалидом) боевых действ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ий 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(</w:t>
      </w:r>
      <w:r>
        <w:rPr>
          <w:rFonts w:ascii="Liberation Sans" w:hAnsi="Liberation Sans" w:eastAsia="Arial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постановление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Arial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Правительства ЯНАО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Arial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от 18.02.2016 </w:t>
        <w:br/>
        <w:t xml:space="preserve">№ 110-П </w:t>
      </w:r>
      <w:r>
        <w:rPr>
          <w:rFonts w:ascii="Liberation Sans" w:hAnsi="Liberation Sans" w:eastAsia="Arial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«Об утверждении Порядка предоставления социальных выплат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14:ligatures w14:val="none"/>
        </w:rPr>
        <w:t xml:space="preserve"> </w:t>
      </w:r>
      <w:r>
        <w:rPr>
          <w:rFonts w:ascii="Liberation Sans" w:hAnsi="Liberation Sans" w:eastAsia="Arial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гражданам, имеющим трех и более детей, взамен предоставления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Arial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земельного участка в собственность бесплатно»)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14:ligatures w14:val="none"/>
        </w:rPr>
        <w:t xml:space="preserve">. </w:t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2023 году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многодетные семьи, члены семьи которой являются ветераном (инвалидом) боевых действ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ий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за оказанием данной поддержки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не обращались</w:t>
      </w:r>
      <w:r>
        <w:rPr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1417"/>
        <w:jc w:val="both"/>
        <w:spacing w:before="0" w:beforeAutospacing="0" w:after="0" w:afterAutospacing="0" w:line="240" w:lineRule="auto"/>
        <w:rPr>
          <w:rFonts w:ascii="Liberation Sans" w:hAnsi="Liberation Sans" w:eastAsia="Liberation Sans" w:cs="Liberation Sans"/>
          <w:color w:val="000000"/>
          <w:sz w:val="28"/>
          <w:szCs w:val="28"/>
          <w:highlight w:val="white"/>
          <w14:ligatures w14:val="none"/>
        </w:rPr>
        <w:suppressLineNumbers w:val="0"/>
      </w:pPr>
      <w:r>
        <w:rPr>
          <w:rFonts w:ascii="Liberation Sans" w:hAnsi="Liberation Sans" w:cs="Liberation Sans"/>
          <w:b w:val="0"/>
          <w:bCs w:val="0"/>
          <w:color w:val="ff0000"/>
          <w:sz w:val="28"/>
          <w:szCs w:val="28"/>
        </w:rPr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  <w:t xml:space="preserve">-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white"/>
        </w:rPr>
        <w:t xml:space="preserve">первоочередное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 предоставление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white"/>
        </w:rPr>
        <w:t xml:space="preserve">социальной выплаты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white"/>
        </w:rPr>
        <w:t xml:space="preserve">семьям, в составе которых имеются ветераны боевых действий и (или) члены их семьи либо военнослужащие и (или) члены их семьи,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white"/>
        </w:rPr>
        <w:t xml:space="preserve">с целью поддержки в рамках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реализации п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рограммы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 «Молодая семья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white"/>
        </w:rPr>
        <w:t xml:space="preserve">»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white"/>
        </w:rPr>
        <w:t xml:space="preserve">(распоря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white"/>
        </w:rPr>
        <w:t xml:space="preserve">ж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white"/>
        </w:rPr>
        <w:t xml:space="preserve">ение Губернатора ЯНАО от 11.10.2022 № 244-р </w:t>
        <w:br/>
        <w:t xml:space="preserve">«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white"/>
        </w:rPr>
        <w:t xml:space="preserve">О некоторых вопросах предоставления дополнительных мер</w:t>
        <w:br/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white"/>
        </w:rPr>
        <w:t xml:space="preserve">социальной поддержки военнослужащим и членам их семей» (далее -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white"/>
        </w:rPr>
        <w:t xml:space="preserve">распоря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white"/>
        </w:rPr>
        <w:t xml:space="preserve">ж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white"/>
        </w:rPr>
        <w:t xml:space="preserve">ение Губернатора ЯНАО от 11.10.2022 № 244-р)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white"/>
        </w:rPr>
        <w:t xml:space="preserve">, постановление Правительства ЯНАО от 12.02.2019 № 112-П </w:t>
        <w:br/>
        <w:t xml:space="preserve">«О предоставлении социальных выплат на приобретение (строительство) жилья семьям в Ямало-Ненецком ав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white"/>
        </w:rPr>
        <w:t xml:space="preserve">тономном округе»).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В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white"/>
        </w:rPr>
        <w:t xml:space="preserve"> 2023 году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white"/>
        </w:rPr>
        <w:t xml:space="preserve">11 семей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 данной категории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white"/>
        </w:rPr>
        <w:t xml:space="preserve">получили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выплаты </w:t>
        <w:br/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white"/>
        </w:rPr>
        <w:t xml:space="preserve">в сумме 20 116,1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 тыс. руб.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 (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2022 год - 1 семья в сумме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white"/>
        </w:rPr>
        <w:t xml:space="preserve">1 477,4 тыс. руб.)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;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white"/>
          <w14:ligatures w14:val="none"/>
        </w:rPr>
      </w:r>
      <w:r/>
    </w:p>
    <w:p>
      <w:pPr>
        <w:ind w:left="0" w:right="0" w:firstLine="1417"/>
        <w:jc w:val="both"/>
        <w:spacing w:before="0" w:after="0" w:line="240" w:lineRule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-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8 членам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семей участников СВО предоставлены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ж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white"/>
        </w:rPr>
        <w:t xml:space="preserve">илые помещения муниципального специализированного жилищного фонда на время трудовых отношений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;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eastAsia="Roboto" w:cs="Liberation Sans"/>
          <w:b w:val="0"/>
          <w:bCs/>
          <w:i/>
          <w:color w:val="000000"/>
          <w:sz w:val="28"/>
          <w:szCs w:val="28"/>
          <w:highlight w:val="none"/>
        </w:rPr>
      </w:pPr>
      <w:r>
        <w:rPr>
          <w:rFonts w:ascii="Liberation Sans" w:hAnsi="Liberation Sans" w:eastAsia="Roboto" w:cs="Liberation Sans"/>
          <w:b w:val="0"/>
          <w:bCs w:val="0"/>
          <w:i/>
          <w:iCs/>
          <w:color w:val="000000"/>
          <w:sz w:val="28"/>
          <w:szCs w:val="28"/>
          <w:highlight w:val="none"/>
          <w:lang w:eastAsia="en-US"/>
        </w:rPr>
        <w:t xml:space="preserve">- </w:t>
      </w:r>
      <w:r>
        <w:rPr>
          <w:rFonts w:ascii="Liberation Sans" w:hAnsi="Liberation Sans" w:eastAsia="Roboto" w:cs="Liberation Sans"/>
          <w:b w:val="0"/>
          <w:bCs w:val="0"/>
          <w:i/>
          <w:iCs/>
          <w:color w:val="000000"/>
          <w:sz w:val="28"/>
          <w:szCs w:val="28"/>
          <w:highlight w:val="none"/>
          <w:lang w:eastAsia="en-US"/>
          <w14:ligatures w14:val="none"/>
        </w:rPr>
        <w:t xml:space="preserve">в сфере городского хозяйства:</w:t>
      </w:r>
      <w:r>
        <w:rPr>
          <w:rFonts w:ascii="Liberation Sans" w:hAnsi="Liberation Sans" w:eastAsia="Roboto" w:cs="Liberation Sans"/>
          <w:b w:val="0"/>
          <w:bCs/>
          <w:i/>
          <w:color w:val="000000"/>
          <w:sz w:val="28"/>
          <w:szCs w:val="28"/>
          <w:highlight w:val="none"/>
        </w:rPr>
      </w:r>
      <w:r/>
    </w:p>
    <w:p>
      <w:pPr>
        <w:ind w:firstLine="1417"/>
        <w:jc w:val="both"/>
        <w:spacing w:after="0" w:afterAutospacing="0" w:line="240" w:lineRule="auto"/>
        <w:rPr>
          <w:rFonts w:ascii="Liberation Sans" w:hAnsi="Liberation Sans" w:eastAsia="Roboto" w:cs="Liberation Sans"/>
          <w:b w:val="0"/>
          <w:bCs w:val="0"/>
          <w:color w:val="000000" w:themeColor="text1"/>
          <w:sz w:val="28"/>
          <w:szCs w:val="28"/>
          <w:highlight w:val="yellow"/>
          <w14:ligatures w14:val="none"/>
        </w:rPr>
        <w:suppressLineNumbers w:val="0"/>
      </w:pPr>
      <w:r>
        <w:rPr>
          <w:rFonts w:ascii="Liberation Sans" w:hAnsi="Liberation Sans" w:eastAsia="Roboto" w:cs="Liberation Sans"/>
          <w:b w:val="0"/>
          <w:bCs w:val="0"/>
          <w:color w:val="000000" w:themeColor="text1"/>
          <w:sz w:val="28"/>
          <w:szCs w:val="28"/>
          <w:highlight w:val="none"/>
          <w:lang w:eastAsia="en-US"/>
          <w14:ligatures w14:val="none"/>
        </w:rPr>
      </w:r>
      <w:r>
        <w:rPr>
          <w:rFonts w:ascii="Liberation Sans" w:hAnsi="Liberation Sans" w:eastAsia="Roboto" w:cs="Liberation Sans"/>
          <w:b w:val="0"/>
          <w:bCs w:val="0"/>
          <w:color w:val="000000" w:themeColor="text1"/>
          <w:sz w:val="28"/>
          <w:szCs w:val="28"/>
          <w:highlight w:val="none"/>
          <w:lang w:eastAsia="en-US"/>
          <w14:ligatures w14:val="none"/>
        </w:rPr>
        <w:t xml:space="preserve">-</w:t>
      </w:r>
      <w:r>
        <w:rPr>
          <w:rFonts w:ascii="Liberation Sans" w:hAnsi="Liberation Sans" w:eastAsia="Roboto" w:cs="Liberation Sans"/>
          <w:b w:val="0"/>
          <w:bCs w:val="0"/>
          <w:color w:val="000000" w:themeColor="text1"/>
          <w:sz w:val="28"/>
          <w:szCs w:val="28"/>
          <w:highlight w:val="none"/>
          <w:lang w:eastAsia="en-US"/>
          <w14:ligatures w14:val="none"/>
        </w:rPr>
        <w:t xml:space="preserve"> </w:t>
      </w:r>
      <w:r>
        <w:rPr>
          <w:rFonts w:ascii="Liberation Sans" w:hAnsi="Liberation Sans" w:eastAsia="Roboto" w:cs="Liberation Sans"/>
          <w:b w:val="0"/>
          <w:bCs w:val="0"/>
          <w:color w:val="000000" w:themeColor="text1"/>
          <w:sz w:val="28"/>
          <w:szCs w:val="28"/>
          <w:highlight w:val="none"/>
          <w:lang w:eastAsia="en-US"/>
          <w14:ligatures w14:val="none"/>
        </w:rPr>
        <w:t xml:space="preserve">предо</w:t>
      </w:r>
      <w:r>
        <w:rPr>
          <w:rFonts w:ascii="Liberation Sans" w:hAnsi="Liberation Sans" w:eastAsia="Roboto" w:cs="Liberation Sans"/>
          <w:b w:val="0"/>
          <w:bCs w:val="0"/>
          <w:color w:val="000000" w:themeColor="text1"/>
          <w:sz w:val="28"/>
          <w:szCs w:val="28"/>
          <w:highlight w:val="none"/>
          <w:lang w:eastAsia="en-US"/>
          <w14:ligatures w14:val="none"/>
        </w:rPr>
        <w:t xml:space="preserve">ставление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выплаты по догазификации индивидуальных жилых домов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в сумме</w:t>
      </w:r>
      <w:r>
        <w:rPr>
          <w:rFonts w:ascii="Liberation Sans" w:hAnsi="Liberation Sans" w:eastAsia="Roboto" w:cs="Liberation Sans"/>
          <w:b w:val="0"/>
          <w:bCs w:val="0"/>
          <w:color w:val="000000" w:themeColor="text1"/>
          <w:sz w:val="28"/>
          <w:szCs w:val="28"/>
          <w:highlight w:val="none"/>
          <w:lang w:eastAsia="en-US"/>
          <w14:ligatures w14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300 тыс. руб.</w:t>
      </w:r>
      <w:r>
        <w:rPr>
          <w:rFonts w:ascii="Liberation Sans" w:hAnsi="Liberation Sans" w:eastAsia="Roboto" w:cs="Liberation Sans"/>
          <w:b w:val="0"/>
          <w:bCs w:val="0"/>
          <w:color w:val="000000" w:themeColor="text1"/>
          <w:sz w:val="28"/>
          <w:szCs w:val="28"/>
          <w:highlight w:val="none"/>
          <w:lang w:eastAsia="en-US"/>
          <w14:ligatures w14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гражданам, участвующим (участвовавшим) в СВО, либо любым из членов его семьи</w:t>
      </w:r>
      <w:r>
        <w:rPr>
          <w:rFonts w:ascii="Liberation Sans" w:hAnsi="Liberation Sans" w:eastAsia="Roboto" w:cs="Liberation Sans"/>
          <w:b w:val="0"/>
          <w:bCs w:val="0"/>
          <w:color w:val="000000" w:themeColor="text1"/>
          <w:sz w:val="28"/>
          <w:szCs w:val="28"/>
          <w:highlight w:val="none"/>
          <w:lang w:eastAsia="en-US"/>
          <w14:ligatures w14:val="none"/>
        </w:rPr>
        <w:t xml:space="preserve"> (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по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становление Правительства ЯНАО от 30.06.2023 № 532-П </w:t>
        <w:br/>
        <w:t xml:space="preserve">«О внесении изменений в некоторые нормат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ивные правовые акты Ямал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о-Ненецкого автономного округа»)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Данная мера поддержки </w:t>
        <w:br/>
        <w:t xml:space="preserve">в 2023 году предоставлена 1 семье</w:t>
      </w:r>
      <w:r>
        <w:rPr>
          <w:color w:val="000000" w:themeColor="text1"/>
          <w:sz w:val="28"/>
          <w:szCs w:val="28"/>
        </w:rPr>
        <w:t xml:space="preserve">;</w:t>
      </w:r>
      <w:r>
        <w:rPr>
          <w:rFonts w:ascii="Liberation Sans" w:hAnsi="Liberation Sans" w:eastAsia="Roboto" w:cs="Liberation Sans"/>
          <w:b w:val="0"/>
          <w:bCs w:val="0"/>
          <w:color w:val="000000" w:themeColor="text1"/>
          <w:sz w:val="28"/>
          <w:szCs w:val="28"/>
          <w:highlight w:val="yellow"/>
          <w14:ligatures w14:val="none"/>
        </w:rPr>
      </w:r>
      <w:r/>
    </w:p>
    <w:p>
      <w:pPr>
        <w:ind w:left="0" w:right="0" w:firstLine="709"/>
        <w:jc w:val="both"/>
        <w:spacing w:before="0" w:after="0" w:line="240" w:lineRule="auto"/>
        <w:rPr>
          <w:rFonts w:ascii="Liberation Sans" w:hAnsi="Liberation Sans" w:eastAsia="Liberation Sans" w:cs="Liberation Sans"/>
          <w:bCs/>
          <w:i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Liberation Sans" w:hAnsi="Liberation Sans" w:eastAsia="Liberation Sans" w:cs="Liberation Sans"/>
          <w:i/>
          <w:iCs/>
          <w:color w:val="000000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i/>
          <w:iCs/>
          <w:color w:val="000000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Liberation Sans" w:cs="Liberation Sans"/>
          <w:i/>
          <w:iCs/>
          <w:color w:val="000000"/>
          <w:sz w:val="28"/>
          <w:szCs w:val="28"/>
          <w:highlight w:val="none"/>
        </w:rPr>
        <w:t xml:space="preserve">в сфере социальной политики</w:t>
      </w:r>
      <w:r>
        <w:rPr>
          <w:rFonts w:ascii="Liberation Sans" w:hAnsi="Liberation Sans" w:cs="Liberation Serif"/>
          <w:i/>
          <w:iCs/>
          <w:color w:val="000000" w:themeColor="text1"/>
          <w:sz w:val="28"/>
          <w:szCs w:val="28"/>
          <w:highlight w:val="none"/>
        </w:rPr>
        <w:t xml:space="preserve">:</w:t>
      </w:r>
      <w:r>
        <w:rPr>
          <w:rFonts w:ascii="Liberation Sans" w:hAnsi="Liberation Sans" w:eastAsia="Liberation Sans" w:cs="Liberation Sans"/>
          <w:bCs/>
          <w:i/>
          <w:color w:val="000000"/>
          <w:sz w:val="28"/>
          <w:szCs w:val="28"/>
          <w:highlight w:val="none"/>
        </w:rPr>
      </w:r>
      <w:r/>
    </w:p>
    <w:p>
      <w:pPr>
        <w:ind w:firstLine="1417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erif"/>
          <w:color w:val="000000" w:themeColor="text1"/>
          <w:sz w:val="28"/>
          <w:szCs w:val="28"/>
        </w:rPr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- </w:t>
      </w:r>
      <w:r>
        <w:rPr>
          <w:rFonts w:ascii="Liberation Sans" w:hAnsi="Liberation Sans" w:cs="Liberation Serif"/>
          <w:color w:val="000000" w:themeColor="text1"/>
          <w:sz w:val="28"/>
          <w:szCs w:val="28"/>
          <w:shd w:val="clear" w:color="auto" w:fill="auto"/>
        </w:rPr>
        <w:t xml:space="preserve">557 различных единовременных выплат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 (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в соответствии </w:t>
        <w:br/>
        <w:t xml:space="preserve">с 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п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остановление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м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 Правительства ЯНАО от 03.06.2022 № 543-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  <w:t xml:space="preserve">П</w:t>
      </w:r>
      <w:r>
        <w:rPr>
          <w:rFonts w:ascii="Liberation Sans" w:hAnsi="Liberation Sans" w:eastAsia="Arial" w:cs="Liberation Sans"/>
          <w:b w:val="0"/>
          <w:bCs w:val="0"/>
          <w:color w:val="000000" w:themeColor="text1"/>
          <w:sz w:val="28"/>
          <w:szCs w:val="28"/>
        </w:rPr>
        <w:t xml:space="preserve"> </w:t>
        <w:br/>
        <w:t xml:space="preserve">«О мерах социальной поддержки гражданам, участвующим </w:t>
        <w:br/>
        <w:t xml:space="preserve">в специальной военной операции, гражданам, заключившим контракт о прохождении военной службы»: 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единовре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менная выплата 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в ра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змере 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300,0 тыс. руб.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, единовременная выплата на приобретение вещевого имущества 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в ра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змере 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300,0 тыс. руб.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; 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в соответствии с 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п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остановление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м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 Правительства ЯНАО от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 15.04.2022 № 358-П «О единовременных выплатах отдельным категориям граждан, участвующим в специальной военной операции, и членам их семей»: 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единовременная выплата </w:t>
        <w:br/>
        <w:t xml:space="preserve">в размере 1,0 млн руб. гражданам, получившим ранение (увечье, травму, к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онтузию) в ходе пр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оведения СВ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1417"/>
        <w:jc w:val="both"/>
        <w:spacing w:after="0" w:line="240" w:lineRule="auto"/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- 99 участникам СВО возмещены расходы по оплате проезда к месту отпуска и обратно;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</w:r>
      <w:r/>
    </w:p>
    <w:p>
      <w:pPr>
        <w:ind w:firstLine="1417"/>
        <w:jc w:val="both"/>
        <w:spacing w:after="0" w:line="240" w:lineRule="auto"/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- 95 участникам СВО предоставлены реабилитационные сертификаты на 120,0 тыс. руб.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, 2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3 участниками сертификаты уже использованы;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</w:r>
      <w:r/>
    </w:p>
    <w:p>
      <w:pPr>
        <w:ind w:firstLine="1417"/>
        <w:jc w:val="both"/>
        <w:spacing w:after="0" w:line="240" w:lineRule="auto"/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- 155 человек получили ежемесячное денежное содержание участников СВО;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</w:r>
      <w:r/>
    </w:p>
    <w:p>
      <w:pPr>
        <w:ind w:firstLine="1417"/>
        <w:jc w:val="both"/>
        <w:spacing w:after="0" w:line="240" w:lineRule="auto"/>
        <w:rPr>
          <w:rFonts w:ascii="Liberation Sans" w:hAnsi="Liberation Sans" w:cs="Liberation Serif"/>
          <w:color w:val="000000" w:themeColor="text1"/>
          <w:sz w:val="28"/>
          <w:szCs w:val="28"/>
        </w:rPr>
        <w:suppressLineNumbers w:val="0"/>
      </w:pP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- 15 семьям (37 чл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енам семьи) предоставлена единовременная выплата в случае гибели (смерти) военнослужащих, принимавших участие в СВО;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</w:r>
      <w:r/>
    </w:p>
    <w:p>
      <w:pPr>
        <w:ind w:firstLine="1417"/>
        <w:jc w:val="both"/>
        <w:spacing w:after="0" w:line="240" w:lineRule="auto"/>
        <w:rPr>
          <w:rFonts w:ascii="Liberation Sans" w:hAnsi="Liberation Sans" w:cs="Liberation Serif"/>
          <w:color w:val="000000" w:themeColor="text1"/>
          <w:sz w:val="28"/>
          <w:szCs w:val="28"/>
        </w:rPr>
        <w:suppressLineNumbers w:val="0"/>
      </w:pPr>
      <w:r>
        <w:rPr>
          <w:rFonts w:ascii="Liberation Sans" w:hAnsi="Liberation Sans" w:cs="Liberation Serif"/>
          <w:color w:val="000000" w:themeColor="text1"/>
          <w:sz w:val="28"/>
          <w:szCs w:val="28"/>
        </w:rPr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- 27 мобилизованным участникам СВО предоставляется ежемесячная денежная выплата (при приостановлении действия трудового договора мобилизованным участникам СВО </w:t>
        <w:br/>
        <w:t xml:space="preserve">из муниципальных учреждений и акционерных обществ);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</w:r>
      <w:r/>
    </w:p>
    <w:p>
      <w:pPr>
        <w:ind w:firstLine="1417"/>
        <w:jc w:val="both"/>
        <w:spacing w:after="0" w:line="240" w:lineRule="auto"/>
        <w:rPr>
          <w:rFonts w:ascii="Liberation Sans" w:hAnsi="Liberation Sans" w:cs="Liberation Serif"/>
          <w:color w:val="000000" w:themeColor="text1"/>
          <w:sz w:val="28"/>
          <w:szCs w:val="28"/>
        </w:rPr>
        <w:suppressLineNumbers w:val="0"/>
      </w:pPr>
      <w:r>
        <w:rPr>
          <w:rFonts w:ascii="Liberation Sans" w:hAnsi="Liberation Sans" w:cs="Liberation Serif"/>
          <w:color w:val="000000" w:themeColor="text1"/>
          <w:sz w:val="28"/>
          <w:szCs w:val="28"/>
        </w:rPr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- 393 выплаты по 5 000 рублей произведено к Новому году детям участников СВО из 260 семей;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</w:r>
      <w:r/>
    </w:p>
    <w:p>
      <w:pPr>
        <w:ind w:firstLine="1417"/>
        <w:jc w:val="both"/>
        <w:spacing w:after="0" w:line="240" w:lineRule="auto"/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erif"/>
          <w:color w:val="000000" w:themeColor="text1"/>
          <w:sz w:val="28"/>
          <w:szCs w:val="28"/>
        </w:rPr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- 133 детям участников СВО возмещены расходы по оплате про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езда к месту отдыха и обратно;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</w:r>
      <w:r/>
    </w:p>
    <w:p>
      <w:pPr>
        <w:ind w:firstLine="1417"/>
        <w:jc w:val="both"/>
        <w:spacing w:after="0" w:line="240" w:lineRule="auto"/>
        <w:rPr>
          <w:rFonts w:ascii="Liberation Sans" w:hAnsi="Liberation Sans" w:cs="Liberation Serif"/>
          <w:color w:val="000000" w:themeColor="text1"/>
          <w:sz w:val="28"/>
          <w:szCs w:val="28"/>
        </w:rPr>
        <w:suppressLineNumbers w:val="0"/>
      </w:pP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 350 детей участников СВО 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252 тыс. 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раз воспользовались 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бесплатным проездом в общественном транспорте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erif"/>
          <w:color w:val="000000" w:themeColor="text1"/>
          <w:sz w:val="28"/>
          <w:szCs w:val="28"/>
        </w:rPr>
      </w:pP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22.12.2023 для дете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й участников СВО организована Ёлка Главы города Новый Уренгой, детям выданы 607 новогодних подарков. 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white"/>
        </w:rPr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За период проведения СВО в ГИС «Электронный социальный регистр населения Ямало-Ненецкого 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автономного округа» сформирован 1 071 паспорт семьи участника СВО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bCs/>
          <w:i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-</w:t>
      </w:r>
      <w:r>
        <w:rPr>
          <w:rFonts w:ascii="Liberation Sans" w:hAnsi="Liberation Sans" w:eastAsia="Times New Roman" w:cs="Liberation Sans"/>
          <w:i/>
          <w:iCs/>
          <w:color w:val="000000" w:themeColor="text1"/>
          <w:sz w:val="28"/>
          <w:szCs w:val="28"/>
          <w:highlight w:val="none"/>
          <w:lang w:eastAsia="ru-RU"/>
        </w:rPr>
        <w:t xml:space="preserve"> в</w:t>
      </w:r>
      <w:r>
        <w:rPr>
          <w:rFonts w:ascii="Liberation Sans" w:hAnsi="Liberation Sans" w:eastAsia="Times New Roman" w:cs="Liberation Sans"/>
          <w:i/>
          <w:iCs/>
          <w:color w:val="000000" w:themeColor="text1"/>
          <w:sz w:val="28"/>
          <w:szCs w:val="28"/>
          <w:highlight w:val="none"/>
          <w:lang w:eastAsia="ru-RU"/>
        </w:rPr>
        <w:t xml:space="preserve"> сфере образования</w:t>
      </w:r>
      <w:r>
        <w:rPr>
          <w:rFonts w:ascii="Liberation Sans" w:hAnsi="Liberation Sans" w:eastAsia="Times New Roman" w:cs="Liberation Sans"/>
          <w:i/>
          <w:iCs/>
          <w:color w:val="000000" w:themeColor="text1"/>
          <w:sz w:val="28"/>
          <w:szCs w:val="28"/>
          <w:highlight w:val="none"/>
          <w:lang w:eastAsia="ru-RU"/>
        </w:rPr>
        <w:t xml:space="preserve">:</w:t>
      </w:r>
      <w:r>
        <w:rPr>
          <w:rFonts w:ascii="Liberation Sans" w:hAnsi="Liberation Sans" w:eastAsia="Times New Roman" w:cs="Liberation Sans"/>
          <w:bCs/>
          <w:i/>
          <w:color w:val="000000" w:themeColor="text1"/>
          <w:sz w:val="28"/>
          <w:szCs w:val="28"/>
          <w:highlight w:val="none"/>
        </w:rPr>
      </w:r>
      <w:r/>
    </w:p>
    <w:p>
      <w:pPr>
        <w:ind w:firstLine="1417"/>
        <w:jc w:val="both"/>
        <w:spacing w:after="0" w:line="240" w:lineRule="auto"/>
        <w:rPr>
          <w:rFonts w:ascii="Liberation Sans" w:hAnsi="Liberation Sans" w:cs="Liberation Serif"/>
          <w:color w:val="000000" w:themeColor="text1"/>
          <w:sz w:val="28"/>
          <w:szCs w:val="28"/>
        </w:rPr>
        <w:suppressLineNumbers w:val="0"/>
      </w:pP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- 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предоставление д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етям военнослужащих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 льготы </w:t>
        <w:br/>
        <w:t xml:space="preserve">на бесплатное посещение занятий (кружков, секций и иных подобных занятий) в органи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зациях дополнительного образования в сфере образования (</w:t>
      </w:r>
      <w:r>
        <w:rPr>
          <w:rFonts w:ascii="Liberation Sans" w:hAnsi="Liberation Sans" w:eastAsia="Times New Roman" w:cs="Helvetica"/>
          <w:color w:val="000000"/>
          <w:sz w:val="28"/>
          <w:szCs w:val="28"/>
          <w:lang w:eastAsia="ru-RU"/>
        </w:rPr>
        <w:t xml:space="preserve">распоряжение Губернатора ЯНАО </w:t>
      </w:r>
      <w:r>
        <w:rPr>
          <w:rFonts w:ascii="Liberation Sans" w:hAnsi="Liberation Sans" w:eastAsia="Times New Roman" w:cs="Helvetica"/>
          <w:color w:val="000000"/>
          <w:sz w:val="28"/>
          <w:szCs w:val="28"/>
          <w:lang w:eastAsia="ru-RU"/>
        </w:rPr>
        <w:t xml:space="preserve">от 11.10.2022 </w:t>
        <w:br/>
        <w:t xml:space="preserve">№ 244-р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).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 115 детям военнослужащих предоставлена данная льгота;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</w:r>
      <w:r/>
    </w:p>
    <w:p>
      <w:pPr>
        <w:ind w:firstLine="1417"/>
        <w:jc w:val="both"/>
        <w:spacing w:after="0" w:line="240" w:lineRule="auto"/>
        <w:rPr>
          <w:rFonts w:ascii="Liberation Sans" w:hAnsi="Liberation Sans" w:cs="Liberation Serif"/>
          <w:color w:val="000000" w:themeColor="text1"/>
          <w:sz w:val="28"/>
          <w:szCs w:val="28"/>
          <w:highlight w:val="none"/>
          <w14:ligatures w14:val="none"/>
        </w:rPr>
        <w:suppressLineNumbers w:val="0"/>
      </w:pP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- 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освобождение от платы, взимаемой с родителей (законных представителей) за присмотр и уход за детьми военнослужащих, посещ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ающи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ми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 муниципальные детские сады (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решение Городской Думы муниципального образования город Новый Уренгой 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от 23.12.2009 </w:t>
        <w:br/>
        <w:t xml:space="preserve">№ 426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 «Об утверждении</w:t>
      </w:r>
      <w:r>
        <w:rPr>
          <w:rFonts w:ascii="Liberation Serif" w:hAnsi="Liberation Serif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Положения о социальной поддержке отдельных катег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орий граждан в муниципальном образовании город Новый Уренгой» (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  <w:lang w:eastAsia="ru-RU"/>
        </w:rPr>
        <w:t xml:space="preserve">в ре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  <w:lang w:eastAsia="ru-RU"/>
        </w:rPr>
        <w:t xml:space="preserve">дакции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  <w:lang w:eastAsia="ru-RU"/>
        </w:rPr>
        <w:t xml:space="preserve"> реш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  <w:lang w:eastAsia="ru-RU"/>
        </w:rPr>
        <w:t xml:space="preserve">ений Городской Думы муниципального образования город Н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  <w:lang w:eastAsia="ru-RU"/>
        </w:rPr>
        <w:t xml:space="preserve">овый Уренгой от 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  <w:lang w:eastAsia="ru-RU"/>
        </w:rPr>
        <w:t xml:space="preserve">25.03.2021 №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  <w:lang w:eastAsia="ru-RU"/>
        </w:rPr>
        <w:t xml:space="preserve"> 38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т 28.09.2023 </w:t>
        <w:br/>
        <w:t xml:space="preserve">№ 25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7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. 151 родитель освобожден от платы за присмотр и уход </w:t>
        <w:br/>
        <w:t xml:space="preserve">за детьми, 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посещающими 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муниципальн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ые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 детск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ие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 сад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ы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firstLine="1417"/>
        <w:jc w:val="both"/>
        <w:spacing w:after="0" w:line="240" w:lineRule="auto"/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12 семей военнослужащих, нах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одящихся в зоне СВО, воспользовались правом получения места в 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дошкол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ьных образо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вательных организациях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 в первоочередном порядке;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bCs/>
          <w:i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erif"/>
          <w:i/>
          <w:iCs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Times New Roman" w:cs="Liberation Sans"/>
          <w:i/>
          <w:iCs/>
          <w:color w:val="000000" w:themeColor="text1"/>
          <w:sz w:val="28"/>
          <w:szCs w:val="28"/>
          <w:highlight w:val="none"/>
          <w:lang w:eastAsia="ru-RU"/>
        </w:rPr>
        <w:t xml:space="preserve">в</w:t>
      </w:r>
      <w:r>
        <w:rPr>
          <w:rFonts w:ascii="Liberation Sans" w:hAnsi="Liberation Sans" w:eastAsia="Times New Roman" w:cs="Liberation Sans"/>
          <w:i/>
          <w:iCs/>
          <w:color w:val="000000" w:themeColor="text1"/>
          <w:sz w:val="28"/>
          <w:szCs w:val="28"/>
          <w:highlight w:val="none"/>
          <w:lang w:eastAsia="ru-RU"/>
        </w:rPr>
        <w:t xml:space="preserve"> сфере молодежной политики</w:t>
      </w:r>
      <w:r>
        <w:rPr>
          <w:rFonts w:ascii="Liberation Sans" w:hAnsi="Liberation Sans" w:eastAsia="Times New Roman" w:cs="Liberation Sans"/>
          <w:i/>
          <w:iCs/>
          <w:color w:val="000000" w:themeColor="text1"/>
          <w:sz w:val="28"/>
          <w:szCs w:val="28"/>
          <w:highlight w:val="none"/>
          <w:lang w:eastAsia="ru-RU"/>
        </w:rPr>
        <w:t xml:space="preserve">:</w:t>
      </w:r>
      <w:r>
        <w:rPr>
          <w:rFonts w:ascii="Liberation Sans" w:hAnsi="Liberation Sans" w:cs="Liberation Sans"/>
          <w:bCs/>
          <w:i/>
          <w:color w:val="000000" w:themeColor="text1"/>
          <w:sz w:val="28"/>
          <w:szCs w:val="28"/>
          <w:highlight w:val="none"/>
        </w:rPr>
      </w:r>
      <w:r/>
    </w:p>
    <w:p>
      <w:pPr>
        <w:ind w:firstLine="1417"/>
        <w:jc w:val="both"/>
        <w:spacing w:after="0" w:afterAutospacing="0" w:line="240" w:lineRule="auto"/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14:ligatures w14:val="none"/>
        </w:rPr>
        <w:suppressLineNumbers w:val="0"/>
      </w:pP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- 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включение 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для трудоустройства на временные рабочие места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 в приоритетном порядке детей, родители кото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рых являются мобилизованными гражданами и (или) участниками специальной военной операции (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постановление Администрации города Новый Уренгой от 15.04.2014 №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 107 «Об участи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и органов местного самоуправления в организации и финансировании временного трудоустройства несове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ршеннолетних в возрасте от 14 до 18 лет </w:t>
        <w:br/>
        <w:t xml:space="preserve">в свободное от учебы время»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 (в ред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  <w:lang w:eastAsia="ru-RU"/>
        </w:rPr>
        <w:t xml:space="preserve">акции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постановления Администрации города Новый Уренгой от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03.11.2023 № 501).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В 2023 году трудоустроено 28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 детей данной категории;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  <w14:ligatures w14:val="none"/>
        </w:rPr>
        <w:t xml:space="preserve"> 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firstLine="1417"/>
        <w:jc w:val="both"/>
        <w:spacing w:after="0" w:afterAutospacing="0" w:line="240" w:lineRule="auto"/>
        <w:rPr>
          <w:rFonts w:ascii="Liberation Sans" w:hAnsi="Liberation Sans" w:cs="Helvetica"/>
          <w:color w:val="000000"/>
          <w:sz w:val="28"/>
          <w:szCs w:val="28"/>
          <w14:ligatures w14:val="none"/>
        </w:rPr>
        <w:suppressLineNumbers w:val="0"/>
      </w:pP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</w:r>
      <w:r>
        <w:rPr>
          <w:rFonts w:ascii="Liberation Sans" w:hAnsi="Liberation Sans" w:cs="Helvetica"/>
          <w:color w:val="000000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45 детям,</w:t>
      </w:r>
      <w:r>
        <w:rPr>
          <w:rFonts w:ascii="Liberation Sans" w:hAnsi="Liberation Sans" w:cs="Helvetica"/>
          <w:color w:val="000000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Helvetica"/>
          <w:sz w:val="28"/>
          <w:szCs w:val="28"/>
          <w:highlight w:val="none"/>
        </w:rPr>
        <w:t xml:space="preserve">родители которых являются мобилизованными гражданами и (или) участниками СВО</w:t>
      </w:r>
      <w:r>
        <w:rPr>
          <w:rFonts w:ascii="Liberation Sans" w:hAnsi="Liberation Sans" w:cs="Helvetica"/>
          <w:color w:val="000000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Helvetica"/>
          <w:sz w:val="28"/>
          <w:szCs w:val="28"/>
          <w:highlight w:val="none"/>
        </w:rPr>
        <w:t xml:space="preserve">в первооче</w:t>
      </w:r>
      <w:r>
        <w:rPr>
          <w:rFonts w:ascii="Liberation Sans" w:hAnsi="Liberation Sans" w:cs="Helvetica"/>
          <w:sz w:val="28"/>
          <w:szCs w:val="28"/>
        </w:rPr>
        <w:t xml:space="preserve">редном порядке </w:t>
      </w:r>
      <w:r>
        <w:rPr>
          <w:rFonts w:ascii="Liberation Sans" w:hAnsi="Liberation Sans" w:cs="Helvetica"/>
          <w:sz w:val="28"/>
          <w:szCs w:val="28"/>
        </w:rPr>
        <w:br/>
        <w:t xml:space="preserve">за счёт средств окружного бюджета</w:t>
      </w:r>
      <w:r>
        <w:rPr>
          <w:rFonts w:ascii="Liberation Sans" w:hAnsi="Liberation Sans" w:cs="Helvetica"/>
          <w:sz w:val="28"/>
          <w:szCs w:val="28"/>
        </w:rPr>
        <w:t xml:space="preserve"> </w:t>
      </w:r>
      <w:r>
        <w:rPr>
          <w:rFonts w:ascii="Liberation Sans" w:hAnsi="Liberation Sans" w:cs="Helvetica"/>
          <w:color w:val="000000"/>
          <w:sz w:val="28"/>
          <w:szCs w:val="28"/>
        </w:rPr>
        <w:t xml:space="preserve">предоставлены</w:t>
      </w:r>
      <w:r>
        <w:rPr>
          <w:rFonts w:ascii="Liberation Sans" w:hAnsi="Liberation Sans" w:cs="Helvetica"/>
          <w:color w:val="000000"/>
          <w:sz w:val="28"/>
          <w:szCs w:val="28"/>
        </w:rPr>
        <w:t xml:space="preserve"> путевки </w:t>
      </w:r>
      <w:r>
        <w:rPr>
          <w:rFonts w:ascii="Liberation Sans" w:hAnsi="Liberation Sans" w:cs="Helvetica"/>
          <w:sz w:val="28"/>
          <w:szCs w:val="28"/>
        </w:rPr>
        <w:t xml:space="preserve">на отды</w:t>
      </w:r>
      <w:r>
        <w:rPr>
          <w:rFonts w:ascii="Liberation Sans" w:hAnsi="Liberation Sans" w:cs="Helvetica"/>
          <w:sz w:val="28"/>
          <w:szCs w:val="28"/>
        </w:rPr>
        <w:t xml:space="preserve">х и оздоровление</w:t>
      </w:r>
      <w:r>
        <w:rPr>
          <w:rFonts w:ascii="Liberation Sans" w:hAnsi="Liberation Sans" w:cs="Helvetica"/>
          <w:color w:val="000000"/>
          <w:sz w:val="28"/>
          <w:szCs w:val="28"/>
        </w:rPr>
        <w:t xml:space="preserve"> (</w:t>
      </w:r>
      <w:r>
        <w:rPr>
          <w:rFonts w:ascii="Liberation Sans" w:hAnsi="Liberation Sans" w:cs="Helvetica"/>
          <w:sz w:val="28"/>
          <w:szCs w:val="28"/>
        </w:rPr>
        <w:t xml:space="preserve">с учётом затрат на проезд к месту отдыха и оздоровления </w:t>
      </w:r>
      <w:r>
        <w:rPr>
          <w:rFonts w:ascii="Liberation Sans" w:hAnsi="Liberation Sans" w:cs="Helvetica"/>
          <w:sz w:val="28"/>
          <w:szCs w:val="28"/>
        </w:rPr>
        <w:t xml:space="preserve">и обратно</w:t>
      </w:r>
      <w:r>
        <w:rPr>
          <w:rFonts w:ascii="Liberation Sans" w:hAnsi="Liberation Sans" w:cs="Helvetica"/>
          <w:color w:val="000000"/>
          <w:sz w:val="28"/>
          <w:szCs w:val="28"/>
        </w:rPr>
        <w:t xml:space="preserve">)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;</w:t>
      </w:r>
      <w:r>
        <w:rPr>
          <w:rFonts w:ascii="Liberation Sans" w:hAnsi="Liberation Sans" w:cs="Helvetica"/>
          <w:color w:val="000000"/>
          <w:sz w:val="28"/>
          <w:szCs w:val="28"/>
          <w14:ligatures w14:val="none"/>
        </w:rPr>
      </w:r>
      <w:r/>
    </w:p>
    <w:p>
      <w:pPr>
        <w:ind w:firstLine="1417"/>
        <w:jc w:val="both"/>
        <w:spacing w:after="0" w:afterAutospacing="0" w:line="240" w:lineRule="auto"/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освобождение от платы, взимаемой с родителей (законных представителей) детей военнослужащих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военнослужащих граждан, принимающих (принимавших) участие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специальной военной операции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 членов их семей,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на посещение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мероприятий, 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проводимых МАУ 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МЦКПиТР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 «АРТ-резиденция»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а также 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заня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тий объединений, 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проводимых на платной основе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 сфере молодежной политики (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распоряжение Губернатора ЯНАО 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от 11.10.2022 № 244-р)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. 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В 2023 году данной мерой по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ддержки не воспользовались;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erif"/>
          <w:i/>
          <w:iCs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Times New Roman" w:cs="Liberation Sans"/>
          <w:i/>
          <w:iCs/>
          <w:color w:val="000000" w:themeColor="text1"/>
          <w:sz w:val="28"/>
          <w:szCs w:val="28"/>
          <w:highlight w:val="none"/>
          <w:lang w:eastAsia="ru-RU"/>
        </w:rPr>
        <w:t xml:space="preserve">в</w:t>
      </w:r>
      <w:r>
        <w:rPr>
          <w:rFonts w:ascii="Liberation Sans" w:hAnsi="Liberation Sans" w:eastAsia="Times New Roman" w:cs="Liberation Sans"/>
          <w:i/>
          <w:iCs/>
          <w:color w:val="000000" w:themeColor="text1"/>
          <w:sz w:val="28"/>
          <w:szCs w:val="28"/>
          <w:highlight w:val="none"/>
          <w:lang w:eastAsia="ru-RU"/>
        </w:rPr>
        <w:t xml:space="preserve"> сфере культуры и искусства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: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1417"/>
        <w:jc w:val="both"/>
        <w:spacing w:after="0" w:afterAutospacing="0" w:line="240" w:lineRule="auto"/>
        <w:rPr>
          <w:rFonts w:ascii="Liberation Sans" w:hAnsi="Liberation Sans" w:eastAsia="Times New Roman" w:cs="Helvetica"/>
          <w:color w:val="000000"/>
          <w:sz w:val="28"/>
          <w:szCs w:val="28"/>
          <w14:ligatures w14:val="none"/>
        </w:rPr>
        <w:suppressLineNumbers w:val="0"/>
      </w:pP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-</w:t>
      </w:r>
      <w:r>
        <w:rPr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предоставление семьям участников СВО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 права бесплатного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 посещения детьми занятий по дополнительным общеобразовательным пр</w:t>
      </w:r>
      <w:r>
        <w:rPr>
          <w:rFonts w:ascii="Liberation Sans" w:hAnsi="Liberation Sans" w:eastAsia="Times New Roman" w:cs="Helvetica"/>
          <w:color w:val="000000"/>
          <w:sz w:val="28"/>
          <w:szCs w:val="28"/>
          <w:lang w:eastAsia="ru-RU"/>
        </w:rPr>
        <w:t xml:space="preserve">ограммам в региональных и муниципальных организациях (кружки, секции и иные подобные занятия), </w:t>
      </w:r>
      <w:r>
        <w:rPr>
          <w:rFonts w:ascii="Liberation Sans" w:hAnsi="Liberation Sans" w:eastAsia="Times New Roman" w:cs="Helvetica"/>
          <w:color w:val="000000"/>
          <w:sz w:val="28"/>
          <w:szCs w:val="28"/>
          <w:lang w:eastAsia="ru-RU"/>
        </w:rPr>
        <w:t xml:space="preserve">права льготного посещения региональных и муниципальных организаций </w:t>
        <w:br/>
        <w:t xml:space="preserve">в сфере культуры, а также развлекательных мероприятий, проводимых на региональном и муниципальном уровнях</w:t>
      </w:r>
      <w:r>
        <w:rPr>
          <w:rFonts w:ascii="Liberation Sans" w:hAnsi="Liberation Sans" w:eastAsia="Times New Roman" w:cs="Helvetica"/>
          <w:color w:val="000000"/>
          <w:sz w:val="28"/>
          <w:szCs w:val="28"/>
          <w:lang w:eastAsia="ru-RU"/>
        </w:rPr>
        <w:t xml:space="preserve"> (в том числе в случае гибели (смерти) участников специальной военной операции) 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(распоряжение Губернатора ЯНАО 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от 11.10.2022 № 244-р)</w:t>
      </w:r>
      <w:r>
        <w:rPr>
          <w:rFonts w:ascii="Liberation Sans" w:hAnsi="Liberation Sans" w:eastAsia="Times New Roman" w:cs="Helvetica"/>
          <w:color w:val="000000"/>
          <w:sz w:val="28"/>
          <w:szCs w:val="28"/>
          <w:lang w:eastAsia="ru-RU"/>
        </w:rPr>
        <w:t xml:space="preserve">.</w:t>
      </w:r>
      <w:r>
        <w:rPr>
          <w:rFonts w:ascii="Liberation Sans" w:hAnsi="Liberation Sans" w:eastAsia="Times New Roman" w:cs="Helvetica"/>
          <w:color w:val="000000"/>
          <w:sz w:val="28"/>
          <w:szCs w:val="28"/>
          <w14:ligatures w14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Times New Roman" w:cs="Helvetica"/>
          <w:color w:val="000000"/>
          <w:sz w:val="28"/>
          <w:szCs w:val="28"/>
          <w:lang w:eastAsia="ru-RU"/>
        </w:rPr>
        <w:t xml:space="preserve">На 31.12.2023 </w:t>
      </w:r>
      <w:r>
        <w:rPr>
          <w:rFonts w:ascii="Liberation Sans" w:hAnsi="Liberation Sans" w:eastAsia="Times New Roman" w:cs="Helvetica"/>
          <w:color w:val="000000"/>
          <w:sz w:val="28"/>
          <w:szCs w:val="28"/>
          <w:lang w:eastAsia="ru-RU"/>
        </w:rPr>
        <w:t xml:space="preserve">в муниципальных учреждениях </w:t>
      </w:r>
      <w:r>
        <w:rPr>
          <w:rFonts w:ascii="Liberation Sans" w:hAnsi="Liberation Sans" w:eastAsia="Times New Roman" w:cs="Helvetica"/>
          <w:color w:val="000000"/>
          <w:sz w:val="28"/>
          <w:szCs w:val="28"/>
          <w:lang w:eastAsia="ru-RU"/>
        </w:rPr>
        <w:t xml:space="preserve">культуры</w:t>
      </w:r>
      <w:r>
        <w:rPr>
          <w:rFonts w:ascii="Liberation Sans" w:hAnsi="Liberation Sans" w:eastAsia="Times New Roman" w:cs="Helvetica"/>
          <w:color w:val="000000"/>
          <w:sz w:val="28"/>
          <w:szCs w:val="28"/>
          <w:lang w:eastAsia="ru-RU"/>
        </w:rPr>
        <w:t xml:space="preserve"> и</w:t>
      </w:r>
      <w:r>
        <w:rPr>
          <w:rFonts w:ascii="Liberation Sans" w:hAnsi="Liberation Sans" w:eastAsia="Times New Roman" w:cs="Helvetica"/>
          <w:color w:val="000000"/>
          <w:sz w:val="28"/>
          <w:szCs w:val="28"/>
          <w:lang w:eastAsia="ru-RU"/>
        </w:rPr>
        <w:t xml:space="preserve"> детских школах искусств указанные меры бесплатно получают 10 детей </w:t>
        <w:br/>
        <w:t xml:space="preserve">(4 - посещают кружки в </w:t>
      </w:r>
      <w:r>
        <w:rPr>
          <w:rFonts w:ascii="Liberation Sans" w:hAnsi="Liberation Sans" w:eastAsia="Times New Roman" w:cs="Helvetica"/>
          <w:color w:val="000000"/>
          <w:sz w:val="28"/>
          <w:szCs w:val="28"/>
          <w:lang w:eastAsia="ru-RU"/>
        </w:rPr>
        <w:t xml:space="preserve">культурно-досуговых</w:t>
      </w:r>
      <w:r>
        <w:rPr>
          <w:rFonts w:ascii="Liberation Sans" w:hAnsi="Liberation Sans" w:eastAsia="Times New Roman" w:cs="Helvetica"/>
          <w:color w:val="000000"/>
          <w:sz w:val="28"/>
          <w:szCs w:val="28"/>
          <w:lang w:eastAsia="ru-RU"/>
        </w:rPr>
        <w:t xml:space="preserve"> учреждениях, 6 - обучают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ся в 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детских школах искусств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);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</w:rPr>
      </w:pP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- </w:t>
      </w:r>
      <w:r>
        <w:rPr>
          <w:rFonts w:ascii="Liberation Sans" w:hAnsi="Liberation Sans" w:eastAsia="Times New Roman" w:cs="Liberation Sans"/>
          <w:i/>
          <w:iCs/>
          <w:color w:val="000000" w:themeColor="text1"/>
          <w:sz w:val="28"/>
          <w:szCs w:val="28"/>
          <w:highlight w:val="none"/>
          <w:lang w:eastAsia="ru-RU"/>
        </w:rPr>
        <w:t xml:space="preserve">в</w:t>
      </w:r>
      <w:r>
        <w:rPr>
          <w:rFonts w:ascii="Liberation Sans" w:hAnsi="Liberation Sans" w:eastAsia="Times New Roman" w:cs="Liberation Sans"/>
          <w:i/>
          <w:iCs/>
          <w:color w:val="000000" w:themeColor="text1"/>
          <w:sz w:val="28"/>
          <w:szCs w:val="28"/>
          <w:highlight w:val="none"/>
          <w:lang w:eastAsia="ru-RU"/>
        </w:rPr>
        <w:t xml:space="preserve"> сфере физической культуры и спорта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: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</w:rPr>
      </w:r>
      <w:r/>
    </w:p>
    <w:p>
      <w:pPr>
        <w:ind w:firstLine="1417"/>
        <w:jc w:val="both"/>
        <w:spacing w:after="0" w:afterAutospacing="0" w:line="240" w:lineRule="auto"/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14:ligatures w14:val="none"/>
        </w:rPr>
        <w:suppressLineNumbers w:val="0"/>
      </w:pP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- 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зачисление в первоочередном порядке детей военнослужащих в спортивные группы учреждений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;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 освобождение детей военнослужащих от платы при посещении спортивных мероприятий, про</w:t>
      </w:r>
      <w:r>
        <w:rPr>
          <w:rFonts w:ascii="Liberation Sans" w:hAnsi="Liberation Sans" w:eastAsia="Times New Roman" w:cs="Helvetica"/>
          <w:color w:val="000000"/>
          <w:sz w:val="28"/>
          <w:szCs w:val="28"/>
          <w:lang w:eastAsia="ru-RU"/>
        </w:rPr>
        <w:t xml:space="preserve">водимых на территории города Новый Уренгой;</w:t>
      </w:r>
      <w:r>
        <w:rPr>
          <w:sz w:val="28"/>
          <w:szCs w:val="28"/>
        </w:rPr>
        <w:t xml:space="preserve"> </w:t>
      </w:r>
      <w:r>
        <w:rPr>
          <w:rFonts w:ascii="Liberation Sans" w:hAnsi="Liberation Sans" w:eastAsia="Times New Roman" w:cs="Helvetica"/>
          <w:color w:val="000000"/>
          <w:sz w:val="28"/>
          <w:szCs w:val="28"/>
          <w:lang w:eastAsia="ru-RU"/>
        </w:rPr>
        <w:t xml:space="preserve">освобождение детей военнослужащих от платы, взимаемой </w:t>
        <w:br/>
        <w:t xml:space="preserve">за платные услуги, оказываемые учреждениями;</w:t>
      </w:r>
      <w:r>
        <w:rPr>
          <w:sz w:val="28"/>
          <w:szCs w:val="28"/>
        </w:rPr>
        <w:t xml:space="preserve"> </w:t>
      </w:r>
      <w:r>
        <w:rPr>
          <w:rFonts w:ascii="Liberation Sans" w:hAnsi="Liberation Sans" w:eastAsia="Times New Roman" w:cs="Helvetica"/>
          <w:color w:val="000000"/>
          <w:sz w:val="28"/>
          <w:szCs w:val="28"/>
          <w:lang w:eastAsia="ru-RU"/>
        </w:rPr>
        <w:t xml:space="preserve"> выдача спортивной экипировки, оборудования и инвентаря индивидуального пользования детям военнослужащих, зачисленным в муниципальные спортивные учреждения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(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распоряжение Губернатора ЯНАО 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от 11.10.2022 </w:t>
        <w:br/>
        <w:t xml:space="preserve">№ 244-р)</w:t>
      </w:r>
      <w:r>
        <w:rPr>
          <w:rFonts w:ascii="Liberation Sans" w:hAnsi="Liberation Sans" w:eastAsia="Times New Roman" w:cs="Helvetica"/>
          <w:color w:val="000000"/>
          <w:sz w:val="28"/>
          <w:szCs w:val="28"/>
          <w:lang w:eastAsia="ru-RU"/>
        </w:rPr>
        <w:t xml:space="preserve">. 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Times New Roman" w:cs="Helvetica"/>
          <w:color w:val="000000"/>
          <w:sz w:val="28"/>
          <w:szCs w:val="28"/>
          <w:lang w:eastAsia="ru-RU"/>
        </w:rPr>
        <w:t xml:space="preserve">В 2023 году 41 ребенок вышеуказанной категории зачислен </w:t>
        <w:br/>
        <w:t xml:space="preserve">на бюджетное отделение в сп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ортивные учреждения по видам спорта плавание, футбол, дзюдо и др., из ни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х 1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:lang w:eastAsia="ru-RU"/>
        </w:rPr>
        <w:t xml:space="preserve">4 детей бесплатно получили спортивную экипировку.</w:t>
      </w:r>
      <w:r>
        <w:rPr>
          <w:rFonts w:ascii="Liberation Sans" w:hAnsi="Liberation Sans" w:eastAsia="Times New Roman" w:cs="Helvetica"/>
          <w:color w:val="000000"/>
          <w:sz w:val="28"/>
          <w:szCs w:val="28"/>
          <w:highlight w:val="none"/>
          <w14:ligatures w14:val="none"/>
        </w:rPr>
      </w:r>
      <w:r/>
    </w:p>
    <w:p>
      <w:pPr>
        <w:contextualSpacing/>
        <w:ind w:firstLine="708"/>
        <w:jc w:val="both"/>
        <w:spacing w:after="0" w:afterAutospacing="0" w:line="240" w:lineRule="auto"/>
        <w:rPr>
          <w:sz w:val="28"/>
          <w:szCs w:val="28"/>
          <w:highlight w:val="none"/>
        </w:rPr>
      </w:pP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В 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поддержку участников СВО в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 2023 году в Новом Уренгое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Calibri" w:cs="Liberation Sans"/>
          <w:b w:val="0"/>
          <w:bCs w:val="0"/>
          <w:sz w:val="28"/>
          <w:szCs w:val="28"/>
          <w:highlight w:val="none"/>
        </w:rPr>
        <w:t xml:space="preserve">воло</w:t>
      </w:r>
      <w:r>
        <w:rPr>
          <w:rFonts w:ascii="Liberation Sans" w:hAnsi="Liberation Sans" w:eastAsia="Calibri" w:cs="Liberation Sans"/>
          <w:b w:val="0"/>
          <w:bCs w:val="0"/>
          <w:sz w:val="28"/>
          <w:szCs w:val="28"/>
          <w:highlight w:val="none"/>
        </w:rPr>
        <w:t xml:space="preserve">нтерскими движениями «Сердце цвета хаки», «СВОИ»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br/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проведено 3 благотворительных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Calibri" w:cs="Liberation Sans"/>
          <w:b w:val="0"/>
          <w:bCs w:val="0"/>
          <w:sz w:val="28"/>
          <w:szCs w:val="28"/>
          <w:highlight w:val="none"/>
        </w:rPr>
        <w:t xml:space="preserve">марафона.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Организовано более </w:t>
        <w:br/>
        <w:t xml:space="preserve">200 мероприятий. Охват участников - более 40 тыс. человек.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Собранные в х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оде проведения марафонов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:lang w:eastAsia="en-US"/>
        </w:rPr>
        <w:t xml:space="preserve">денежные средства в сумме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br/>
        <w:t xml:space="preserve">1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3,8 млн руб.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направлены на покупку технических средств, необходимых товаров для 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ямальских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 участников 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СВО.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sz w:val="28"/>
          <w:szCs w:val="28"/>
          <w:highlight w:val="none"/>
        </w:rPr>
      </w:pP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:lang w:eastAsia="en-US"/>
        </w:rPr>
        <w:t xml:space="preserve">Кроме того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:lang w:eastAsia="en-US"/>
        </w:rPr>
        <w:t xml:space="preserve">,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:lang w:eastAsia="en-US"/>
        </w:rPr>
        <w:t xml:space="preserve"> с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:lang w:eastAsia="en-US"/>
        </w:rPr>
        <w:t xml:space="preserve">отрудниками Администрации города и муниципальных организаций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:lang w:eastAsia="en-US"/>
        </w:rPr>
        <w:t xml:space="preserve">собраны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:lang w:eastAsia="en-US"/>
        </w:rPr>
        <w:t xml:space="preserve">денежные средства в сумме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:lang w:eastAsia="en-US"/>
        </w:rPr>
        <w:t xml:space="preserve"> </w:t>
        <w:br/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:lang w:eastAsia="en-US"/>
        </w:rPr>
        <w:t xml:space="preserve">11,7 млн руб., которые направлены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:lang w:eastAsia="en-US"/>
        </w:rPr>
        <w:t xml:space="preserve">на приобретение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:lang w:eastAsia="en-US"/>
        </w:rPr>
        <w:t xml:space="preserve"> погрузчика </w:t>
        <w:br/>
        <w:t xml:space="preserve">для саперного отряда,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:lang w:eastAsia="en-US"/>
        </w:rPr>
        <w:t xml:space="preserve"> военного оборудования и снаряжени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:lang w:eastAsia="en-US"/>
        </w:rPr>
        <w:t xml:space="preserve">я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:lang w:eastAsia="en-US"/>
        </w:rPr>
        <w:t xml:space="preserve">.</w:t>
      </w:r>
      <w:r>
        <w:rPr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sz w:val="28"/>
          <w:szCs w:val="28"/>
          <w:highlight w:val="none"/>
        </w:rPr>
      </w:pP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:lang w:eastAsia="en-US"/>
        </w:rPr>
        <w:t xml:space="preserve">С момента начала СВО общественниками, волонтерами и организациями города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:lang w:eastAsia="en-US"/>
        </w:rPr>
        <w:t xml:space="preserve"> отправлено «за ленточку» и в новые регионы более 5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:lang w:eastAsia="en-US"/>
        </w:rPr>
        <w:t xml:space="preserve">00 тонн гуманитарной помощи (продукты, бытовая химия, предметы гигиены, лекарство, инструменты, одежда и товары, необходимые для повседневной жизни), свыше 4 тыс. ед. военного оборудования и снаряжения, около 100 ед. спецтехники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:lang w:eastAsia="en-US"/>
        </w:rPr>
        <w:t xml:space="preserve"> и автомобилей. </w:t>
      </w:r>
      <w:r>
        <w:rPr>
          <w:sz w:val="28"/>
          <w:szCs w:val="28"/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shd w:val="clear" w:color="ffffff" w:fill="ffffff"/>
        <w:rPr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8"/>
          <w:szCs w:val="28"/>
          <w:highlight w:val="none"/>
        </w:rPr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В рамках 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регионального проекта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«Северяне. Жизнь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г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еро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я»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 </w:t>
        <w:br/>
        <w:t xml:space="preserve">в 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2023 году проведено 93 мероприяти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я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 патриотической направленности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. В ГДК «Октябрь» 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проведена фотовыставка «Жены и матери 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г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ероев», на которой представлено 34 фотопортрета жен и матерей военнослужащих.</w:t>
      </w:r>
      <w:r>
        <w:rPr>
          <w:sz w:val="28"/>
          <w:szCs w:val="28"/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shd w:val="clear" w:color="ffffff" w:fill="ffffff"/>
        <w:rPr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На базе 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МАУ ДС «Звездный» организованы курсы начальной военной подготовки. В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 20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23 год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у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 обучено 125 человек.</w:t>
      </w:r>
      <w:r>
        <w:rPr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:lang w:eastAsia="en-US"/>
        </w:rPr>
        <w:t xml:space="preserve">В 2023 году на основании ходатайств командиров войсковых частей родителям 8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  <w:lang w:eastAsia="en-US"/>
        </w:rPr>
        <w:t xml:space="preserve">мобилизованных граждан вручены Благодарности Главы муниципального образования город Новый Уренгой </w:t>
        <w:br/>
        <w:t xml:space="preserve">за достойное воспитание сыновей.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20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Проведена работа по увековечиванию памяти военнослужащих, погибших при исполнении воинского долга в ходе специальной военной операции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: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50"/>
        <w:ind w:firstLine="709"/>
        <w:spacing w:after="0" w:afterAutospacing="0" w:line="240" w:lineRule="auto"/>
        <w:rPr>
          <w:b w:val="0"/>
          <w:bCs w:val="0"/>
          <w:sz w:val="28"/>
          <w:szCs w:val="28"/>
          <w:highlight w:val="none"/>
        </w:rPr>
      </w:pP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-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Д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енис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а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Жиденко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, н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агражден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ного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орденом Мужества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(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в МБОУ «КСОШ им. Героя РФ В.И.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Шарпатова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» установлена мемориальная доска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,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открыта «Парта героя» в 5 кабинетах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, р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азмещен баннер на рекламной конструкции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);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</w:t>
      </w:r>
      <w:r>
        <w:rPr>
          <w:b w:val="0"/>
          <w:bCs w:val="0"/>
          <w:sz w:val="28"/>
          <w:szCs w:val="28"/>
          <w:highlight w:val="none"/>
        </w:rPr>
      </w:r>
      <w:r/>
    </w:p>
    <w:p>
      <w:pPr>
        <w:pStyle w:val="1150"/>
        <w:ind w:firstLine="709"/>
        <w:spacing w:after="0" w:afterAutospacing="0" w:line="240" w:lineRule="auto"/>
        <w:rPr>
          <w:b w:val="0"/>
          <w:bCs w:val="0"/>
          <w:sz w:val="28"/>
          <w:szCs w:val="28"/>
          <w:highlight w:val="none"/>
        </w:rPr>
      </w:pP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-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Серге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я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Бондаренко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,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н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агражден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ного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орденом Мужества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(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в районе Коротчаево на фасаде дома 24 по ул. Мира размещен баннер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);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</w:t>
      </w:r>
      <w:r>
        <w:rPr>
          <w:b w:val="0"/>
          <w:bCs w:val="0"/>
          <w:sz w:val="28"/>
          <w:szCs w:val="28"/>
          <w:highlight w:val="none"/>
        </w:rPr>
      </w:r>
      <w:r/>
    </w:p>
    <w:p>
      <w:pPr>
        <w:pStyle w:val="1150"/>
        <w:ind w:firstLine="709"/>
        <w:spacing w:after="0" w:afterAutospacing="0" w:line="240" w:lineRule="auto"/>
        <w:rPr>
          <w:b w:val="0"/>
          <w:bCs w:val="0"/>
          <w:sz w:val="28"/>
          <w:szCs w:val="28"/>
          <w:highlight w:val="none"/>
        </w:rPr>
      </w:pP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- 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Алексе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я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Бобров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а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,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н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агражден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ного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орденом Мужества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(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проезду </w:t>
        <w:br/>
        <w:t xml:space="preserve">в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мкр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. Мирный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присвоено имя Алексея Боброва, в МБОУ «Средняя школа № 8» открыта «Парта героя», на фасаде дома 8/2 в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мкр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. Мирный размещен баннер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);</w:t>
      </w:r>
      <w:r>
        <w:rPr>
          <w:b w:val="0"/>
          <w:bCs w:val="0"/>
          <w:sz w:val="28"/>
          <w:szCs w:val="28"/>
          <w:highlight w:val="none"/>
        </w:rPr>
      </w:r>
      <w:r/>
    </w:p>
    <w:p>
      <w:pPr>
        <w:pStyle w:val="1150"/>
        <w:ind w:firstLine="709"/>
        <w:spacing w:after="0" w:afterAutospacing="0" w:line="240" w:lineRule="auto"/>
        <w:rPr>
          <w:b w:val="0"/>
          <w:bCs w:val="0"/>
          <w:sz w:val="28"/>
          <w:szCs w:val="28"/>
          <w:highlight w:val="none"/>
        </w:rPr>
      </w:pP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-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Серге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я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Тышкивск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ого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,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н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агражден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ного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орденом Мужества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(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на фасаде дома 2 по ул. Юбилейной размещен баннер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,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в МБОУ «КСОШ им. Героя РФ В.И.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Шарпатова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» открыта «Парта героя»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);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</w:t>
      </w:r>
      <w:r>
        <w:rPr>
          <w:b w:val="0"/>
          <w:bCs w:val="0"/>
          <w:sz w:val="28"/>
          <w:szCs w:val="28"/>
          <w:highlight w:val="none"/>
        </w:rPr>
      </w:r>
      <w:r/>
    </w:p>
    <w:p>
      <w:pPr>
        <w:pStyle w:val="1150"/>
        <w:ind w:firstLine="709"/>
        <w:spacing w:after="0" w:afterAutospacing="0" w:line="240" w:lineRule="auto"/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</w:pP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-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Кирилл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а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Литвинов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а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,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н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агражден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ного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орденом Мужества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(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МБОУ </w:t>
        <w:br/>
        <w:t xml:space="preserve">«СШ № 9»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переименовано в МБОУ «СШ им. К.А. Литвинова», открыта «Парта героя»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)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;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</w:r>
      <w:r/>
    </w:p>
    <w:p>
      <w:pPr>
        <w:pStyle w:val="1150"/>
        <w:ind w:firstLine="709"/>
        <w:spacing w:after="0" w:afterAutospacing="0" w:line="240" w:lineRule="auto"/>
        <w:rPr>
          <w:b w:val="0"/>
          <w:bCs w:val="0"/>
          <w:sz w:val="28"/>
          <w:szCs w:val="28"/>
          <w:highlight w:val="none"/>
        </w:rPr>
      </w:pP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-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Е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вгени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я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Виноградск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ого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,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н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агражден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ного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орденом Мужества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(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в МБОУ «Арктический лицей» открыта «Парта героя»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);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</w:t>
      </w:r>
      <w:r>
        <w:rPr>
          <w:b w:val="0"/>
          <w:bCs w:val="0"/>
          <w:sz w:val="28"/>
          <w:szCs w:val="28"/>
          <w:highlight w:val="none"/>
        </w:rPr>
      </w:r>
      <w:r/>
    </w:p>
    <w:p>
      <w:pPr>
        <w:pStyle w:val="1150"/>
        <w:ind w:firstLine="709"/>
        <w:spacing w:after="0" w:afterAutospacing="0" w:line="240" w:lineRule="auto"/>
        <w:rPr>
          <w:sz w:val="28"/>
          <w:szCs w:val="28"/>
          <w:highlight w:val="none"/>
        </w:rPr>
      </w:pP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-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Андре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я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Мажаров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а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,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н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агражден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ного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орденом Мужества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(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в МБОУ «Средняя школа № 11» открыта «Парта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 героя»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)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. </w:t>
      </w:r>
      <w:r>
        <w:rPr>
          <w:sz w:val="28"/>
          <w:szCs w:val="28"/>
          <w:highlight w:val="none"/>
        </w:rPr>
      </w:r>
      <w:r/>
    </w:p>
    <w:p>
      <w:pPr>
        <w:pStyle w:val="1150"/>
        <w:ind w:firstLine="709"/>
        <w:spacing w:after="0" w:afterAutospacing="0" w:line="240" w:lineRule="auto"/>
        <w:rPr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По инициативе патриотических общественных объединений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br/>
        <w:t xml:space="preserve">на Аллее мужества 08.11.2023 торжественно открыт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п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амятник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Г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ероям Отечества. </w:t>
      </w:r>
      <w:r>
        <w:rPr>
          <w:sz w:val="28"/>
          <w:szCs w:val="28"/>
          <w:highlight w:val="none"/>
        </w:rPr>
        <w:t xml:space="preserve"> </w:t>
      </w:r>
      <w:r>
        <w:rPr>
          <w:sz w:val="28"/>
          <w:szCs w:val="28"/>
          <w:highlight w:val="none"/>
        </w:rPr>
      </w:r>
      <w:r/>
    </w:p>
    <w:p>
      <w:pPr>
        <w:pStyle w:val="1150"/>
        <w:ind w:firstLine="709"/>
        <w:spacing w:after="0" w:afterAutospacing="0" w:line="240" w:lineRule="auto"/>
        <w:rPr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26.05.2023 проезду между Богоявленским собором и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а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ллеей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М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ужества в районе Южный города присвоено имя Героя России Владимира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Жоги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.</w:t>
      </w:r>
      <w:r>
        <w:rPr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Все вопросы, связанные с поддержкой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участников СВО и членов их семей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находятся на постоянном контроле у Главы города.</w:t>
      </w:r>
      <w:r>
        <w:rPr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contextualSpacing w:val="0"/>
        <w:ind w:firstLine="708"/>
        <w:jc w:val="both"/>
        <w:spacing w:after="0" w:line="240" w:lineRule="auto"/>
        <w:rPr>
          <w:rFonts w:ascii="Liberation Sans" w:hAnsi="Liberation Sans" w:cs="Liberation Sans"/>
          <w:spacing w:val="-11"/>
          <w:highlight w:val="none"/>
        </w:rPr>
        <w:suppressLineNumbers w:val="0"/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  <w:spacing w:val="-11"/>
          <w:highlight w:val="none"/>
        </w:rPr>
      </w:r>
      <w:r/>
    </w:p>
    <w:p>
      <w:pPr>
        <w:jc w:val="both"/>
        <w:spacing w:after="0" w:line="240" w:lineRule="auto"/>
        <w:rPr>
          <w:rFonts w:ascii="Liberation Sans" w:hAnsi="Liberation Sans" w:cs="Liberation Sans"/>
        </w:rPr>
        <w:sectPr>
          <w:footnotePr/>
          <w:endnotePr/>
          <w:type w:val="nextPage"/>
          <w:pgSz w:w="11906" w:h="16838" w:orient="portrait"/>
          <w:pgMar w:top="962" w:right="850" w:bottom="1134" w:left="1701" w:header="567" w:footer="709" w:gutter="0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</w:rPr>
      </w:r>
      <w:r/>
    </w:p>
    <w:p>
      <w:pPr>
        <w:pStyle w:val="942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/>
      <w:bookmarkStart w:id="28" w:name="_Toc28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  <w:t xml:space="preserve">РАЗДЕЛ II. РЕАЛИЗАЦИЯ ВОПРОСОВ МЕСТНОГО ЗНАЧЕНИЯ</w:t>
      </w:r>
      <w:bookmarkEnd w:id="0"/>
      <w:r/>
      <w:bookmarkEnd w:id="28"/>
      <w:r>
        <w:rPr>
          <w:rFonts w:ascii="Liberation Sans" w:hAnsi="Liberation Sans" w:cs="Liberation Sans"/>
          <w:sz w:val="28"/>
          <w:szCs w:val="28"/>
        </w:rPr>
      </w:r>
      <w:r/>
    </w:p>
    <w:p>
      <w:pPr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46"/>
        <w:numPr>
          <w:ilvl w:val="1"/>
          <w:numId w:val="2"/>
        </w:numPr>
        <w:ind w:left="0" w:firstLine="0"/>
        <w:jc w:val="center"/>
        <w:spacing w:before="0" w:beforeAutospacing="0" w:after="0" w:afterAutospacing="0" w:line="240" w:lineRule="auto"/>
        <w:tabs>
          <w:tab w:val="left" w:pos="426" w:leader="none"/>
          <w:tab w:val="left" w:pos="567" w:leader="none"/>
        </w:tabs>
        <w:rPr>
          <w:rFonts w:ascii="Liberation Sans" w:hAnsi="Liberation Sans" w:cs="Liberation Sans"/>
          <w:sz w:val="28"/>
          <w:szCs w:val="28"/>
        </w:rPr>
      </w:pPr>
      <w:r/>
      <w:bookmarkStart w:id="29" w:name="_Toc29"/>
      <w:r/>
      <w:bookmarkStart w:id="0" w:name="undefined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Муниципальное имущество</w:t>
      </w:r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 и земельные отношения</w:t>
      </w:r>
      <w:bookmarkEnd w:id="0"/>
      <w:r/>
      <w:bookmarkEnd w:id="29"/>
      <w:r>
        <w:rPr>
          <w:rFonts w:ascii="Liberation Sans" w:hAnsi="Liberation Sans" w:cs="Liberation Sans"/>
          <w:sz w:val="28"/>
          <w:szCs w:val="28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eastAsia="Calibri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line="240" w:lineRule="auto"/>
      </w:pP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По с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остоянию на 31.12.202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3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в реестре муниципального имущества значится 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127 123 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объекта общей стоимостью </w:t>
      </w:r>
      <w:r>
        <w:rPr>
          <w:rFonts w:ascii="Liberation Sans" w:hAnsi="Liberation Sans" w:eastAsia="Calibri" w:cs="Liberation Sans"/>
          <w:color w:val="ff0000"/>
          <w:sz w:val="28"/>
          <w:szCs w:val="28"/>
          <w:highlight w:val="white"/>
        </w:rPr>
        <w:br/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white"/>
        </w:rPr>
        <w:t xml:space="preserve">71 814 479, 45 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white"/>
        </w:rPr>
        <w:t xml:space="preserve">тыс. 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руб. (2022 год - 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128 885 объектов общей стоим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остью 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55 294 352,1 тыс. руб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.)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:</w:t>
      </w:r>
      <w:r>
        <w:rPr>
          <w:rFonts w:ascii="Liberation Sans" w:hAnsi="Liberation Sans" w:cs="Liberation Sans"/>
          <w:sz w:val="28"/>
          <w:szCs w:val="28"/>
          <w:highlight w:val="white"/>
          <w14:ligatures w14:val="none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- в муниципальной казне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всего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13 315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объект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ов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,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из них подлежат передаче в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пользование на праве аренды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безвозмездного пользования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в рамках концессионных соглашений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8 263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объект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а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(за исключением объектов муниципального жилищного фонда, акций, НЗС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земельных участков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)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из 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них 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передан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 в аренду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681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 объект недвижимого имущества и 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572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 объекта движимого имущества; 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п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ередано </w:t>
        <w:br/>
        <w:t xml:space="preserve">в безвозмездное пользование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190 объектов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недвижимого имущества и 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4  628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объектов движимого имущества; 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передано в рамках концессионных соглашений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695 объектов недвижимого имущества </w:t>
        <w:br/>
        <w:t xml:space="preserve">и 1 497 объектов движимого имущества;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- в оперативное управление передано 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112 975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объектов, </w:t>
        <w:br/>
        <w:t xml:space="preserve">из них 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588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объектов недвижимого имущества и 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112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3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87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объектов движимого имущества;</w:t>
      </w:r>
      <w:r>
        <w:rPr>
          <w:rFonts w:ascii="Liberation Sans" w:hAnsi="Liberation Sans" w:cs="Liberation Sans"/>
          <w:sz w:val="28"/>
          <w:szCs w:val="28"/>
          <w:highlight w:val="white"/>
          <w14:ligatures w14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  <w:suppressLineNumbers w:val="0"/>
      </w:pPr>
      <w:r>
        <w:rPr>
          <w:rFonts w:ascii="Liberation Sans" w:hAnsi="Liberation Sans" w:eastAsia="Calibri" w:cs="Liberation Sans"/>
          <w:sz w:val="28"/>
          <w:szCs w:val="28"/>
          <w:highlight w:val="none"/>
        </w:rPr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- в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постоянно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е (бессрочное) пользование передано </w:t>
        <w:br/>
        <w:t xml:space="preserve">228 земельных участков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; 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- в хозяйственном ведении 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605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объектов, из них 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42 объекта 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недвижим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ого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имуществ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а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и 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563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объект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а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движимого имущества;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0"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Также в собственности муниципального образования имеется </w:t>
        <w:br/>
      </w:r>
      <w:r>
        <w:rPr>
          <w:rFonts w:ascii="Liberation Sans" w:hAnsi="Liberation Sans" w:cs="Liberation Sans"/>
          <w:sz w:val="28"/>
          <w:szCs w:val="28"/>
        </w:rPr>
        <w:t xml:space="preserve">59 641 540 акций.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0"/>
        <w:jc w:val="both"/>
        <w:spacing w:after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0" w:right="0" w:firstLine="425"/>
        <w:jc w:val="left"/>
        <w:spacing w:after="0" w:line="240" w:lineRule="auto"/>
      </w:pPr>
      <w:r>
        <w:rPr>
          <w:rFonts w:ascii="Liberation Sans" w:hAnsi="Liberation Sans" w:eastAsia="NSimSun" w:cs="Liberation Sans"/>
          <w:sz w:val="28"/>
          <w:szCs w:val="28"/>
          <w:highlight w:val="none"/>
          <w:lang w:eastAsia="zh-CN" w:bidi="hi-IN"/>
        </w:rPr>
      </w:r>
      <w:r>
        <w:rPr>
          <w:rFonts w:ascii="Liberation Sans" w:hAnsi="Liberation Sans" w:eastAsia="Calibri" w:cs="Liberation Sans"/>
          <w:sz w:val="28"/>
          <w:szCs w:val="28"/>
          <w:lang w:eastAsia="ru-RU"/>
        </w:rPr>
        <w:drawing>
          <wp:inline distT="0" distB="0" distL="0" distR="0">
            <wp:extent cx="5980450" cy="2400217"/>
            <wp:effectExtent l="4762" t="4762" r="4762" b="4762"/>
            <wp:docPr id="2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>
        <w:rPr>
          <w:rFonts w:ascii="Liberation Sans" w:hAnsi="Liberation Sans" w:cs="Liberation Sans"/>
        </w:rPr>
      </w:r>
      <w:r/>
    </w:p>
    <w:p>
      <w:pPr>
        <w:ind w:firstLine="0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14:ligatures w14:val="none"/>
        </w:rPr>
      </w:pPr>
      <w:r>
        <w:rPr>
          <w:rFonts w:ascii="Liberation Sans" w:hAnsi="Liberation Sans" w:cs="Liberation Sans"/>
          <w:sz w:val="28"/>
          <w:szCs w:val="28"/>
          <w:lang w:eastAsia="zh-CN" w:bidi="hi-IN"/>
        </w:rPr>
      </w:r>
      <w:r>
        <w:rPr>
          <w:rFonts w:ascii="Liberation Sans" w:hAnsi="Liberation Sans" w:cs="Liberation Sans"/>
          <w:sz w:val="28"/>
          <w:szCs w:val="28"/>
          <w14:ligatures w14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</w:rPr>
      </w:pPr>
      <w:r>
        <w:rPr>
          <w:rFonts w:ascii="Liberation Sans" w:hAnsi="Liberation Sans" w:eastAsia="Calibri" w:cs="Liberation Sans"/>
          <w:sz w:val="28"/>
          <w:szCs w:val="28"/>
          <w:highlight w:val="white"/>
        </w:rPr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В 2023 году право собственности 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зарегистрировано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</w:t>
        <w:br/>
        <w:t xml:space="preserve">на  579 объектов недвижимого имущества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NSimSun" w:cs="Liberation Sans"/>
          <w:sz w:val="28"/>
          <w:szCs w:val="28"/>
          <w:lang w:eastAsia="zh-CN" w:bidi="hi-IN"/>
        </w:rPr>
        <w:t xml:space="preserve">(2022 год - 503 объекта)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. </w:t>
      </w:r>
      <w:r>
        <w:rPr>
          <w:rFonts w:ascii="Liberation Sans" w:hAnsi="Liberation Sans" w:eastAsia="NSimSun" w:cs="Liberation Sans"/>
          <w:sz w:val="28"/>
          <w:szCs w:val="28"/>
          <w:highlight w:val="white"/>
          <w:lang w:eastAsia="zh-CN" w:bidi="hi-IN"/>
        </w:rPr>
        <w:t xml:space="preserve">Всего право собственности зарегистрировано </w:t>
      </w:r>
      <w:r>
        <w:rPr>
          <w:rFonts w:ascii="Liberation Sans" w:hAnsi="Liberation Sans" w:eastAsia="NSimSun" w:cs="Liberation Sans"/>
          <w:sz w:val="28"/>
          <w:szCs w:val="28"/>
          <w:highlight w:val="white"/>
          <w:lang w:eastAsia="zh-CN" w:bidi="hi-IN"/>
        </w:rPr>
        <w:t xml:space="preserve">на 99,4% объект</w:t>
      </w:r>
      <w:r>
        <w:rPr>
          <w:rFonts w:ascii="Liberation Sans" w:hAnsi="Liberation Sans" w:eastAsia="NSimSun" w:cs="Liberation Sans"/>
          <w:sz w:val="28"/>
          <w:szCs w:val="28"/>
          <w:lang w:eastAsia="zh-CN" w:bidi="hi-IN"/>
        </w:rPr>
        <w:t xml:space="preserve">ов недви</w:t>
      </w:r>
      <w:r>
        <w:rPr>
          <w:rFonts w:ascii="Liberation Sans" w:hAnsi="Liberation Sans" w:eastAsia="NSimSun" w:cs="Liberation Sans"/>
          <w:sz w:val="28"/>
          <w:szCs w:val="28"/>
          <w:lang w:eastAsia="zh-CN" w:bidi="hi-IN"/>
        </w:rPr>
        <w:t xml:space="preserve">жимости, включенных в реестр муниципальных объектов.</w:t>
      </w:r>
      <w:r>
        <w:rPr>
          <w:rFonts w:ascii="Liberation Sans" w:hAnsi="Liberation Sans" w:cs="Liberation Sans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white"/>
        </w:rPr>
      </w:pP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Принято в состав муниципальной собственности муниципального образования 7 767 объектов на сумму 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15 038 413,1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 тыс. 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руб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white"/>
        </w:rPr>
      </w:r>
      <w:r/>
    </w:p>
    <w:p>
      <w:pPr>
        <w:ind w:left="0" w:right="0" w:firstLine="0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left="0" w:right="0" w:firstLine="0"/>
        <w:jc w:val="center"/>
        <w:spacing w:after="0" w:line="240" w:lineRule="auto"/>
      </w:pPr>
      <w:r>
        <w:rPr>
          <w:rFonts w:ascii="Liberation Sans" w:hAnsi="Liberation Sans" w:eastAsia="Calibri" w:cs="Liberation Sans"/>
          <w:sz w:val="28"/>
          <w:szCs w:val="28"/>
          <w:highlight w:val="none"/>
          <w14:ligatures w14:val="none"/>
        </w:rPr>
      </w:r>
      <w:r>
        <w:rPr>
          <w:rFonts w:ascii="Liberation Sans" w:hAnsi="Liberation Sans" w:eastAsia="Calibri" w:cs="Liberation Sans"/>
          <w:sz w:val="28"/>
          <w:szCs w:val="28"/>
          <w:highlight w:val="none"/>
          <w14:ligatures w14:val="none"/>
        </w:rPr>
        <w:drawing>
          <wp:inline distT="0" distB="0" distL="0" distR="0">
            <wp:extent cx="4142019" cy="1764686"/>
            <wp:effectExtent l="4762" t="4762" r="4762" b="4762"/>
            <wp:docPr id="24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>
        <w:rPr>
          <w:rFonts w:ascii="Liberation Sans" w:hAnsi="Liberation Sans" w:cs="Liberation Sans"/>
          <w:sz w:val="28"/>
          <w:szCs w:val="28"/>
          <w:highlight w:val="whit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 </w:t>
      </w: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основании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обраще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ний пользователей имущества списано </w:t>
        <w:br/>
        <w:t xml:space="preserve">9 600 ед. муниципального имущества, пришедшего в негодность, морально и физически устаревшего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(2022 год - 9 575 ед., 2021 год - </w:t>
        <w:br/>
        <w:t xml:space="preserve">8 643 ед.)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качестве бесхозяйного имущества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 учет в Управлении Федеральной службы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государственной регистрации, кадастра </w:t>
        <w:br/>
        <w:t xml:space="preserve">и картографии по Ямало-Ненецкому автономному округу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поставлен 1 объект недвижимого имущества (2022 год - 74 объекта, 2021 год - 13 объектов)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в муниципальную собственность принято </w:t>
        <w:br/>
        <w:t xml:space="preserve">78 бесхозяйных объектов, ранее поставленных на учет в качестве бесхозяйного имущества (2022 год - 51 объект, 2021 год - 26 объектов).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line="240" w:lineRule="auto"/>
      </w:pPr>
      <w:r>
        <w:rPr>
          <w:rFonts w:ascii="Liberation Sans" w:hAnsi="Liberation Sans" w:eastAsia="Calibri" w:cs="Liberation Sans"/>
          <w:sz w:val="28"/>
          <w:szCs w:val="28"/>
          <w:highlight w:val="white"/>
        </w:rPr>
        <w:t xml:space="preserve">В 2023 году заключено: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Liberation Sans" w:hAnsi="Liberation Sans" w:eastAsia="PT Astra Serif" w:cs="Liberation Sans"/>
          <w:sz w:val="28"/>
          <w:szCs w:val="28"/>
          <w:highlight w:val="white"/>
        </w:rPr>
        <w:t xml:space="preserve">-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white"/>
        </w:rPr>
        <w:t xml:space="preserve"> 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white"/>
        </w:rPr>
        <w:t xml:space="preserve">40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white"/>
        </w:rPr>
        <w:t xml:space="preserve"> договоров передачи муниципального имущества </w:t>
        <w:br/>
        <w:t xml:space="preserve">в безвозмездное пользование,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white"/>
        </w:rPr>
        <w:t xml:space="preserve">41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white"/>
        </w:rPr>
        <w:t xml:space="preserve"> дополнительн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white"/>
        </w:rPr>
        <w:t xml:space="preserve">ое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white"/>
        </w:rPr>
        <w:t xml:space="preserve"> соглашени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white"/>
        </w:rPr>
        <w:t xml:space="preserve">е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white"/>
        </w:rPr>
        <w:t xml:space="preserve"> </w:t>
        <w:br/>
        <w:t xml:space="preserve">к договорам о передаче имущества в безвозмездное пользование,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white"/>
        </w:rPr>
        <w:br/>
        <w:t xml:space="preserve">7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white"/>
        </w:rPr>
        <w:t xml:space="preserve"> протоколов разногласий и согласования разногласий, 1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white"/>
        </w:rPr>
        <w:t xml:space="preserve">6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white"/>
        </w:rPr>
        <w:t xml:space="preserve"> соглашений о расторжении договоров о передаче имущества в безвозмездное пользование;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white"/>
        </w:rPr>
        <w:t xml:space="preserve">- 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white"/>
        </w:rPr>
        <w:t xml:space="preserve">91 договор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white"/>
        </w:rPr>
        <w:t xml:space="preserve"> аренды муниципальн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ого имущества, </w:t>
        <w:br/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30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дополнительных соглашений к договорам аренды муниципального имущества,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9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протоколов разногласий и согласования разногласий </w:t>
        <w:br/>
        <w:t xml:space="preserve">к договорам аренды муниципального имущества,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51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соглашение </w:t>
        <w:br/>
        <w:t xml:space="preserve">о расторжении договоров аренды муни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ципального имущества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Количество действующих договоров в отчетном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white"/>
        </w:rPr>
        <w:t xml:space="preserve"> периоде составило 2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white"/>
        </w:rPr>
        <w:t xml:space="preserve">3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white"/>
        </w:rPr>
        <w:t xml:space="preserve">4.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</w:r>
      <w:r/>
    </w:p>
    <w:p>
      <w:pPr>
        <w:ind w:firstLine="708"/>
        <w:jc w:val="both"/>
        <w:spacing w:after="0" w:line="240" w:lineRule="auto"/>
        <w:rPr>
          <w:color w:val="000000" w:themeColor="text1"/>
          <w:highlight w:val="none"/>
        </w:rPr>
      </w:pP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white"/>
        </w:rPr>
        <w:t xml:space="preserve">В целях осуществления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white"/>
        </w:rPr>
        <w:t xml:space="preserve">контроля за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white"/>
        </w:rPr>
        <w:t xml:space="preserve"> использованием муниципального имущества,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white"/>
        </w:rPr>
        <w:t xml:space="preserve">переданного в оперативное управление </w:t>
        <w:br/>
        <w:t xml:space="preserve">и хозяйственное ведение, в 2023 году проведено 28 проверок </w:t>
        <w:br/>
        <w:t xml:space="preserve">в отношении 2 630 ед. движимого и недвижимого имущества.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</w:rPr>
        <w:t xml:space="preserve"> </w:t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результате проверок выявлены наруш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ения в части учета муниципального имущества (на имущество не </w:t>
      </w:r>
      <w:r>
        <w:rPr>
          <w:rFonts w:ascii="Liberation Sans" w:hAnsi="Liberation Sans" w:eastAsia="PT Astra Serif" w:cs="Liberation Sans"/>
          <w:color w:val="000000"/>
          <w:sz w:val="28"/>
          <w:szCs w:val="28"/>
          <w:highlight w:val="none"/>
        </w:rPr>
        <w:t xml:space="preserve">нанесены инвентарные номера и </w:t>
      </w:r>
      <w:r>
        <w:rPr>
          <w:rFonts w:ascii="Liberation Sans" w:hAnsi="Liberation Sans" w:eastAsia="PT Astra Serif" w:cs="Liberation Sans"/>
          <w:color w:val="000000"/>
          <w:sz w:val="28"/>
          <w:szCs w:val="28"/>
          <w:highlight w:val="none"/>
        </w:rPr>
        <w:t xml:space="preserve">этикетки</w:t>
      </w:r>
      <w:r>
        <w:rPr>
          <w:rFonts w:ascii="Liberation Sans" w:hAnsi="Liberation Sans" w:eastAsia="PT Astra Serif" w:cs="Liberation Sans"/>
          <w:color w:val="000000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PT Astra Serif" w:cs="Liberation Sans"/>
          <w:color w:val="000000"/>
          <w:sz w:val="28"/>
          <w:szCs w:val="28"/>
          <w:highlight w:val="none"/>
        </w:rPr>
        <w:t xml:space="preserve">со штрихкодами</w:t>
      </w:r>
      <w:r>
        <w:rPr>
          <w:rFonts w:ascii="Liberation Sans" w:hAnsi="Liberation Sans" w:eastAsia="PT Astra Serif" w:cs="Liberation Sans"/>
          <w:color w:val="000000"/>
          <w:sz w:val="28"/>
          <w:szCs w:val="28"/>
          <w:highlight w:val="none"/>
        </w:rPr>
        <w:t xml:space="preserve"> с реестровыми номерам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и).</w:t>
      </w:r>
      <w:r>
        <w:rPr>
          <w:color w:val="000000" w:themeColor="text1"/>
          <w:highlight w:val="none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Проведено 22 комиссии по кон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тролю за выполнени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</w:rPr>
        <w:t xml:space="preserve">ем обязательств контрагентами по договорам, заключенным Департаментом имущественных и жилищных отношений Администрации города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</w:rPr>
        <w:t xml:space="preserve">, в результате которых в бюджет муниципального образования поступило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68 265,4 тыс.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руб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Liberation Sans" w:hAnsi="Liberation Sans" w:eastAsia="Calibri" w:cs="Liberation Sans"/>
          <w:color w:val="000000" w:themeColor="text1"/>
          <w:sz w:val="28"/>
          <w:szCs w:val="28"/>
        </w:rPr>
        <w:t xml:space="preserve">В хозяйственный 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оборот вовлечен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о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99,4%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объектов муниципального имущества 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(без учета объектов муниципального жилищного фонда, земельных участков, включенны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</w:rPr>
        <w:t xml:space="preserve">х в реестр муниципального имущества и пакетов акций) (2022 год - 99,1%, </w:t>
        <w:br/>
        <w:t xml:space="preserve">2021 год - 98,9%)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after="0" w:line="240" w:lineRule="auto"/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color w:val="00b050"/>
          <w:sz w:val="28"/>
          <w:szCs w:val="28"/>
          <w:highlight w:val="none"/>
        </w:rPr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white"/>
        </w:rPr>
        <w:t xml:space="preserve">В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white"/>
        </w:rPr>
        <w:t xml:space="preserve"> цел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white"/>
        </w:rPr>
        <w:t xml:space="preserve">ях повышения эффективности управления муниципальным имуществом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white"/>
        </w:rPr>
        <w:t xml:space="preserve">: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after="0" w:line="240" w:lineRule="auto"/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ликвидировано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white"/>
        </w:rPr>
        <w:t xml:space="preserve">АО «Трансагентство» (добровольная ликвидация)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;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after="0" w:line="240" w:lineRule="auto"/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реорганизовано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white"/>
        </w:rPr>
        <w:t xml:space="preserve">АО «Инвестиционная коммунальная компания»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white"/>
        </w:rPr>
        <w:t xml:space="preserve">путем присоединения к АО «Уренгойтеплогенерация-1»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Liberation Sans" w:hAnsi="Liberation Sans" w:eastAsia="Liberation Serif" w:cs="Liberation Sans"/>
          <w:sz w:val="28"/>
          <w:szCs w:val="28"/>
        </w:rPr>
        <w:t xml:space="preserve">Н</w:t>
      </w:r>
      <w:r>
        <w:rPr>
          <w:rFonts w:ascii="Liberation Sans" w:hAnsi="Liberation Sans" w:eastAsia="Liberation Serif" w:cs="Liberation Sans"/>
          <w:sz w:val="28"/>
          <w:szCs w:val="28"/>
        </w:rPr>
        <w:t xml:space="preserve">а конец 2023 года на территории муниципального образования  осуществляли деятельность 3 муниципальных унитарных предприятия и 12 акционерных обществ с долей участия муниципального образования </w:t>
      </w:r>
      <w:r>
        <w:rPr>
          <w:rFonts w:ascii="Liberation Sans" w:hAnsi="Liberation Sans" w:eastAsia="Liberation Serif" w:cs="Liberation Sans"/>
          <w:sz w:val="28"/>
          <w:szCs w:val="28"/>
        </w:rPr>
        <w:t xml:space="preserve">в уставном капитале.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left="0" w:firstLine="709"/>
        <w:jc w:val="both"/>
        <w:spacing w:after="0" w:line="240" w:lineRule="auto"/>
        <w:suppressLineNumbers w:val="0"/>
      </w:pPr>
      <w:r>
        <w:rPr>
          <w:rFonts w:ascii="Liberation Sans" w:hAnsi="Liberation Sans" w:eastAsia="Liberation Serif" w:cs="Liberation Sans"/>
          <w:sz w:val="28"/>
          <w:szCs w:val="28"/>
          <w:highlight w:val="none"/>
        </w:rPr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val="ru-RU"/>
        </w:rPr>
        <w:t xml:space="preserve">Р</w:t>
      </w:r>
      <w:r>
        <w:rPr>
          <w:rFonts w:ascii="Liberation Sans" w:hAnsi="Liberation Sans" w:eastAsia="Times New Roman" w:cs="Liberation Sans"/>
          <w:sz w:val="28"/>
          <w:szCs w:val="28"/>
          <w:highlight w:val="white"/>
          <w:lang w:val="ru-RU"/>
        </w:rPr>
        <w:t xml:space="preserve">еализовано</w:t>
      </w:r>
      <w:r>
        <w:rPr>
          <w:rFonts w:ascii="Liberation Sans" w:hAnsi="Liberation Sans" w:eastAsia="Times New Roman" w:cs="Liberation Sans"/>
          <w:sz w:val="28"/>
          <w:szCs w:val="28"/>
          <w:highlight w:val="white"/>
          <w:lang w:val="ru-RU"/>
        </w:rPr>
        <w:t xml:space="preserve"> 260</w:t>
      </w:r>
      <w:r>
        <w:rPr>
          <w:rFonts w:ascii="Liberation Sans" w:hAnsi="Liberation Sans" w:eastAsia="Times New Roman" w:cs="Liberation Sans"/>
          <w:sz w:val="28"/>
          <w:szCs w:val="28"/>
          <w:highlight w:val="white"/>
          <w:lang w:val="ru-RU"/>
        </w:rPr>
        <w:t xml:space="preserve"> штук обыкновенных акций </w:t>
        <w:br/>
        <w:t xml:space="preserve">АО «Ново-Уренгоймежрайгаз». Сумма дохода составила </w:t>
        <w:br/>
        <w:t xml:space="preserve">357,5 тыс. руб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val="ru-RU"/>
        </w:rPr>
        <w:t xml:space="preserve">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0" w:firstLine="709"/>
        <w:jc w:val="both"/>
        <w:spacing w:after="0" w:line="240" w:lineRule="auto"/>
        <w:suppressLineNumbers w:val="0"/>
      </w:pPr>
      <w:r>
        <w:rPr>
          <w:rFonts w:ascii="Liberation Sans" w:hAnsi="Liberation Sans" w:eastAsia="Times New Roman" w:cs="Liberation Sans"/>
          <w:sz w:val="28"/>
          <w:szCs w:val="28"/>
          <w:highlight w:val="white"/>
          <w:lang w:val="ru-RU"/>
        </w:rPr>
      </w:r>
      <w:r>
        <w:rPr>
          <w:rFonts w:ascii="Liberation Sans" w:hAnsi="Liberation Sans" w:eastAsia="Times New Roman" w:cs="Liberation Sans"/>
          <w:sz w:val="28"/>
          <w:szCs w:val="28"/>
          <w:highlight w:val="white"/>
          <w:lang w:val="ru-RU"/>
        </w:rPr>
        <w:t xml:space="preserve">Пакет акций </w:t>
      </w:r>
      <w:r>
        <w:rPr>
          <w:rFonts w:ascii="Liberation Sans" w:hAnsi="Liberation Sans" w:eastAsia="Times New Roman" w:cs="Liberation Sans"/>
          <w:sz w:val="28"/>
          <w:szCs w:val="28"/>
          <w:highlight w:val="white"/>
          <w:lang w:val="ru-RU"/>
        </w:rPr>
        <w:t xml:space="preserve">АО «Корпорация Развития»</w:t>
      </w:r>
      <w:r>
        <w:rPr>
          <w:rFonts w:ascii="Liberation Sans" w:hAnsi="Liberation Sans" w:eastAsia="Times New Roman" w:cs="Liberation Sans"/>
          <w:sz w:val="28"/>
          <w:szCs w:val="28"/>
          <w:highlight w:val="white"/>
          <w:lang w:val="ru-RU"/>
        </w:rPr>
        <w:t xml:space="preserve"> </w:t>
        <w:br/>
        <w:t xml:space="preserve">в количестве 406 519 штук</w:t>
      </w:r>
      <w:r>
        <w:rPr>
          <w:rFonts w:ascii="Liberation Sans" w:hAnsi="Liberation Sans" w:eastAsia="Times New Roman" w:cs="Liberation Sans"/>
          <w:sz w:val="28"/>
          <w:szCs w:val="28"/>
          <w:highlight w:val="white"/>
          <w:lang w:val="ru-RU"/>
        </w:rPr>
        <w:t xml:space="preserve"> передан в к</w:t>
      </w:r>
      <w:r>
        <w:rPr>
          <w:rFonts w:ascii="Liberation Sans" w:hAnsi="Liberation Sans" w:eastAsia="Times New Roman" w:cs="Liberation Sans"/>
          <w:sz w:val="28"/>
          <w:szCs w:val="28"/>
          <w:highlight w:val="white"/>
          <w:lang w:val="ru-RU"/>
        </w:rPr>
        <w:t xml:space="preserve">ачестве вклада в уставный капитал АО «Уренгогорводоканал». 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Liberation Sans" w:hAnsi="Liberation Sans" w:eastAsia="Liberation Serif" w:cs="Liberation Sans"/>
          <w:sz w:val="28"/>
          <w:szCs w:val="28"/>
          <w:highlight w:val="white"/>
        </w:rPr>
        <w:t xml:space="preserve">Д</w:t>
      </w:r>
      <w:r>
        <w:rPr>
          <w:rFonts w:ascii="Liberation Sans" w:hAnsi="Liberation Sans" w:eastAsia="Liberation Serif" w:cs="Liberation Sans"/>
          <w:sz w:val="28"/>
          <w:szCs w:val="28"/>
          <w:highlight w:val="white"/>
        </w:rPr>
        <w:t xml:space="preserve">оход в виде прибыли, приходящейся на доли в уставных (складочных) капиталах хозяйственных товариществ и обществ </w:t>
        <w:br/>
        <w:t xml:space="preserve">или дивидендов по акциям, принадлежащим муниципальным образованиям, в 2023 году составил 4 608 тыс. руб., что на 59,4% ниже уровня 2022 года. </w:t>
      </w:r>
      <w:r>
        <w:rPr>
          <w:rFonts w:ascii="Liberation Sans" w:hAnsi="Liberation Sans" w:cs="Liberation Sans"/>
          <w:sz w:val="28"/>
          <w:szCs w:val="28"/>
          <w:highlight w:val="white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Liberation Sans" w:hAnsi="Liberation Sans" w:eastAsia="Liberation Serif" w:cs="Liberation Sans"/>
          <w:sz w:val="28"/>
          <w:szCs w:val="28"/>
          <w:highlight w:val="white"/>
        </w:rPr>
        <w:t xml:space="preserve">Доходы от сдачи в аренду имущества, составляющего казну </w:t>
      </w:r>
      <w:r>
        <w:rPr>
          <w:rFonts w:ascii="Liberation Sans" w:hAnsi="Liberation Sans" w:eastAsia="Liberation Serif" w:cs="Liberation Sans"/>
          <w:sz w:val="28"/>
          <w:szCs w:val="28"/>
          <w:highlight w:val="white"/>
        </w:rPr>
        <w:br/>
      </w:r>
      <w:r>
        <w:rPr>
          <w:rFonts w:ascii="Liberation Sans" w:hAnsi="Liberation Sans" w:eastAsia="Liberation Serif" w:cs="Liberation Sans"/>
          <w:sz w:val="28"/>
          <w:szCs w:val="28"/>
          <w:highlight w:val="white"/>
        </w:rPr>
        <w:t xml:space="preserve">(за исключением земельных участков)</w:t>
      </w:r>
      <w:r>
        <w:rPr>
          <w:rFonts w:ascii="Liberation Sans" w:hAnsi="Liberation Sans" w:eastAsia="Liberation Serif" w:cs="Liberation Sans"/>
          <w:sz w:val="28"/>
          <w:szCs w:val="28"/>
          <w:highlight w:val="white"/>
        </w:rPr>
        <w:t xml:space="preserve">, составили </w:t>
      </w:r>
      <w:r>
        <w:rPr>
          <w:rFonts w:ascii="Liberation Sans" w:hAnsi="Liberation Sans" w:eastAsia="Liberation Serif" w:cs="Liberation Sans"/>
          <w:sz w:val="28"/>
          <w:szCs w:val="28"/>
          <w:highlight w:val="white"/>
        </w:rPr>
        <w:t xml:space="preserve">230 260,6 тыс.</w:t>
      </w:r>
      <w:r>
        <w:rPr>
          <w:rFonts w:ascii="Liberation Sans" w:hAnsi="Liberation Sans" w:eastAsia="Liberation Serif" w:cs="Liberation Sans"/>
          <w:sz w:val="28"/>
          <w:szCs w:val="28"/>
          <w:highlight w:val="white"/>
        </w:rPr>
        <w:t xml:space="preserve"> руб</w:t>
      </w:r>
      <w:r>
        <w:rPr>
          <w:rFonts w:ascii="Liberation Sans" w:hAnsi="Liberation Sans" w:eastAsia="Liberation Serif" w:cs="Liberation Sans"/>
          <w:sz w:val="28"/>
          <w:szCs w:val="28"/>
          <w:highlight w:val="white"/>
        </w:rPr>
        <w:t xml:space="preserve">., </w:t>
      </w:r>
      <w:r>
        <w:rPr>
          <w:rFonts w:ascii="Liberation Sans" w:hAnsi="Liberation Sans" w:eastAsia="Liberation Serif" w:cs="Liberation Sans"/>
          <w:sz w:val="28"/>
          <w:szCs w:val="28"/>
          <w:highlight w:val="white"/>
        </w:rPr>
        <w:t xml:space="preserve">доход от приватизации имущества </w:t>
      </w:r>
      <w:r>
        <w:rPr>
          <w:rFonts w:ascii="Liberation Sans" w:hAnsi="Liberation Sans" w:eastAsia="Liberation Serif" w:cs="Liberation Sans"/>
          <w:sz w:val="28"/>
          <w:szCs w:val="28"/>
          <w:highlight w:val="white"/>
        </w:rPr>
        <w:t xml:space="preserve">17 160,1 тыс.</w:t>
      </w:r>
      <w:r>
        <w:rPr>
          <w:rFonts w:ascii="Liberation Sans" w:hAnsi="Liberation Sans" w:eastAsia="Liberation Serif" w:cs="Liberation Sans"/>
          <w:sz w:val="28"/>
          <w:szCs w:val="28"/>
          <w:highlight w:val="white"/>
        </w:rPr>
        <w:t xml:space="preserve"> руб.</w:t>
      </w:r>
      <w:r>
        <w:rPr>
          <w:rFonts w:ascii="Liberation Sans" w:hAnsi="Liberation Sans" w:eastAsia="Liberation Serif" w:cs="Liberation Sans"/>
          <w:sz w:val="28"/>
          <w:szCs w:val="28"/>
          <w:highlight w:val="white"/>
        </w:rPr>
        <w:t xml:space="preserve"> (</w:t>
      </w:r>
      <w:r>
        <w:rPr>
          <w:rFonts w:ascii="Liberation Sans" w:hAnsi="Liberation Sans" w:eastAsia="Liberation Serif" w:cs="Liberation Sans"/>
          <w:sz w:val="28"/>
          <w:szCs w:val="28"/>
          <w:highlight w:val="white"/>
        </w:rPr>
        <w:t xml:space="preserve">2022 год - </w:t>
        <w:br/>
        <w:t xml:space="preserve">176 880,7 тыс.</w:t>
      </w:r>
      <w:r>
        <w:rPr>
          <w:rFonts w:ascii="Liberation Sans" w:hAnsi="Liberation Sans" w:eastAsia="Liberation Serif" w:cs="Liberation Sans"/>
          <w:sz w:val="28"/>
          <w:szCs w:val="28"/>
          <w:highlight w:val="white"/>
        </w:rPr>
        <w:t xml:space="preserve"> руб., </w:t>
      </w:r>
      <w:r>
        <w:rPr>
          <w:rFonts w:ascii="Liberation Sans" w:hAnsi="Liberation Sans" w:eastAsia="Liberation Serif" w:cs="Liberation Sans"/>
          <w:sz w:val="28"/>
          <w:szCs w:val="28"/>
          <w:highlight w:val="white"/>
        </w:rPr>
        <w:t xml:space="preserve">1</w:t>
      </w:r>
      <w:r>
        <w:rPr>
          <w:rFonts w:ascii="Liberation Sans" w:hAnsi="Liberation Sans" w:eastAsia="Liberation Serif" w:cs="Liberation Sans"/>
          <w:sz w:val="28"/>
          <w:szCs w:val="28"/>
          <w:highlight w:val="white"/>
        </w:rPr>
        <w:t xml:space="preserve">1</w:t>
      </w:r>
      <w:r>
        <w:rPr>
          <w:rFonts w:ascii="Liberation Sans" w:hAnsi="Liberation Sans" w:eastAsia="Liberation Serif" w:cs="Liberation Sans"/>
          <w:sz w:val="28"/>
          <w:szCs w:val="28"/>
          <w:highlight w:val="white"/>
        </w:rPr>
        <w:t xml:space="preserve"> 673,2 тыс. </w:t>
      </w:r>
      <w:r>
        <w:rPr>
          <w:rFonts w:ascii="Liberation Sans" w:hAnsi="Liberation Sans" w:eastAsia="Liberation Serif" w:cs="Liberation Sans"/>
          <w:sz w:val="28"/>
          <w:szCs w:val="28"/>
          <w:highlight w:val="white"/>
        </w:rPr>
        <w:t xml:space="preserve">руб. соответственно).</w:t>
      </w:r>
      <w:r>
        <w:rPr>
          <w:rFonts w:ascii="Liberation Sans" w:hAnsi="Liberation Sans" w:eastAsia="Liberation Serif" w:cs="Liberation Sans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eastAsia="Liberation Serif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8"/>
        <w:jc w:val="both"/>
        <w:spacing w:after="0" w:line="240" w:lineRule="auto"/>
      </w:pPr>
      <w:r>
        <w:rPr>
          <w:rFonts w:ascii="Liberation Sans" w:hAnsi="Liberation Sans" w:eastAsia="Liberation Serif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lang w:eastAsia="ru-RU"/>
        </w:rPr>
        <w:drawing>
          <wp:inline distT="0" distB="0" distL="0" distR="0">
            <wp:extent cx="4898169" cy="2380706"/>
            <wp:effectExtent l="4762" t="4762" r="4762" b="4762"/>
            <wp:docPr id="2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>
        <w:rPr>
          <w:rFonts w:ascii="Liberation Sans" w:hAnsi="Liberation Sans" w:cs="Liberation Sans"/>
          <w:sz w:val="28"/>
          <w:szCs w:val="28"/>
          <w:highlight w:val="whit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eastAsia="Liberation Serif" w:cs="Liberation Sans"/>
          <w:sz w:val="28"/>
          <w:szCs w:val="28"/>
          <w:highlight w:val="whit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0"/>
        <w:jc w:val="center"/>
        <w:spacing w:after="0" w:line="240" w:lineRule="auto"/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i/>
          <w:iCs/>
          <w:color w:val="ff0000"/>
          <w:sz w:val="28"/>
          <w:szCs w:val="28"/>
          <w:lang w:eastAsia="ru-RU"/>
        </w:rPr>
        <w:drawing>
          <wp:inline distT="0" distB="0" distL="0" distR="0">
            <wp:extent cx="5057158" cy="2461671"/>
            <wp:effectExtent l="4762" t="4762" r="4762" b="4762"/>
            <wp:docPr id="2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>
        <w:rPr>
          <w:rFonts w:ascii="Liberation Sans" w:hAnsi="Liberation Sans" w:cs="Liberation Sans"/>
        </w:rPr>
      </w:r>
      <w:r/>
    </w:p>
    <w:p>
      <w:pPr>
        <w:ind w:left="28" w:firstLine="709"/>
        <w:jc w:val="both"/>
        <w:spacing w:before="5" w:after="240" w:line="240" w:lineRule="auto"/>
        <w:shd w:val="clear" w:color="auto" w:fill="ffffff"/>
      </w:pPr>
      <w:r>
        <w:rPr>
          <w:rFonts w:ascii="Liberation Sans" w:hAnsi="Liberation Sans" w:eastAsia="Calibri" w:cs="Liberation Sans"/>
          <w:sz w:val="20"/>
          <w:szCs w:val="20"/>
        </w:rPr>
        <w:t xml:space="preserve">*Без учета субсидий, невыясненных платежей.</w:t>
      </w:r>
      <w:r>
        <w:rPr>
          <w:rFonts w:ascii="Liberation Sans" w:hAnsi="Liberation Sans" w:cs="Liberation Sans"/>
        </w:rPr>
      </w:r>
      <w:r/>
    </w:p>
    <w:p>
      <w:pPr>
        <w:ind w:firstLine="709"/>
        <w:jc w:val="both"/>
        <w:spacing w:after="0" w:line="240" w:lineRule="auto"/>
        <w:widowControl w:val="off"/>
        <w:tabs>
          <w:tab w:val="left" w:pos="700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line="240" w:lineRule="auto"/>
        <w:widowControl w:val="off"/>
        <w:tabs>
          <w:tab w:val="left" w:pos="700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Для достоверного учета принятого имущества в муниципальную казну, до</w:t>
      </w:r>
      <w:r>
        <w:rPr>
          <w:rFonts w:ascii="Liberation Sans" w:hAnsi="Liberation Sans" w:cs="Liberation Sans"/>
          <w:sz w:val="28"/>
          <w:szCs w:val="28"/>
        </w:rPr>
        <w:t xml:space="preserve">с</w:t>
      </w:r>
      <w:r>
        <w:rPr>
          <w:rFonts w:ascii="Liberation Sans" w:hAnsi="Liberation Sans" w:cs="Liberation Sans"/>
          <w:sz w:val="28"/>
          <w:szCs w:val="28"/>
        </w:rPr>
        <w:t xml:space="preserve">товерного отражения данных в реестре муниципального имущества, передачи муниципального имущества в пользование </w:t>
        <w:br/>
        <w:t xml:space="preserve">по результатам торгов, приватизации муниципального имущества, заключения договоров (соглашений) мены, выкупа муниципального имущества, списания </w:t>
      </w:r>
      <w:r>
        <w:rPr>
          <w:rFonts w:ascii="Liberation Sans" w:hAnsi="Liberation Sans" w:cs="Liberation Sans"/>
          <w:sz w:val="28"/>
          <w:szCs w:val="28"/>
        </w:rPr>
        <w:t xml:space="preserve">муниципального имущества в 2023 году проведена оценка 285</w:t>
      </w:r>
      <w:r>
        <w:rPr>
          <w:rFonts w:ascii="Liberation Sans" w:hAnsi="Liberation Sans" w:eastAsia="PT Astra Serif" w:cs="Liberation Sans"/>
          <w:sz w:val="28"/>
          <w:szCs w:val="28"/>
        </w:rPr>
        <w:t xml:space="preserve"> объектов муниципальной собственности </w:t>
        <w:br/>
        <w:t xml:space="preserve">(</w:t>
      </w:r>
      <w:r>
        <w:rPr>
          <w:rFonts w:ascii="Liberation Sans" w:hAnsi="Liberation Sans" w:cs="Liberation Sans"/>
          <w:sz w:val="28"/>
          <w:szCs w:val="28"/>
        </w:rPr>
        <w:t xml:space="preserve">259 объектов недвижимого имущества,</w:t>
      </w:r>
      <w:r>
        <w:rPr>
          <w:rFonts w:ascii="Liberation Sans" w:hAnsi="Liberation Sans" w:cs="Liberation Sans"/>
          <w:sz w:val="28"/>
          <w:szCs w:val="28"/>
        </w:rPr>
        <w:t xml:space="preserve"> 23 объекта движимого имущества, 3 пакета акций).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before="0" w:after="0" w:line="240" w:lineRule="auto"/>
        <w:tabs>
          <w:tab w:val="left" w:pos="700" w:leader="none"/>
        </w:tabs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Также проведена судебная оценочная экспертиза в отношении 13  объектов недвижимого имущества. 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0" w:right="0" w:firstLine="709"/>
        <w:jc w:val="both"/>
        <w:spacing w:before="0" w:after="0" w:line="240" w:lineRule="auto"/>
        <w:tabs>
          <w:tab w:val="left" w:pos="700" w:leader="none"/>
        </w:tabs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Продолжена работа по </w:t>
      </w:r>
      <w:hyperlink r:id="rId41" w:tooltip="consultantplus://offline/ref=65169F34DC14367065A7D92DBF75F1133C133B9D46222D08CC8ACBB92F807EC3B68E9AB1391786812AF2628828E71126D0DE82217151048BdAk5F" w:history="1">
        <w:r>
          <w:rPr>
            <w:rFonts w:ascii="Liberation Sans" w:hAnsi="Liberation Sans" w:eastAsia="Liberation Sans" w:cs="Liberation Sans"/>
            <w:color w:val="000000" w:themeColor="text1"/>
            <w:sz w:val="28"/>
            <w:szCs w:val="28"/>
            <w:highlight w:val="none"/>
          </w:rPr>
          <w:t xml:space="preserve">выявлению</w:t>
        </w:r>
      </w:hyperlink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правообладателей ранее учтенных объектов недвижимости, направлению сведений </w:t>
        <w:br/>
        <w:t xml:space="preserve">о правообладателях данных объектов недвижимости для внесения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br/>
        <w:t xml:space="preserve">в Единый государственный реестр недвижимости.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По состоянию </w:t>
        <w:br/>
        <w:t xml:space="preserve">на 01.01.2023 на территории муниципального образования выявлено 11 989 объектов, из которых: 8 19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2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 ж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ил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ые помещения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2 9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2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5 - д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ру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гие объекты капитального строительства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; 87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2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- з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ем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ельные участки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left="0" w:right="0" w:firstLine="709"/>
        <w:jc w:val="both"/>
        <w:spacing w:before="0" w:after="0" w:line="240" w:lineRule="auto"/>
        <w:tabs>
          <w:tab w:val="left" w:pos="700" w:leader="none"/>
        </w:tabs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рамках работы по установлению собственников, снятию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br/>
        <w:t xml:space="preserve">с кадастрового учета объектов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подготовлено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915 актов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осмотра зданий, сооружений или объекта незавершенного строительства </w:t>
        <w:br/>
        <w:t xml:space="preserve">при выявлении правообладателей ранее учтенных объектов недвижимости.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отношении 1 755 объектов направлены запросы </w:t>
        <w:br/>
        <w:t xml:space="preserve">в органы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 организации (налоговые органы, органы ЗАГС, нотариусы, организации технического учета и инвентаризации и пр.) в целях получения необходимых сведений и документов о пользователях (собственниках), об адресах объектов).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left="0" w:right="0" w:firstLine="709"/>
        <w:jc w:val="both"/>
        <w:spacing w:before="0" w:after="0" w:line="240" w:lineRule="auto"/>
        <w:tabs>
          <w:tab w:val="left" w:pos="700" w:leader="none"/>
        </w:tabs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Подготовлено 279 проектов решений о выявлении правообладателя ранее учтенного объекта недвижимости.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br/>
        <w:t xml:space="preserve">В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Управление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Росреестра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по Ямало-Ненецкому автономному округу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направлено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362 решения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 выявлении правообладателя ранее учтенного объекта недвижимости.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left="0" w:right="0" w:firstLine="709"/>
        <w:jc w:val="both"/>
        <w:spacing w:before="0" w:after="0" w:line="240" w:lineRule="auto"/>
        <w:tabs>
          <w:tab w:val="left" w:pos="700" w:leader="none"/>
        </w:tabs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По результатам проведенной работы по состоянию на 31.12.2023 количество ранее учтенных объектов недвижимости сократилось </w:t>
        <w:br/>
        <w:t xml:space="preserve">на 6 911 и составило 5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078,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из них: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3 615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 ж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илые помещения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; </w:t>
        <w:br/>
        <w:t xml:space="preserve">1 422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 д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ругие объекты капитального строительства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; 41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- з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емельные участки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highlight w:val="none"/>
        </w:rPr>
      </w:r>
      <w:r/>
    </w:p>
    <w:p>
      <w:pPr>
        <w:ind w:left="0" w:right="0" w:firstLine="709"/>
        <w:jc w:val="both"/>
        <w:spacing w:before="0" w:after="0" w:afterAutospacing="0" w:line="299" w:lineRule="atLeast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В 2023 году выполнены работы</w:t>
      </w:r>
      <w:r>
        <w:rPr>
          <w:rFonts w:ascii="Liberation Sans" w:hAnsi="Liberation Sans" w:eastAsia="Liberation Serif" w:cs="Liberation Sans"/>
          <w:color w:val="000000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по описанию м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естоположения объекта землеустройства «Граница муниципального образования город Новый Уренгой (изменение местоположения)»; формированию землеустроительного дела, включающего карту (план) объекта землеустройства «Граница муниципального образова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ния город Новый Уренгой (изменение местоположения)»; подготовке документов, необходимых для внесения в Единый государственный реестр недвижимости сведений об изменении границы муниципального образования город Новый Уренгой.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С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ведения о границе му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ниципального образования город Новый Уренгой внесены в Единый госу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дарственный реестр недвижимости.</w:t>
      </w:r>
      <w:r>
        <w:rPr>
          <w:color w:val="000000" w:themeColor="text1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color w:val="000000" w:themeColor="text1"/>
        </w:rPr>
      </w:pP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К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оличество земельных участков, 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расположенных на территории муниципального образования, вовлеченных в хозяйственный оборот, </w:t>
        <w:br/>
        <w:t xml:space="preserve">в 2023 году составило 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11 873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 (2022 год - 11 243, 2021 год - 12 153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), </w:t>
        <w:br/>
        <w:t xml:space="preserve">из них 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по состоянию на 31.12.2023 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в аренде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 находятся 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br/>
        <w:t xml:space="preserve">3 612 земельных участков (2022 год - 3 121, 2021 год - 3 004)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, </w:t>
        <w:br/>
        <w:t xml:space="preserve">в постоянном (бесср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очном) пользовании - 352 земельных участка </w:t>
        <w:br/>
        <w:t xml:space="preserve">(2022 год - 445, 2021 год - 406), в безвозмездном пользовании - </w:t>
        <w:br/>
        <w:t xml:space="preserve">73 земельных участка (2022 год - 51, 2021 год - 38), 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в частной собственности - 3 049 земельных участков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. </w:t>
      </w:r>
      <w:r>
        <w:rPr>
          <w:color w:val="000000" w:themeColor="text1"/>
        </w:rPr>
      </w:r>
      <w:r/>
    </w:p>
    <w:p>
      <w:pPr>
        <w:ind w:firstLine="709"/>
        <w:jc w:val="both"/>
        <w:spacing w:after="0" w:line="240" w:lineRule="auto"/>
        <w:shd w:val="clear" w:color="auto" w:fill="auto"/>
      </w:pP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В отношении 287 участков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заключены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 соглашения </w:t>
        <w:br/>
        <w:t xml:space="preserve">об установлении сервитута, 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в отношении 446 участков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выданы разрешения на использование.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</w:pP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В хозяйственный оборот в 2023 году вовлечено 68% земельных участков, что на 4% больше показателя 2022 года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firstLine="709"/>
        <w:jc w:val="both"/>
        <w:spacing w:after="0" w:afterAutospacing="0" w:line="293" w:lineRule="exact"/>
        <w:shd w:val="clear" w:color="auto" w:fill="auto"/>
        <w:widowControl w:val="off"/>
        <w:tabs>
          <w:tab w:val="left" w:pos="835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ru-RU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  <w:lang w:eastAsia="ru-RU"/>
        </w:rPr>
        <w:t xml:space="preserve">В 2023 году по результатам торгов заключено 47 договоров аренды земельных участков (2022 год - 63, 2021 год - 55).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ru-RU"/>
        </w:rPr>
      </w:r>
      <w:r/>
    </w:p>
    <w:p>
      <w:pPr>
        <w:ind w:left="0" w:firstLine="709"/>
        <w:jc w:val="both"/>
        <w:spacing w:after="0" w:afterAutospacing="0" w:line="293" w:lineRule="exact"/>
        <w:shd w:val="clear" w:color="auto" w:fill="auto"/>
        <w:widowControl w:val="off"/>
        <w:tabs>
          <w:tab w:val="left" w:pos="835" w:leader="none"/>
        </w:tabs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  <w:lang w:eastAsia="ru-RU"/>
        </w:rPr>
        <w:t xml:space="preserve">Предоставлены земельные участки в районах Северный, Южный, Лимбяяха и Коротчаево для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  <w:lang w:eastAsia="ru-RU"/>
        </w:rPr>
        <w:t xml:space="preserve">строительства объектов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  <w:lang w:eastAsia="ru-RU"/>
        </w:rPr>
        <w:t xml:space="preserve"> в сфере спорта, культуры,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  <w:lang w:eastAsia="ru-RU"/>
        </w:rPr>
        <w:t xml:space="preserve">общественно-делового назначения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  <w:lang w:eastAsia="ru-RU"/>
        </w:rPr>
        <w:t xml:space="preserve">, жилищных,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  <w:lang w:eastAsia="ru-RU"/>
        </w:rPr>
        <w:t xml:space="preserve"> производственных объектов: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  <w14:ligatures w14:val="none"/>
        </w:rPr>
      </w:r>
      <w:r/>
    </w:p>
    <w:p>
      <w:pPr>
        <w:ind w:left="0" w:firstLine="709"/>
        <w:jc w:val="both"/>
        <w:spacing w:after="0" w:afterAutospacing="0" w:line="293" w:lineRule="exact"/>
        <w:shd w:val="clear" w:color="auto" w:fill="ffffff"/>
        <w:widowControl w:val="off"/>
        <w:tabs>
          <w:tab w:val="left" w:pos="835" w:leader="none"/>
        </w:tabs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для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строительства объекта 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Ф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изкультурно-оздоровительный комплекс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мкр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. Семейный»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;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0" w:firstLine="709"/>
        <w:jc w:val="both"/>
        <w:spacing w:after="0" w:afterAutospacing="0" w:line="293" w:lineRule="exact"/>
        <w:shd w:val="clear" w:color="auto" w:fill="ffffff"/>
        <w:widowControl w:val="off"/>
        <w:tabs>
          <w:tab w:val="left" w:pos="835" w:leader="none"/>
        </w:tabs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для строительства объекта «Полярная звезда»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(офисное здание) 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Парковый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left="0" w:firstLine="709"/>
        <w:jc w:val="both"/>
        <w:spacing w:after="0" w:afterAutospacing="0" w:line="293" w:lineRule="exact"/>
        <w:shd w:val="clear" w:color="auto" w:fill="ffffff"/>
        <w:widowControl w:val="off"/>
        <w:tabs>
          <w:tab w:val="left" w:pos="835" w:leader="none"/>
        </w:tabs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для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строительства объекта </w:t>
      </w:r>
      <w:r>
        <w:rPr>
          <w:rFonts w:ascii="Liberation Sans" w:hAnsi="Liberation Sans" w:eastAsia="Calibri" w:cs="Liberation Sans"/>
          <w:color w:val="000000"/>
          <w:sz w:val="28"/>
          <w:szCs w:val="28"/>
          <w:highlight w:val="white"/>
        </w:rPr>
        <w:t xml:space="preserve">«Культурный центр </w:t>
      </w:r>
      <w:r>
        <w:rPr>
          <w:rFonts w:ascii="Liberation Sans" w:hAnsi="Liberation Sans" w:eastAsia="Calibri" w:cs="Liberation Sans"/>
          <w:color w:val="000000"/>
          <w:sz w:val="28"/>
          <w:szCs w:val="28"/>
          <w:highlight w:val="white"/>
        </w:rPr>
        <w:t xml:space="preserve">г</w:t>
      </w:r>
      <w:r>
        <w:rPr>
          <w:rFonts w:ascii="Liberation Sans" w:hAnsi="Liberation Sans" w:eastAsia="Calibri" w:cs="Liberation Sans"/>
          <w:color w:val="000000"/>
          <w:sz w:val="28"/>
          <w:szCs w:val="28"/>
          <w:highlight w:val="white"/>
        </w:rPr>
        <w:t xml:space="preserve">. Новый Уренгой» в </w:t>
      </w:r>
      <w:r>
        <w:rPr>
          <w:rFonts w:ascii="Liberation Sans" w:hAnsi="Liberation Sans" w:eastAsia="Calibri" w:cs="Liberation Sans"/>
          <w:color w:val="000000"/>
          <w:sz w:val="28"/>
          <w:szCs w:val="28"/>
          <w:highlight w:val="white"/>
        </w:rPr>
        <w:t xml:space="preserve">мкр</w:t>
      </w:r>
      <w:r>
        <w:rPr>
          <w:rFonts w:ascii="Liberation Sans" w:hAnsi="Liberation Sans" w:eastAsia="Calibri" w:cs="Liberation Sans"/>
          <w:color w:val="000000"/>
          <w:sz w:val="28"/>
          <w:szCs w:val="28"/>
          <w:highlight w:val="white"/>
        </w:rPr>
        <w:t xml:space="preserve">. Парковый»</w:t>
      </w:r>
      <w:r>
        <w:rPr>
          <w:rFonts w:ascii="Liberation Sans" w:hAnsi="Liberation Sans" w:eastAsia="Calibri" w:cs="Liberation Sans"/>
          <w:color w:val="000000"/>
          <w:sz w:val="28"/>
          <w:szCs w:val="28"/>
          <w:highlight w:val="white"/>
        </w:rPr>
        <w:t xml:space="preserve">;</w:t>
      </w:r>
      <w:r>
        <w:rPr>
          <w:rFonts w:ascii="Liberation Sans" w:hAnsi="Liberation Sans" w:cs="Liberation Sans"/>
          <w:sz w:val="28"/>
          <w:szCs w:val="28"/>
          <w:highlight w:val="white"/>
        </w:rPr>
      </w:r>
      <w:r/>
    </w:p>
    <w:p>
      <w:pPr>
        <w:ind w:left="0" w:firstLine="709"/>
        <w:jc w:val="both"/>
        <w:spacing w:after="0" w:afterAutospacing="0" w:line="293" w:lineRule="exact"/>
        <w:shd w:val="clear" w:color="auto" w:fill="ffffff"/>
        <w:widowControl w:val="off"/>
        <w:tabs>
          <w:tab w:val="left" w:pos="835" w:leader="none"/>
        </w:tabs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для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жилищного строительства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мкр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. Уютный,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мкр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. Созидателей, </w:t>
        <w:br/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мкр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. Романтиков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;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0" w:firstLine="709"/>
        <w:jc w:val="both"/>
        <w:spacing w:after="0" w:afterAutospacing="0" w:line="293" w:lineRule="exact"/>
        <w:shd w:val="clear" w:color="auto" w:fill="ffffff"/>
        <w:widowControl w:val="off"/>
        <w:tabs>
          <w:tab w:val="left" w:pos="835" w:leader="none"/>
        </w:tabs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для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индивидуального жилищного строительства </w:t>
        <w:br/>
        <w:t xml:space="preserve">в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мкр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 Заозерный, в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районах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Лимбяяха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Коротчаево (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2 земельных участка без проведения торгов льготной категории граждан, </w:t>
        <w:br/>
        <w:t xml:space="preserve">по результатам аукционов - 7 земельных участков)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;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0" w:firstLine="709"/>
        <w:jc w:val="both"/>
        <w:spacing w:after="0" w:afterAutospacing="0" w:line="293" w:lineRule="exact"/>
        <w:shd w:val="clear" w:color="auto" w:fill="ffffff"/>
        <w:widowControl w:val="off"/>
        <w:tabs>
          <w:tab w:val="left" w:pos="835" w:leader="none"/>
        </w:tabs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для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строительства АЗС ООО «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Лукойл-Уралн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ефтепродукт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» </w:t>
        <w:br/>
        <w:t xml:space="preserve">в Западной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промзоне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в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мкр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. Парковый и др.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0" w:firstLine="709"/>
        <w:jc w:val="both"/>
        <w:spacing w:after="0" w:afterAutospacing="0" w:line="293" w:lineRule="exact"/>
        <w:shd w:val="clear" w:color="auto" w:fill="ffffff"/>
        <w:widowControl w:val="off"/>
        <w:tabs>
          <w:tab w:val="left" w:pos="835" w:leader="none"/>
        </w:tabs>
        <w:rPr>
          <w:rFonts w:ascii="Liberation Sans" w:hAnsi="Liberation Sans" w:cs="Liberation Sans"/>
          <w:sz w:val="28"/>
          <w:szCs w:val="28"/>
          <w:highlight w:val="white"/>
          <w:lang w:eastAsia="ru-RU"/>
        </w:rPr>
      </w:pP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В 2023 году без торгов 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предоставлен 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41 земельный участок резидентам Арктической зоны Российской Федерации (из них </w:t>
        <w:br/>
        <w:t xml:space="preserve">6 представлены в аренду для строительства многоквартирных жилых домов) в соответствии 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с Федеральным законом Российской Федерации от 13.07.2020 № 193-ФЗ 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«О государственной поддержке предпринимательской деятельности 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в Арктической зоне Российской Федерации»: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</w:r>
      <w:r/>
    </w:p>
    <w:p>
      <w:pPr>
        <w:ind w:left="0" w:firstLine="709"/>
        <w:jc w:val="both"/>
        <w:spacing w:after="0" w:afterAutospacing="0" w:line="293" w:lineRule="exact"/>
        <w:shd w:val="clear" w:color="auto" w:fill="ffffff"/>
        <w:widowControl w:val="off"/>
        <w:tabs>
          <w:tab w:val="left" w:pos="835" w:leader="none"/>
        </w:tabs>
        <w:rPr>
          <w:rFonts w:ascii="Liberation Sans" w:hAnsi="Liberation Sans" w:cs="Liberation Sans"/>
          <w:sz w:val="28"/>
          <w:szCs w:val="28"/>
          <w:highlight w:val="whit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в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Уютный,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Созидателей - ООО Специализированный Застройщик У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ДСД;</w:t>
      </w:r>
      <w:r>
        <w:rPr>
          <w:rFonts w:ascii="Liberation Sans" w:hAnsi="Liberation Sans" w:cs="Liberation Sans"/>
          <w:sz w:val="28"/>
          <w:szCs w:val="28"/>
          <w:highlight w:val="white"/>
          <w14:ligatures w14:val="none"/>
        </w:rPr>
      </w:r>
      <w:r/>
    </w:p>
    <w:p>
      <w:pPr>
        <w:ind w:left="0" w:firstLine="709"/>
        <w:jc w:val="both"/>
        <w:spacing w:after="0" w:afterAutospacing="0" w:line="240" w:lineRule="auto"/>
        <w:shd w:val="clear" w:color="auto" w:fill="ffffff"/>
        <w:widowControl w:val="off"/>
        <w:tabs>
          <w:tab w:val="left" w:pos="835" w:leader="none"/>
        </w:tabs>
        <w:rPr>
          <w:rFonts w:ascii="Liberation Sans" w:hAnsi="Liberation Sans" w:cs="Liberation Sans"/>
          <w:sz w:val="28"/>
          <w:szCs w:val="28"/>
          <w:highlight w:val="whit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в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кр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. Романтиков - ООО Специализированный застройщик «Антарес»;</w:t>
      </w:r>
      <w:r>
        <w:rPr>
          <w:rFonts w:ascii="Liberation Sans" w:hAnsi="Liberation Sans" w:cs="Liberation Sans"/>
          <w:sz w:val="28"/>
          <w:szCs w:val="28"/>
          <w:highlight w:val="white"/>
          <w14:ligatures w14:val="none"/>
        </w:rPr>
      </w:r>
      <w:r/>
    </w:p>
    <w:p>
      <w:pPr>
        <w:ind w:left="0" w:firstLine="709"/>
        <w:jc w:val="both"/>
        <w:spacing w:after="0" w:afterAutospacing="0" w:line="240" w:lineRule="auto"/>
        <w:shd w:val="clear" w:color="auto" w:fill="ffffff"/>
        <w:widowControl w:val="off"/>
        <w:tabs>
          <w:tab w:val="left" w:pos="835" w:leader="none"/>
        </w:tabs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в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Монтажник - ООО «Арктический лабораторный центр»;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left="0" w:firstLine="709"/>
        <w:jc w:val="both"/>
        <w:spacing w:after="0" w:afterAutospacing="0" w:line="240" w:lineRule="auto"/>
        <w:shd w:val="clear" w:color="auto" w:fill="ffffff"/>
        <w:widowControl w:val="off"/>
        <w:tabs>
          <w:tab w:val="left" w:pos="835" w:leader="none"/>
        </w:tabs>
        <w:rPr>
          <w:rFonts w:ascii="Liberation Sans" w:hAnsi="Liberation Sans" w:cs="Liberation Sans"/>
          <w:sz w:val="28"/>
          <w:szCs w:val="28"/>
          <w:highlight w:val="whit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в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кр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.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Звездный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 - ООО «Медицина Ямала»;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Нухкадиевой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 К.Б.;</w:t>
      </w:r>
      <w:r>
        <w:rPr>
          <w:rFonts w:ascii="Liberation Sans" w:hAnsi="Liberation Sans" w:cs="Liberation Sans"/>
          <w:sz w:val="28"/>
          <w:szCs w:val="28"/>
          <w:highlight w:val="white"/>
          <w14:ligatures w14:val="none"/>
        </w:rPr>
      </w:r>
      <w:r/>
    </w:p>
    <w:p>
      <w:pPr>
        <w:ind w:left="0" w:firstLine="709"/>
        <w:jc w:val="both"/>
        <w:spacing w:after="0" w:afterAutospacing="0" w:line="240" w:lineRule="auto"/>
        <w:shd w:val="clear" w:color="auto" w:fill="ffffff"/>
        <w:widowControl w:val="off"/>
        <w:tabs>
          <w:tab w:val="left" w:pos="835" w:leader="none"/>
        </w:tabs>
        <w:rPr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white"/>
        </w:rPr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в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район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Южн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ый - ООО «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Уренгойгазстройинвест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»;</w:t>
      </w:r>
      <w:r>
        <w:rPr>
          <w14:ligatures w14:val="none"/>
        </w:rPr>
      </w:r>
      <w:r/>
    </w:p>
    <w:p>
      <w:pPr>
        <w:ind w:left="0" w:firstLine="709"/>
        <w:jc w:val="both"/>
        <w:spacing w:after="0" w:afterAutospacing="0" w:line="240" w:lineRule="auto"/>
        <w:shd w:val="clear" w:color="auto" w:fill="ffffff"/>
        <w:widowControl w:val="off"/>
        <w:tabs>
          <w:tab w:val="left" w:pos="835" w:leader="none"/>
        </w:tabs>
        <w:rPr>
          <w:rFonts w:ascii="Liberation Sans" w:hAnsi="Liberation Sans" w:cs="Liberation Sans"/>
          <w:sz w:val="28"/>
          <w:szCs w:val="28"/>
          <w:highlight w:val="white"/>
          <w14:ligatures w14:val="none"/>
        </w:rPr>
      </w:pPr>
      <w:r>
        <w:rPr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в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мк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р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. Энтузиастов - ИП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Мартиросян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 К.С.;</w:t>
      </w:r>
      <w:r>
        <w:rPr>
          <w:rFonts w:ascii="Liberation Sans" w:hAnsi="Liberation Sans" w:cs="Liberation Sans"/>
          <w:sz w:val="28"/>
          <w:szCs w:val="28"/>
          <w:highlight w:val="white"/>
          <w14:ligatures w14:val="none"/>
        </w:rPr>
      </w:r>
      <w:r/>
    </w:p>
    <w:p>
      <w:pPr>
        <w:ind w:left="0" w:firstLine="709"/>
        <w:jc w:val="both"/>
        <w:spacing w:after="0" w:afterAutospacing="0" w:line="240" w:lineRule="auto"/>
        <w:shd w:val="clear" w:color="auto" w:fill="ffffff"/>
        <w:widowControl w:val="off"/>
        <w:tabs>
          <w:tab w:val="left" w:pos="835" w:leader="none"/>
        </w:tabs>
        <w:rPr>
          <w:rFonts w:ascii="Liberation Sans" w:hAnsi="Liberation Sans" w:cs="Liberation Sans"/>
          <w:sz w:val="28"/>
          <w:szCs w:val="28"/>
          <w:highlight w:val="whit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whit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в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Восточн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промзон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- ИП Коваленко М.П.,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Мишагин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А.В.;</w:t>
      </w:r>
      <w:r>
        <w:rPr>
          <w:rFonts w:ascii="Liberation Sans" w:hAnsi="Liberation Sans" w:cs="Liberation Sans"/>
          <w:sz w:val="28"/>
          <w:szCs w:val="28"/>
          <w:highlight w:val="white"/>
          <w14:ligatures w14:val="none"/>
        </w:rPr>
      </w:r>
      <w:r/>
    </w:p>
    <w:p>
      <w:pPr>
        <w:ind w:left="739" w:right="5" w:firstLine="0"/>
        <w:jc w:val="both"/>
        <w:spacing w:after="0" w:afterAutospacing="0" w:line="240" w:lineRule="auto"/>
        <w:shd w:val="clear" w:color="auto" w:fill="ffffff"/>
        <w:widowControl w:val="off"/>
        <w:tabs>
          <w:tab w:val="left" w:pos="902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whit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в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.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Восточный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 - ООО «Бани народов мира»;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left="739" w:right="5" w:firstLine="0"/>
        <w:jc w:val="both"/>
        <w:spacing w:after="0" w:afterAutospacing="0" w:line="240" w:lineRule="auto"/>
        <w:shd w:val="clear" w:color="auto" w:fill="ffffff"/>
        <w:widowControl w:val="off"/>
        <w:tabs>
          <w:tab w:val="left" w:pos="902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в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район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Коротчаево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- ИП Алиевой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А.А.;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left="739" w:right="5" w:firstLine="0"/>
        <w:jc w:val="both"/>
        <w:spacing w:after="0" w:afterAutospacing="0" w:line="240" w:lineRule="auto"/>
        <w:shd w:val="clear" w:color="auto" w:fill="ffffff"/>
        <w:widowControl w:val="off"/>
        <w:tabs>
          <w:tab w:val="left" w:pos="902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в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Западн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промзон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- ООО «Стрелка».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left="0" w:firstLine="709"/>
        <w:jc w:val="both"/>
        <w:spacing w:after="0" w:afterAutospacing="0" w:line="240" w:lineRule="auto"/>
        <w:shd w:val="clear" w:color="auto" w:fill="ffffff"/>
        <w:widowControl w:val="off"/>
        <w:tabs>
          <w:tab w:val="left" w:pos="835" w:leader="none"/>
        </w:tabs>
      </w:pP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В рамках рег</w:t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иональн</w:t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ого проекта «Формир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ование комфортной городской среды» (национальный проект 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«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Жильё и городская среда») 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проведены мероприятия по формированию и постановке </w:t>
        <w:br/>
        <w:t xml:space="preserve">на государственный кадастровый учет 6 земельных участков, предназначенных для размещения объектов благоустройства территорий: в 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районе Северный - 2, 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Южный 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- 1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Коротчаево 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- 2, Лимбяяха - 1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white"/>
          <w14:ligatures w14:val="none"/>
        </w:rPr>
      </w:r>
      <w:r/>
    </w:p>
    <w:p>
      <w:pPr>
        <w:ind w:left="0" w:firstLine="709"/>
        <w:jc w:val="both"/>
        <w:spacing w:after="0" w:afterAutospacing="0" w:line="240" w:lineRule="auto"/>
        <w:shd w:val="clear" w:color="auto" w:fill="ffffff"/>
        <w:widowControl w:val="off"/>
        <w:tabs>
          <w:tab w:val="left" w:pos="835" w:leader="none"/>
        </w:tabs>
      </w:pP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В целях создания объектов улично-дорожной сети проведены мероприятия по формированию и постановке на государственный кадастровый учет земельных участков, предназначенных 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 </w:t>
        <w:br/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для 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реконструкции ул. Геологоразведчиков (от ул. Юбилейной </w:t>
        <w:br/>
        <w:t xml:space="preserve">до ул. 26 Съезда КПСС)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» (33 земельных участка), </w:t>
        <w:br/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ул. Железнодорожной, 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г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. Новый Уренгой, в т.ч. затраты на ПИР </w:t>
        <w:br/>
        <w:t xml:space="preserve">(7 земельных участков), 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автомобильной дороги по ул. Магистральная (27 земельных участков); 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строительства дороги от ул. 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Дачная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 </w:t>
        <w:br/>
        <w:t xml:space="preserve">до полигона твердых отходов строительных материалов и конструкций, г. Новый Уренгой, в т.ч. ПИР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» (1 земельный участок)</w:t>
      </w:r>
      <w:r>
        <w:rPr>
          <w:rFonts w:ascii="Liberation Sans" w:hAnsi="Liberation Sans" w:cs="Liberation Sans"/>
          <w:sz w:val="28"/>
          <w:szCs w:val="28"/>
          <w:highlight w:val="white"/>
          <w:lang w:eastAsia="ru-RU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left="29" w:right="5" w:firstLine="710"/>
        <w:jc w:val="both"/>
        <w:spacing w:after="0" w:afterAutospacing="0" w:line="240" w:lineRule="auto"/>
        <w:shd w:val="clear" w:color="auto" w:fill="ffffff"/>
      </w:pPr>
      <w:r>
        <w:rPr>
          <w:rFonts w:ascii="Liberation Sans" w:hAnsi="Liberation Sans" w:cs="Liberation Sans"/>
          <w:sz w:val="28"/>
          <w:szCs w:val="28"/>
          <w:highlight w:val="white"/>
        </w:rPr>
        <w:t xml:space="preserve">В отчетном периоде по результату выполнения комплексных кадастровых работ ООО «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ГеоПроектКадастр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» внесены сведения </w:t>
        <w:br/>
        <w:t xml:space="preserve">в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органы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Росреестра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 в отношении 26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 кадастровых кварталов: 89:11:010101, 89:11:0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10206, 89:11:010303, 89:11:020207, 89:11:030301, 89:11:050301, 89:11:050302, 89:11:050303, 89:11:050304, 89:11:050305, 89:11:050306, 89:11:050307 (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постановление Администрации города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Новый Уренгой от 05.05.2022 №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 169)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89:11:020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102, 89:11:020103, 89:11:020201, 89:11:020202, 89:11:020203, 89:11:020204, 89:11:020205, 89:11:020206, 89:11:020208, 89:11:020209, 89:11:020306, 89:11:040101, 89:11:070101, 89:11:080201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(постановление Администрации города Новый Уренгой от 01.09.2022 № 351)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, ООО «Строительная геодезия»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внесены сведения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органы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Росреестра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 в отношении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 3 кадастровых кварталов 89:11:010204, 89:11:010302, 89:11:080101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(постановление Администрации города Новы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й Уренгой от 10.03.2021 № 76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</w:r>
      <w:r/>
    </w:p>
    <w:p>
      <w:pPr>
        <w:ind w:firstLine="708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cs="Liberation Sans"/>
          <w:iCs/>
          <w:color w:val="000000" w:themeColor="text1"/>
          <w:sz w:val="28"/>
          <w:szCs w:val="28"/>
          <w:highlight w:val="none"/>
        </w:rPr>
        <w:t xml:space="preserve">В рамках претензионной работы в </w:t>
      </w:r>
      <w:r>
        <w:rPr>
          <w:rFonts w:ascii="Liberation Sans" w:hAnsi="Liberation Sans" w:cs="Liberation Sans"/>
          <w:iCs/>
          <w:color w:val="000000" w:themeColor="text1"/>
          <w:sz w:val="28"/>
          <w:szCs w:val="28"/>
          <w:highlight w:val="none"/>
        </w:rPr>
        <w:t xml:space="preserve">2023</w:t>
      </w:r>
      <w:r>
        <w:rPr>
          <w:rFonts w:ascii="Liberation Sans" w:hAnsi="Liberation Sans" w:cs="Liberation Sans"/>
          <w:iCs/>
          <w:color w:val="000000" w:themeColor="text1"/>
          <w:sz w:val="28"/>
          <w:szCs w:val="28"/>
          <w:highlight w:val="none"/>
        </w:rPr>
        <w:t xml:space="preserve"> году направлено </w:t>
      </w:r>
      <w:r>
        <w:rPr>
          <w:rFonts w:ascii="Liberation Sans" w:hAnsi="Liberation Sans" w:cs="Liberation Sans"/>
          <w:iCs/>
          <w:color w:val="000000" w:themeColor="text1"/>
          <w:sz w:val="28"/>
          <w:szCs w:val="28"/>
          <w:highlight w:val="none"/>
        </w:rPr>
        <w:br/>
      </w:r>
      <w:r>
        <w:rPr>
          <w:rFonts w:ascii="Liberation Sans" w:hAnsi="Liberation Sans" w:cs="Liberation Sans"/>
          <w:iCs/>
          <w:color w:val="000000" w:themeColor="text1"/>
          <w:sz w:val="28"/>
          <w:szCs w:val="28"/>
          <w:highlight w:val="none"/>
        </w:rPr>
        <w:t xml:space="preserve">1 370</w:t>
      </w:r>
      <w:r>
        <w:rPr>
          <w:rFonts w:ascii="Liberation Sans" w:hAnsi="Liberation Sans" w:cs="Liberation Sans"/>
          <w:iCs/>
          <w:color w:val="000000" w:themeColor="text1"/>
          <w:sz w:val="28"/>
          <w:szCs w:val="28"/>
          <w:highlight w:val="none"/>
        </w:rPr>
        <w:t xml:space="preserve"> претензий об имеющейся задолженности по аре</w:t>
      </w:r>
      <w:r>
        <w:rPr>
          <w:rFonts w:ascii="Liberation Sans" w:hAnsi="Liberation Sans" w:cs="Liberation Sans"/>
          <w:iCs/>
          <w:color w:val="000000" w:themeColor="text1"/>
          <w:sz w:val="28"/>
          <w:szCs w:val="28"/>
          <w:highlight w:val="none"/>
        </w:rPr>
        <w:t xml:space="preserve">ндной плате </w:t>
      </w:r>
      <w:r>
        <w:rPr>
          <w:rFonts w:ascii="Liberation Sans" w:hAnsi="Liberation Sans" w:cs="Liberation Sans"/>
          <w:iCs/>
          <w:color w:val="000000" w:themeColor="text1"/>
          <w:sz w:val="28"/>
          <w:szCs w:val="28"/>
          <w:highlight w:val="none"/>
        </w:rPr>
        <w:br/>
        <w:t xml:space="preserve">за пользование </w:t>
      </w:r>
      <w:r>
        <w:rPr>
          <w:rFonts w:ascii="Liberation Sans" w:hAnsi="Liberation Sans" w:cs="Liberation Sans"/>
          <w:iCs/>
          <w:color w:val="000000" w:themeColor="text1"/>
          <w:sz w:val="28"/>
          <w:szCs w:val="28"/>
          <w:highlight w:val="none"/>
        </w:rPr>
        <w:t xml:space="preserve">земельными участками и имуществом </w:t>
      </w:r>
      <w:r>
        <w:rPr>
          <w:rFonts w:ascii="Liberation Sans" w:hAnsi="Liberation Sans" w:cs="Liberation Sans"/>
          <w:iCs/>
          <w:color w:val="000000" w:themeColor="text1"/>
          <w:sz w:val="28"/>
          <w:szCs w:val="28"/>
          <w:highlight w:val="none"/>
        </w:rPr>
        <w:t xml:space="preserve">на общую сумму </w:t>
      </w:r>
      <w:r>
        <w:rPr>
          <w:rFonts w:ascii="Liberation Sans" w:hAnsi="Liberation Sans" w:cs="Liberation Sans"/>
          <w:iCs/>
          <w:color w:val="000000" w:themeColor="text1"/>
          <w:sz w:val="28"/>
          <w:szCs w:val="28"/>
          <w:highlight w:val="none"/>
        </w:rPr>
        <w:br/>
      </w:r>
      <w:r>
        <w:rPr>
          <w:rFonts w:ascii="Liberation Sans" w:hAnsi="Liberation Sans" w:cs="Liberation Sans"/>
          <w:iCs/>
          <w:color w:val="000000" w:themeColor="text1"/>
          <w:sz w:val="28"/>
          <w:szCs w:val="28"/>
          <w:highlight w:val="none"/>
        </w:rPr>
        <w:t xml:space="preserve">453,7</w:t>
      </w:r>
      <w:r>
        <w:rPr>
          <w:rFonts w:ascii="Liberation Sans" w:hAnsi="Liberation Sans" w:cs="Liberation Sans"/>
          <w:iCs/>
          <w:color w:val="000000" w:themeColor="text1"/>
          <w:sz w:val="28"/>
          <w:szCs w:val="28"/>
          <w:highlight w:val="none"/>
        </w:rPr>
        <w:t xml:space="preserve"> млн</w:t>
      </w:r>
      <w:r>
        <w:rPr>
          <w:rFonts w:ascii="Liberation Sans" w:hAnsi="Liberation Sans" w:cs="Liberation Sans"/>
          <w:iCs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iCs/>
          <w:color w:val="000000" w:themeColor="text1"/>
          <w:sz w:val="28"/>
          <w:szCs w:val="28"/>
          <w:highlight w:val="none"/>
        </w:rPr>
        <w:t xml:space="preserve">руб.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white"/>
          <w14:ligatures w14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 итогам судебной работы за 2023 год: подано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508 исков (заявлений) о взыскании задолженности за пользование муницип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альным имуществом, земельными участками на сумму </w:t>
        <w:br/>
        <w:t xml:space="preserve">160,5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млн руб.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из них рассмотрено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472 иска, присуждена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сумма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  <w:br/>
        <w:t xml:space="preserve">144,9 млн руб.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В бюджет по судебным актам поступило 92,8 млн руб.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  <w14:ligatures w14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946"/>
        <w:numPr>
          <w:ilvl w:val="1"/>
          <w:numId w:val="2"/>
        </w:numPr>
        <w:ind w:left="0" w:firstLine="0"/>
        <w:jc w:val="center"/>
        <w:spacing w:before="0" w:beforeAutospacing="0" w:after="0" w:afterAutospacing="0" w:line="240" w:lineRule="auto"/>
        <w:tabs>
          <w:tab w:val="left" w:pos="426" w:leader="none"/>
          <w:tab w:val="left" w:pos="709" w:leader="none"/>
          <w:tab w:val="left" w:pos="1134" w:leader="none"/>
        </w:tabs>
        <w:rPr>
          <w:rFonts w:ascii="Liberation Sans" w:hAnsi="Liberation Sans" w:cs="Liberation Sans"/>
          <w:b/>
          <w:bCs w:val="0"/>
          <w:i w:val="0"/>
          <w:sz w:val="28"/>
          <w:szCs w:val="28"/>
          <w14:ligatures w14:val="none"/>
        </w:rPr>
      </w:pPr>
      <w:r/>
      <w:bookmarkStart w:id="30" w:name="_Toc30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</w:r>
      <w:bookmarkStart w:id="0" w:name="undefined"/>
      <w:r/>
      <w:bookmarkStart w:id="0" w:name="undefined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</w:r>
      <w:bookmarkEnd w:id="0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Строительство и архитектура,</w:t>
      </w:r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 </w:t>
      </w:r>
      <w:r>
        <w:rPr>
          <w:sz w:val="28"/>
          <w:szCs w:val="28"/>
        </w:rPr>
      </w:r>
      <w:bookmarkEnd w:id="30"/>
      <w:r>
        <w:rPr>
          <w:rFonts w:ascii="Liberation Sans" w:hAnsi="Liberation Sans" w:cs="Liberation Sans"/>
          <w:b/>
          <w:bCs w:val="0"/>
          <w:i w:val="0"/>
          <w:sz w:val="28"/>
          <w:szCs w:val="28"/>
          <w14:ligatures w14:val="none"/>
        </w:rPr>
      </w:r>
      <w:r/>
    </w:p>
    <w:p>
      <w:pPr>
        <w:pStyle w:val="946"/>
        <w:ind w:left="0" w:firstLine="0"/>
        <w:jc w:val="center"/>
        <w:spacing w:before="0" w:beforeAutospacing="0" w:after="0" w:afterAutospacing="0" w:line="240" w:lineRule="auto"/>
        <w:tabs>
          <w:tab w:val="left" w:pos="426" w:leader="none"/>
          <w:tab w:val="left" w:pos="1134" w:leader="none"/>
        </w:tabs>
        <w:rPr>
          <w:rFonts w:ascii="Liberation Sans" w:hAnsi="Liberation Sans" w:cs="Liberation Sans"/>
          <w:sz w:val="28"/>
          <w:szCs w:val="28"/>
        </w:rPr>
      </w:pPr>
      <w:r/>
      <w:bookmarkStart w:id="31" w:name="_Toc31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территориальное планирование муниципального образования</w:t>
      </w:r>
      <w:bookmarkEnd w:id="0"/>
      <w:r>
        <w:rPr>
          <w:sz w:val="28"/>
          <w:szCs w:val="28"/>
        </w:rPr>
      </w:r>
      <w:bookmarkEnd w:id="31"/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44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b w:val="0"/>
          <w:i w:val="0"/>
          <w:iCs w:val="0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8"/>
        <w:jc w:val="both"/>
        <w:spacing w:after="0" w:line="240" w:lineRule="auto"/>
        <w:shd w:val="clear" w:color="auto" w:fill="auto"/>
        <w:rPr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 году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целях обеспечения комплексного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развития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территории муниципального образования:</w:t>
      </w:r>
      <w:r>
        <w:rPr>
          <w:sz w:val="28"/>
          <w:szCs w:val="28"/>
          <w:highlight w:val="none"/>
        </w:rPr>
      </w:r>
      <w:r/>
    </w:p>
    <w:p>
      <w:pPr>
        <w:ind w:left="0" w:firstLine="709"/>
        <w:jc w:val="both"/>
        <w:spacing w:after="0" w:afterAutospacing="0" w:line="240" w:lineRule="auto"/>
        <w:shd w:val="clear" w:color="auto" w:fill="auto"/>
        <w:rPr>
          <w:highlight w:val="none"/>
        </w:rPr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рамках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Программы («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дорожной карты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») взаимодействия Правительства ЯНАО и ПАО «Газпром»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при реализации объектов (проектов) социально-эк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ономического развития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города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Новый Уренгой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проводилась работа по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предоставлению исходных документов </w:t>
        <w:br/>
        <w:t xml:space="preserve">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рассмотрению проекта внесения изменений в генеральный план муниципального образования город Новый Уренгой, разработанного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ООО «Газпром добыча Уренгой»</w:t>
      </w:r>
      <w:r>
        <w:rPr>
          <w:rFonts w:ascii="Liberation Sans" w:hAnsi="Liberation Sans" w:cs="Liberation Sans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утв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ерждены 13 проект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ов планировки и межевания следующих территорий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инейный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объект «С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троительство дороги от ул. Дачная </w:t>
        <w:br/>
        <w:t xml:space="preserve">до полигона твердых отходов строительных материалов и конструкций,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Новый Уренгой, в т.ч. ПИР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линейный объект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«Мост № 8 через </w:t>
        <w:br/>
        <w:t xml:space="preserve">р.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Варенга-Яха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по ул. Больничный проезд»;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инейный объе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кт «Реконструкция ул. Новая от ул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Магистральная до ул. Таежная,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г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Новый Уренгой»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линейный объект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«Реконструкция </w:t>
        <w:br/>
        <w:t xml:space="preserve">ул. Железнодорожной,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г. Новый Уренгой, в т.ч. затраты на ПИР»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инейный 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бъект 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Мост № 10 через р.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Тамчару-Яха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подъезд </w:t>
        <w:br/>
        <w:t xml:space="preserve">к пансионату «Газовик» на водозабор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линейный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объект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Строительство площадки накопления снега,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т.ч. затраты </w:t>
        <w:br/>
        <w:t xml:space="preserve">на проектно-изыскательские работы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линейны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й объект «Реконструкция ул. Геологоразведчиков (от ул. Юбилейной </w:t>
        <w:br/>
        <w:t xml:space="preserve">до ул. 26 съезда КПСС)»;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инейный об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ъект 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Реконструкция ул. Игоря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Подовжнего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от ул. Мира до ул. Дружбы народов,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Новый Уренгой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инейный объе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кт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Строительство дороги до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канализационно-очистных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сооружений в районе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Коротчаево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в т.ч. ПИР»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икрорай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он Звездный 02:14, Олимпийский 02:15 и Парковый 02:22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садовое некоммерче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ское товарищество «Рублёвка-2», расположенно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 по адресу: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ЯНАО, </w:t>
        <w:br/>
        <w:t xml:space="preserve">г. Новый Уренгой,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Уралец, в границах земельного участка </w:t>
        <w:br/>
        <w:t xml:space="preserve">с кадастровым номером 89:11:040101:7435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товарищество собственников недвижимости «Виктория», расположе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нно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 по адресу: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ЯНАО, г. Новый Уренгой,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Уралец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в границах земельного участка с кадастровым номером 89:11:040101:7401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объект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Жилая застройка в мкр. Уютный, г. Новый Уренгой»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 </w:t>
      </w:r>
      <w:r>
        <w:rPr>
          <w:highlight w:val="none"/>
        </w:rPr>
      </w:r>
      <w:r/>
    </w:p>
    <w:p>
      <w:pPr>
        <w:ind w:left="0" w:firstLine="709"/>
        <w:jc w:val="both"/>
        <w:spacing w:after="0" w:line="240" w:lineRule="auto"/>
        <w:shd w:val="clear" w:color="auto" w:fill="auto"/>
        <w:rPr>
          <w:highlight w:val="none"/>
        </w:rPr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рин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ято 1 решение о подготовке документации по планировке территории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121"/>
        <w:ind w:left="0" w:firstLine="708"/>
        <w:jc w:val="both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проведено 13 заочных заседаний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Комиссии </w:t>
        <w:br/>
        <w:t xml:space="preserve">по землепользованию и застройке города Новый Уренгой </w:t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предложениям, поступившим от физических и юридических лиц.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Подготовлено 13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протоколов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(2022 год - 7);</w:t>
      </w:r>
      <w:r>
        <w:rPr>
          <w:highlight w:val="none"/>
        </w:rPr>
      </w:r>
      <w:r/>
    </w:p>
    <w:p>
      <w:pPr>
        <w:pStyle w:val="1121"/>
        <w:ind w:left="0" w:firstLine="708"/>
        <w:jc w:val="both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актуализированы Правила зе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млепользования и застройки муниципального образования город Новый Уренгой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постановления Администрации города Новый Уренгой от 24.01.2023 № 33,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от 06.09.2023 № 413)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(далее - ПЗЗ)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1121"/>
        <w:ind w:left="0" w:firstLine="708"/>
        <w:jc w:val="both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рамках муниципального контракта от 14.06.20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23 № 234-юр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  <w:t xml:space="preserve">на выполнение кадастровых работ ООО «Центр геодезии и землеустройства» проведена работа по подготовке и направлению документов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в филиал ППК «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Роскадастр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» по ЯНАО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для осуществления государственного кадастрового учета в Едином государственном реестре недвижимости (далее - ЕГРН) изменений границ террит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ориальных зон ПЗЗ муниципального образования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Доля территориальных зон,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сведения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о границах которых внесены в ЕГРН, в общем количестве территориальных зон, установленных ПЗЗ, составляет 100% (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в ЕГРН внесены сведения </w:t>
        <w:br/>
        <w:t xml:space="preserve">по 31 территориальной зоне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(за исключением отдельных контуров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  <w14:ligatures w14:val="none"/>
        </w:rPr>
        <w:t xml:space="preserve">.</w:t>
      </w:r>
      <w:r>
        <w:rPr>
          <w:highlight w:val="none"/>
        </w:rPr>
      </w:r>
      <w:r/>
    </w:p>
    <w:p>
      <w:pPr>
        <w:pStyle w:val="1121"/>
        <w:ind w:firstLine="708"/>
        <w:jc w:val="both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связи с необходимостью приведения ПЗЗ в соотв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етствие </w:t>
        <w:br/>
        <w:t xml:space="preserve">с требованиями стат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ь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40.1 Градостроительного кодекса Российской Федерации, а также в соответствие с требованиями к архитектурно-градостроительному облику объекта капитального строительства, утвержденными постановлением Правительства Российской Федерации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от 29.05.2023 № 857,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заключен муниципальный  контракт </w:t>
        <w:br/>
        <w:t xml:space="preserve">от 02.10.2023 № 407-юр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между Администрацией города Новый Уренгой и ООО «Проектная мастерская ФОСТЕР»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на выполнение работ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подготовк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проекта по внесению изменений в ПЗЗ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(далее - ПЗЗ)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 части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отображения на карте градостроительног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о зонирования территорий, </w:t>
        <w:br/>
        <w:t xml:space="preserve">в границах которых предусматриваются требования к архитектурно-градостроительному обли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ку объектов капитального строительства;</w:t>
      </w:r>
      <w: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включения в градостроительные регламенты требований </w:t>
        <w:br/>
        <w:t xml:space="preserve">к архитектурно-градостроительному облику объектов капитального строительства.</w:t>
      </w:r>
      <w:r>
        <w:rPr>
          <w:highlight w:val="none"/>
        </w:rPr>
      </w:r>
      <w:r/>
    </w:p>
    <w:p>
      <w:pPr>
        <w:pStyle w:val="1121"/>
        <w:ind w:firstLine="709"/>
        <w:jc w:val="both"/>
        <w:spacing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целях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улучшения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комфортной городской среды подготовлены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концептуальные предложения по планировочной организации земельных участк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ов следующих территорий:</w:t>
      </w:r>
      <w:r>
        <w:rPr>
          <w:highlight w:val="none"/>
        </w:rPr>
      </w:r>
      <w:r/>
    </w:p>
    <w:p>
      <w:pPr>
        <w:pStyle w:val="1121"/>
        <w:ind w:firstLine="709"/>
        <w:jc w:val="both"/>
        <w:spacing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благоустройство территории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внутриквартальных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проездов </w:t>
        <w:br/>
        <w:t xml:space="preserve">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Правобережный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 районе МАДОУ «ДС 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Виниклюзия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»;</w:t>
      </w:r>
      <w:r>
        <w:rPr>
          <w:highlight w:val="none"/>
        </w:rPr>
      </w:r>
      <w:r/>
    </w:p>
    <w:p>
      <w:pPr>
        <w:pStyle w:val="1121"/>
        <w:ind w:firstLine="709"/>
        <w:jc w:val="both"/>
        <w:spacing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 схема размещения Флага России в районе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Лимбяяха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121"/>
        <w:ind w:firstLine="709"/>
        <w:jc w:val="both"/>
        <w:spacing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эскизы фоновой стелы памятника Защитникам Отечества </w:t>
        <w:br/>
        <w:t xml:space="preserve">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ллее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Мужества 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Оптимистов;</w:t>
      </w:r>
      <w:r>
        <w:rPr>
          <w:highlight w:val="none"/>
        </w:rPr>
      </w:r>
      <w:r/>
    </w:p>
    <w:p>
      <w:pPr>
        <w:pStyle w:val="1121"/>
        <w:ind w:firstLine="709"/>
        <w:jc w:val="both"/>
        <w:spacing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 схема расстановки световых качелей по ул. Центральная магистраль;</w:t>
      </w:r>
      <w:r>
        <w:rPr>
          <w:highlight w:val="none"/>
        </w:rPr>
      </w:r>
      <w:r/>
    </w:p>
    <w:p>
      <w:pPr>
        <w:pStyle w:val="1121"/>
        <w:ind w:firstLine="709"/>
        <w:jc w:val="both"/>
        <w:spacing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схема обустройства площадки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топиарной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фигуры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Жираф-байкер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 по ул. Центральная магистраль; </w:t>
      </w:r>
      <w:r>
        <w:rPr>
          <w:highlight w:val="none"/>
        </w:rPr>
      </w:r>
      <w:r/>
    </w:p>
    <w:p>
      <w:pPr>
        <w:pStyle w:val="1121"/>
        <w:ind w:firstLine="709"/>
        <w:jc w:val="both"/>
        <w:spacing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 схема размещения АЗС 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Лукойл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 в комплексе с городской стелой по ул. Западная магистраль.</w:t>
      </w:r>
      <w:r>
        <w:rPr>
          <w:highlight w:val="none"/>
        </w:rPr>
      </w:r>
      <w:r/>
    </w:p>
    <w:p>
      <w:pPr>
        <w:pStyle w:val="1121"/>
        <w:ind w:firstLine="709"/>
        <w:jc w:val="both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качестве членов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Экспертного совета по рассмотрению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дизайн-проектов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благоустройства парков, об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щественных и дворовых территорий в Ямало-Ненецком автономном округе </w:t>
        <w:br/>
        <w:t xml:space="preserve">при Градостроительном совете Ямало-Ненецкого автономного округа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ассмотрено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48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дизайн-прое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ктов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1121"/>
        <w:ind w:firstLine="709"/>
        <w:jc w:val="both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сфере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градостроительства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 архитектуры: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tabs>
          <w:tab w:val="left" w:pos="709" w:leader="none"/>
        </w:tabs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выдано 338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градостроительных план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земельных участков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для строительства и реконструкции объектов капитального строительства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отказано в выдаче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 108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заявлениям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(2022 год - выдано 260/отказано по 140 заявлениям, 2021 год - выдано 268/отказано по 13 заявлениям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121"/>
        <w:ind w:firstLine="709"/>
        <w:jc w:val="both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выдано 46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разрешений на строительство объектов капитального строительства, отказано в выдаче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108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обращениям,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 продлен срок действия по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26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разрешени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ям (2022 год - 29 разрешений, 87 отказов, </w:t>
        <w:br/>
        <w:t xml:space="preserve">13 разрешений по продлению сроков действия; 2021 год - </w:t>
        <w:br/>
        <w:t xml:space="preserve">23 разрешения, 41 отказ, 28 разрешений по продлению сроков действия); </w:t>
      </w:r>
      <w:r>
        <w:rPr>
          <w:highlight w:val="none"/>
        </w:rPr>
      </w:r>
      <w:r/>
    </w:p>
    <w:p>
      <w:pPr>
        <w:pStyle w:val="1121"/>
        <w:ind w:firstLine="709"/>
        <w:jc w:val="both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выдано 23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разрешения на ввод в эксплуатацию объектов капитального строительства, отказано в выдаче 158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разрешений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(2022 год - выдано 18 разрешений, 160 отказов в выдаче разрешений; 2021 год - выдано 29 разрешений, 187 отказов в выдаче разрешений)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Проведено 25 осмотров объектов капитального строительства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121"/>
        <w:ind w:firstLine="709"/>
        <w:jc w:val="both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выдано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28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разрешени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й на осуществление земляных работ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 </w:t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разрешениям продлены сроки действия, 2 разрешения </w:t>
        <w:br/>
        <w:t xml:space="preserve">на осуществление земляных работ закрыты в связи с завершением работ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отказано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выдаче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37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разрешений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(2022 год 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30 разрешений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/</w:t>
        <w:br/>
        <w:t xml:space="preserve">15 отказов в выдаче разрешений, 2021 год -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51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разрешени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/18 отказов в выдаче разрешений);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выдано 12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уведомлени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й о соответствии указанных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в уведомлении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 планируемом строительстве параметров запрашиваемых объектов установленным параметрам и допустимости их размещения на земельном участке,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9 уведомлений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 несоответствии параметров запрашиваемых объектов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установленным параметрам </w:t>
        <w:br/>
        <w:t xml:space="preserve">и о не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допустимости их размещения на земельном участке (2022 год – выдано 24 уведомления о соответствии, 16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уведомлений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  <w:br/>
        <w:t xml:space="preserve">о несоответствии;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2021 год - выдано 44 уведомления о соответствии, 4 уведомления о несоответствии);</w:t>
      </w:r>
      <w:r>
        <w:rPr>
          <w:highlight w:val="none"/>
        </w:rPr>
      </w:r>
      <w:r/>
    </w:p>
    <w:p>
      <w:pPr>
        <w:pStyle w:val="1138"/>
        <w:ind w:firstLine="709"/>
        <w:jc w:val="both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выдано 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разрешени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я на условно разрешенный вид использования земельного участка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отказано в выдаче 7 разрешений (2022 год - 2 разрешения/7 отказов, 2021 год - 1 разрешение/1 отказ)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highlight w:val="none"/>
        </w:rPr>
        <w:t xml:space="preserve"> </w:t>
      </w:r>
      <w:r>
        <w:rPr>
          <w:highlight w:val="none"/>
        </w:rPr>
      </w:r>
      <w:r/>
    </w:p>
    <w:p>
      <w:pPr>
        <w:pStyle w:val="1138"/>
        <w:ind w:firstLine="709"/>
        <w:jc w:val="both"/>
        <w:shd w:val="clear" w:color="auto" w:fill="auto"/>
        <w:rPr>
          <w:highlight w:val="none"/>
        </w:rPr>
      </w:pPr>
      <w:r>
        <w:rPr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принято 102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правовых акт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 о согласовании переустройства </w:t>
        <w:br/>
        <w:t xml:space="preserve">и перепланировки жилых помещений,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81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правовой акт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об отказе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согласовании (2022 год 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125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правовых акт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 согласовании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58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правовых акт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об отказе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 2021 год - 148 правовых актов </w:t>
        <w:br/>
        <w:t xml:space="preserve">о согласовании, 50 об отк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азе в согласовании);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проведено 106 осмотр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ов помещений в составе приемочной комиссии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 завершении переустройства и (или) перепланировки помещений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одготовлен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62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акт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 приемочной комиссии о завершении переустройства и (или) перепланировки помещений,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44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уведомления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об отказе в выдаче актов (2022 год - 102 акта приемочной комиссии, </w:t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38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уведомлений об отказе в выдач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 актов;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2021 год 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125 актов приемочной комиссии, 49 уведомлений об отказе в выдач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 актов)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подготов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лен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1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уведомление 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правовой акт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 переводе жилого помещения в нежилое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или нежилого помещения в жилое помещение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(2022 год 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уведомление 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правовой акт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 переводе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9 уведомлений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9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правов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ых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акт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об отказе в переводе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 2021 год - </w:t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уведомления 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правовых акт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 переводе,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5 уведомлений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  <w:br/>
        <w:t xml:space="preserve">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5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правов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ых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акт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об отказе в переводе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);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highlight w:val="none"/>
        </w:rPr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выдан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акт освидетельствования проведения основных работ по строительству объекта индивидуального жилищного строительства (монтаж фундамента, возведение стен и кровли) или проведение работ по реконструкции объекта индивидуального жилищного строи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льства, в результате которых общая площадь жилого помещения </w:t>
        <w:br/>
        <w:t xml:space="preserve">(жилых помещений) реконструируемого объекта увеличивается </w:t>
        <w:br/>
        <w:t xml:space="preserve">не менее чем на учетную норму площади жилого помещения, устанавливаемую в соответствии с жилищным законодательством Российской Федерации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auto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предоставлен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сведения из информационной системы обеспечения градостроительной деятельности (включая топографическую съе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мку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 выписки из Правил землепользования и застройки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 (далее - ИСОГД) по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145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заявлениям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отказано </w:t>
        <w:br/>
        <w:t xml:space="preserve">в предоставлении по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заявлени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ям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(2022 год 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предоставлен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сведения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144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заявлениям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отказано в предоставлении </w:t>
        <w:br/>
        <w:t xml:space="preserve">по 18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заявлени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ям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2021 год 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предоставлен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сведения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по 155 заявлениям,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отказано в предоставлении по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заявлени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ям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рамках межведомственного в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заимодействия подготовлено и направлено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более 72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справок и выписок из ИСОГД.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Доходы от предоставления указанных сведений составили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583,0 тыс.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руб.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(2022 год - 361,0 тыс. руб., 2021 год -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170,3 тыс. руб.)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auto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рассмотре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но 128 заявлений по присвоению адреса объекту адресации, изменени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ю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и аннулировани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ю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такого адреса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в том числе поступивших через ФИАС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auto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- принято 182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правовых акт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а о присвоении, изменении адресов объектам адресации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(2022 год - 119 правовых актов, 2021 год - </w:t>
        <w:br/>
        <w:t xml:space="preserve">264 правовых акта)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В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Фед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еральную информационную адресную систему (далее - ФИАС) внесено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3 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055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объектов а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дресации,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  <w:br/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из них 2 765 объектов капитального строительства и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290 земельных участков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(2022 год - 264 объекта адресации);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tabs>
          <w:tab w:val="left" w:pos="871" w:leader="none"/>
        </w:tabs>
        <w:rPr>
          <w:highlight w:val="none"/>
        </w:rPr>
        <w:suppressLineNumbers w:val="0"/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- принято 12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правовых акт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ов о присвоении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наименований элементам улично-дорожной сети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и элементам планировочной структуры города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В ФИАС внесено 18 улиц (проездов) и 2 территории города (2022 год 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5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иц (проездов)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4 садовых товариществ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highlight w:val="none"/>
        </w:rPr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выполнены работы по наполнению Государственного адресного реестра сведениями об адресах и кадастровых номерах земельных участков, объектов капитального строительства, помещений. 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ФИАС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внесено более 10,5 тысяч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кадастровых номеров объектов недвижимости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ind w:left="0" w:firstLine="709"/>
        <w:jc w:val="both"/>
        <w:spacing w:after="0" w:line="240" w:lineRule="auto"/>
        <w:shd w:val="clear" w:color="auto" w:fill="auto"/>
        <w:rPr>
          <w:highlight w:val="none"/>
        </w:rPr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выдано 10 разрешений на установку и эксплуатацию рекламных конструкций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отказано в выдаче разрешений по 11 обращениям,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выдано 25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предписаний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 демонтаже незаконно размещенных рекламных конструкций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(2022 год - 17 разрешений/9 предписаний </w:t>
        <w:br/>
        <w:t xml:space="preserve">о демонтаже, 2021 год 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9 разрешений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/отказано по 3 обращениям/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54 предписания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 демонтаже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бюджет муниципального образования поступило 50,0 тыс. руб. з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 счет взимаемой пошлины </w:t>
        <w:br/>
        <w:t xml:space="preserve">за выдачу разрешений на установку и эксплуатацию рекламных конструкций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(2022 год - 85,0 тыс. руб., 2021 год 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45,0 тыс. руб.)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highlight w:val="none"/>
        </w:rPr>
      </w:r>
      <w:r/>
    </w:p>
    <w:p>
      <w:pPr>
        <w:ind w:left="0" w:firstLine="709"/>
        <w:jc w:val="both"/>
        <w:spacing w:after="0" w:line="240" w:lineRule="auto"/>
        <w:shd w:val="clear" w:color="auto" w:fill="auto"/>
        <w:rPr>
          <w:highlight w:val="none"/>
        </w:rPr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Актуализирована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схема размещения рекламных конструкций </w:t>
        <w:br/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на земельных участках независимо от форм собственности, а также </w:t>
        <w:br/>
        <w:t xml:space="preserve">на зданиях или ином недвижимом имуществе, находящихся </w:t>
        <w:br/>
        <w:t xml:space="preserve">в собственности Ямало-Ненецкого автономного округа, муниципальной собственности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(постановление Администрации города Новый Уренгой от 18.07.2023 № 333)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697"/>
        <w:jc w:val="both"/>
        <w:spacing w:after="0" w:line="240" w:lineRule="auto"/>
        <w:shd w:val="clear" w:color="auto" w:fill="auto"/>
        <w:tabs>
          <w:tab w:val="left" w:pos="871" w:leader="none"/>
        </w:tabs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2023 году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при содействии Управления градостроительства и архитектуры Администрации города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осуществлен демонтаж незаконной крупноформатной рекламной конструкции – светодиодного экрана, расположенного по ул. 26 Съезда КПСС, в ра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йоне ТЦ «Пассаж»;</w:t>
      </w:r>
      <w:r>
        <w:rPr>
          <w:highlight w:val="none"/>
        </w:rPr>
      </w:r>
      <w:r/>
    </w:p>
    <w:p>
      <w:pPr>
        <w:ind w:firstLine="697"/>
        <w:jc w:val="both"/>
        <w:spacing w:after="0" w:line="240" w:lineRule="auto"/>
        <w:shd w:val="clear" w:color="auto" w:fill="auto"/>
        <w:tabs>
          <w:tab w:val="left" w:pos="871" w:leader="none"/>
        </w:tabs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выдано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19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решений о согласовании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дизайн-проектов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размещения вывесок на фасадах зданий, отказано в выдаче </w:t>
        <w:br/>
        <w:t xml:space="preserve">по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30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обращениям (2022 год - 16 разрешений/11 отказов, 2021 год – </w:t>
        <w:br/>
        <w:t xml:space="preserve">20 решений /16 отказов);</w:t>
      </w:r>
      <w:r>
        <w:rPr>
          <w:highlight w:val="none"/>
        </w:rPr>
      </w:r>
      <w:r/>
    </w:p>
    <w:p>
      <w:pPr>
        <w:ind w:firstLine="697"/>
        <w:jc w:val="both"/>
        <w:spacing w:after="0" w:line="240" w:lineRule="auto"/>
        <w:shd w:val="clear" w:color="auto" w:fill="auto"/>
        <w:tabs>
          <w:tab w:val="left" w:pos="871" w:leader="none"/>
        </w:tabs>
        <w:rPr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подготовлено 175 заключений по предварительному согласованию размещения объектов в муниципальном образовании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из них 152 заключения о согласовании, 23 - об отказе (2022 год - </w:t>
        <w:br/>
        <w:t xml:space="preserve">132 заключения, 2021 год - 148 заключений)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ind w:left="0" w:firstLine="709"/>
        <w:jc w:val="both"/>
        <w:spacing w:after="0" w:line="240" w:lineRule="auto"/>
        <w:shd w:val="clear" w:color="auto" w:fill="auto"/>
        <w:rPr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рассмотрено 84 обращения по согласованию эскизных проектов (паспортов фасадов) объектов, их них по 54 обращениям выданы согласования, по 30 обращениям - отказы в согласовании (2022 год - </w:t>
        <w:br/>
        <w:t xml:space="preserve">86 обращений, 2021 год - 90 обращений);</w:t>
      </w:r>
      <w:r>
        <w:rPr>
          <w:highlight w:val="none"/>
        </w:rPr>
      </w:r>
      <w:r/>
    </w:p>
    <w:p>
      <w:pPr>
        <w:ind w:left="0" w:firstLine="709"/>
        <w:jc w:val="both"/>
        <w:spacing w:after="0" w:line="240" w:lineRule="auto"/>
        <w:shd w:val="clear" w:color="auto" w:fill="auto"/>
        <w:rPr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предоставлено 1 разрешение на отклонение от предельных параметров разрешенного строительства;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tabs>
          <w:tab w:val="left" w:pos="709" w:leader="none"/>
        </w:tabs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рассмотрено 29 уведомлений о планируемом сносе объекта капита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ьного строительства и о завершении сноса объекта капитального строительства и прилагаемых к ним документов </w:t>
        <w:br/>
        <w:t xml:space="preserve">(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2022 год - 143,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2021 год - 77);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tabs>
          <w:tab w:val="left" w:pos="709" w:leader="none"/>
        </w:tabs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подготовлен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51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решени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 о согласовании места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площадки)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накопления твердых коммунальных отходов,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отказано в согласовании по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128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заявлениям (2022 год 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86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решени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 согласовании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120 отказов в согласовании, 2021 год - 36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решени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 согласовании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33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отказа </w:t>
        <w:br/>
        <w:t xml:space="preserve">в согласовании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tabs>
          <w:tab w:val="left" w:pos="709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946"/>
        <w:numPr>
          <w:ilvl w:val="1"/>
          <w:numId w:val="2"/>
        </w:numPr>
        <w:ind w:left="0" w:firstLine="0"/>
        <w:jc w:val="center"/>
        <w:spacing w:before="0" w:beforeAutospacing="0" w:after="0" w:afterAutospacing="0" w:line="240" w:lineRule="auto"/>
        <w:tabs>
          <w:tab w:val="left" w:pos="426" w:leader="none"/>
          <w:tab w:val="left" w:pos="709" w:leader="none"/>
          <w:tab w:val="left" w:pos="1134" w:leader="none"/>
        </w:tabs>
        <w:rPr>
          <w:rFonts w:ascii="Liberation Sans" w:hAnsi="Liberation Sans" w:cs="Liberation Sans"/>
          <w:sz w:val="28"/>
          <w:szCs w:val="28"/>
        </w:rPr>
      </w:pPr>
      <w:r/>
      <w:bookmarkStart w:id="32" w:name="_Toc32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Жилищно-коммунальное хозяйство</w:t>
      </w:r>
      <w:bookmarkEnd w:id="0"/>
      <w:r/>
      <w:bookmarkEnd w:id="32"/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68"/>
        <w:ind w:left="0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/>
      <w:bookmarkStart w:id="33" w:name="_Toc33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Ж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илищн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ый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фонд</w:t>
      </w:r>
      <w:bookmarkEnd w:id="0"/>
      <w:r/>
      <w:bookmarkEnd w:id="33"/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68"/>
        <w:ind w:left="0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tabs>
          <w:tab w:val="left" w:pos="709" w:leader="none"/>
          <w:tab w:val="clear" w:pos="7143" w:leader="none"/>
          <w:tab w:val="clear" w:pos="14287" w:leader="none"/>
        </w:tabs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 состоянию на 31.12.2023 жилищный фон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 включае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 646 домов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общей площадью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2 774,14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тыс. кв. м (+3% к 2022 году)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tabs>
          <w:tab w:val="left" w:pos="709" w:leader="none"/>
          <w:tab w:val="clear" w:pos="7143" w:leader="none"/>
          <w:tab w:val="clear" w:pos="14287" w:leader="none"/>
        </w:tabs>
        <w:rPr>
          <w:rFonts w:ascii="Liberation Sans" w:hAnsi="Liberation Sans" w:cs="Liberation Sans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auto"/>
        </w:rPr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auto"/>
        </w:rPr>
        <w:t xml:space="preserve">Муниципальный жилищный фонд составил 145 домов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auto"/>
        </w:rPr>
        <w:t xml:space="preserve"> </w:t>
        <w:br/>
        <w:t xml:space="preserve">(22,4% жилищного фонда) общей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auto"/>
        </w:rPr>
        <w:t xml:space="preserve"> площ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auto"/>
        </w:rPr>
        <w:t xml:space="preserve">адью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auto"/>
        </w:rPr>
        <w:t xml:space="preserve">245,95 тыс.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auto"/>
        </w:rPr>
        <w:t xml:space="preserve"> кв. м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(8,9% </w:t>
        <w:br/>
        <w:t xml:space="preserve">от общей площади жилфонда).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tabs>
          <w:tab w:val="left" w:pos="709" w:leader="none"/>
          <w:tab w:val="clear" w:pos="7143" w:leader="none"/>
          <w:tab w:val="clear" w:pos="14287" w:leader="none"/>
        </w:tabs>
        <w:rPr>
          <w:color w:val="000000" w:themeColor="text1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Обеспеченность населения города жильем в 2023 году составила 26 кв. м/чел. (2022 год - 25,2, 2021 год - 22,7).</w:t>
      </w:r>
      <w:r>
        <w:rPr>
          <w:color w:val="000000" w:themeColor="text1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tabs>
          <w:tab w:val="left" w:pos="709" w:leader="none"/>
          <w:tab w:val="clear" w:pos="7143" w:leader="none"/>
          <w:tab w:val="clear" w:pos="14287" w:leader="none"/>
        </w:tabs>
        <w:rPr>
          <w:rFonts w:ascii="Liberation Sans" w:hAnsi="Liberation Sans" w:cs="Liberation Sans"/>
          <w:sz w:val="28"/>
          <w:szCs w:val="28"/>
        </w:rPr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center"/>
        <w:spacing w:after="0" w:line="240" w:lineRule="auto"/>
        <w:shd w:val="clear" w:color="auto" w:fill="auto"/>
        <w:tabs>
          <w:tab w:val="left" w:pos="709" w:leader="none"/>
          <w:tab w:val="clear" w:pos="7143" w:leader="none"/>
          <w:tab w:val="clear" w:pos="14287" w:leader="none"/>
        </w:tabs>
        <w:suppressLineNumbers w:val="0"/>
      </w:pPr>
      <w:r>
        <w:rPr>
          <w:highlight w:val="none"/>
        </w:rPr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drawing>
          <wp:inline distT="0" distB="0" distL="0" distR="0">
            <wp:extent cx="4630116" cy="2661067"/>
            <wp:effectExtent l="4762" t="4762" r="4762" b="4762"/>
            <wp:docPr id="2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>
        <w:rPr>
          <w:highlight w:val="none"/>
        </w:rPr>
      </w:r>
      <w:r/>
    </w:p>
    <w:p>
      <w:pPr>
        <w:ind w:left="0" w:firstLine="0"/>
        <w:jc w:val="both"/>
        <w:spacing w:after="0" w:line="240" w:lineRule="auto"/>
        <w:shd w:val="clear" w:color="auto" w:fill="auto"/>
        <w:tabs>
          <w:tab w:val="left" w:pos="709" w:leader="none"/>
          <w:tab w:val="clear" w:pos="7143" w:leader="none"/>
          <w:tab w:val="clear" w:pos="14287" w:leader="none"/>
        </w:tabs>
        <w:rPr>
          <w:rFonts w:ascii="Liberation Sans" w:hAnsi="Liberation Sans" w:cs="Liberation Sans"/>
          <w:sz w:val="28"/>
          <w:szCs w:val="28"/>
        </w:rPr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8"/>
        <w:jc w:val="both"/>
        <w:spacing w:after="0" w:line="240" w:lineRule="auto"/>
        <w:shd w:val="clear" w:color="auto" w:fill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Площ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адь аварийного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жилищного фонда, переселение граждан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из которого предусмотрено программами, утвержденными постановлениями Правительства Ямало-Ненецкого автономного округа от 05.04.2019 № 346-П «Об у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тверждении 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егиональной адресной програ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ммы по переселению граждан из аварийного жилищного фонда на территории Ямало-Ненецкого автономного округа в 2019-2024 годах» (ред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акции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от 08.12.2023 № 918-П) (далее - постановление ЯНАО </w:t>
        <w:br/>
        <w:t xml:space="preserve">от 05.04.2019 № 346-П)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от 11.02.2020 № 112-П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«Об утверждении Программы по пересе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лению граждан из аварийного жилищ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ного фонда и жилищного фонда, планируемого к признанию аварийным, </w:t>
        <w:br/>
        <w:t xml:space="preserve">на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рритории Ямало-Ненецкого автономного округа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на 2019-2028 годы»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состав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ила 91,45 тыс. кв. м (433 дома).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spacing w:after="0" w:line="240" w:lineRule="auto"/>
        <w:shd w:val="clear" w:color="auto" w:fill="auto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drawing>
          <wp:inline distT="0" distB="0" distL="0" distR="0">
            <wp:extent cx="5373069" cy="2516880"/>
            <wp:effectExtent l="3175" t="3175" r="3175" b="3175"/>
            <wp:docPr id="2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</w:pP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</w:r>
      <w:r>
        <w:rPr>
          <w:highlight w:val="none"/>
        </w:rPr>
        <w:drawing>
          <wp:inline distT="0" distB="0" distL="0" distR="0">
            <wp:extent cx="4838088" cy="2661073"/>
            <wp:effectExtent l="0" t="0" r="0" b="0"/>
            <wp:docPr id="29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line="240" w:lineRule="auto"/>
        <w:shd w:val="clear" w:color="auto" w:fill="auto"/>
      </w:pPr>
      <w:r>
        <w:rPr>
          <w:rFonts w:ascii="Liberation Sans" w:hAnsi="Liberation Sans" w:cs="Liberation Sans"/>
          <w:sz w:val="20"/>
          <w:szCs w:val="20"/>
          <w:highlight w:val="none"/>
        </w:rPr>
        <w:t xml:space="preserve">*В соответствии с программами переселения из аварийного жилищного фонда, утвержденными постановлениями Правительства Ямало-Ненецкого автономного округа </w:t>
        <w:br/>
        <w:t xml:space="preserve">от 05.04.2019 № 346-П, </w:t>
      </w:r>
      <w:r>
        <w:rPr>
          <w:rFonts w:ascii="Liberation Sans" w:hAnsi="Liberation Sans" w:cs="Liberation Sans"/>
          <w:sz w:val="20"/>
          <w:szCs w:val="20"/>
          <w:highlight w:val="none"/>
        </w:rPr>
        <w:t xml:space="preserve">от 11.02.2020 № 112-П</w:t>
      </w:r>
      <w:r>
        <w:rPr>
          <w:rFonts w:ascii="Liberation Sans" w:hAnsi="Liberation Sans" w:cs="Liberation Sans"/>
          <w:sz w:val="20"/>
          <w:szCs w:val="20"/>
          <w:highlight w:val="none"/>
        </w:rPr>
        <w:t xml:space="preserve">, </w:t>
      </w:r>
      <w:r>
        <w:rPr>
          <w:rFonts w:ascii="Liberation Sans" w:hAnsi="Liberation Sans" w:cs="Liberation Sans"/>
          <w:sz w:val="20"/>
          <w:szCs w:val="20"/>
          <w:highlight w:val="none"/>
        </w:rPr>
        <w:t xml:space="preserve">на</w:t>
      </w:r>
      <w:r>
        <w:rPr>
          <w:rFonts w:ascii="Liberation Sans" w:hAnsi="Liberation Sans" w:cs="Liberation Sans"/>
          <w:sz w:val="20"/>
          <w:szCs w:val="20"/>
          <w:highlight w:val="none"/>
        </w:rPr>
        <w:t xml:space="preserve">растающим итогом за период 2019 - 2023 годы.</w:t>
      </w:r>
      <w:r>
        <w:rPr>
          <w:highlight w:val="none"/>
        </w:rPr>
      </w:r>
      <w:r/>
    </w:p>
    <w:p>
      <w:pPr>
        <w:ind w:left="0" w:right="0" w:firstLine="709"/>
        <w:jc w:val="both"/>
        <w:spacing w:before="0" w:after="0" w:line="240" w:lineRule="auto"/>
        <w:rPr>
          <w:rFonts w:ascii="Liberation Sans" w:hAnsi="Liberation Sans" w:cs="Liberation Sans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 w:themeColor="text1"/>
          <w:spacing w:val="-1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0" w:firstLine="709"/>
        <w:jc w:val="both"/>
        <w:spacing w:after="0" w:line="240" w:lineRule="auto"/>
        <w:shd w:val="clear" w:color="auto" w:fill="auto"/>
        <w:tabs>
          <w:tab w:val="left" w:pos="709" w:leader="none"/>
          <w:tab w:val="clear" w:pos="7143" w:leader="none"/>
          <w:tab w:val="clear" w:pos="14287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отчетном периоде снесено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52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дома аварийного жилищного фонда общей площадью 13,93 тыс. кв. м, в том числе 51 дом площадью 13,78 тыс. кв. м снесен в рамках</w:t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  <w:t xml:space="preserve"> соглашения о предоставлении субсидии местному бюджету из окружного бюджета от 01.02.2023 </w:t>
        <w:br/>
        <w:t xml:space="preserve">№ 26-РАФ на 2023 год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1 дом площадью 0,15 тыс. кв. м - </w:t>
        <w:br/>
      </w:r>
      <w:r>
        <w:rPr>
          <w:rFonts w:ascii="Liberation Sans" w:hAnsi="Liberation Sans" w:eastAsia="Liberation Sans" w:cs="Liberation Sans"/>
          <w:color w:val="000000" w:themeColor="text1"/>
          <w:sz w:val="28"/>
          <w:highlight w:val="none"/>
        </w:rPr>
        <w:t xml:space="preserve">на безвозмездно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й основе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highlight w:val="none"/>
        </w:rPr>
        <w:t xml:space="preserve">в рамках муниципального контракта между МКУ «УМХ» и ООО «Эверест» от 07.11.2023 № 01/Б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firstLine="709"/>
        <w:jc w:val="both"/>
        <w:spacing w:after="0" w:line="240" w:lineRule="auto"/>
        <w:shd w:val="clear" w:color="auto" w:fill="auto"/>
        <w:tabs>
          <w:tab w:val="left" w:pos="709" w:leader="none"/>
          <w:tab w:val="clear" w:pos="7143" w:leader="none"/>
          <w:tab w:val="clear" w:pos="14287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before="0" w:after="0"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drawing>
          <wp:inline distT="0" distB="0" distL="0" distR="0">
            <wp:extent cx="5249247" cy="2177504"/>
            <wp:effectExtent l="4763" t="4763" r="4763" b="4763"/>
            <wp:docPr id="3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>
        <w:rPr>
          <w:rFonts w:ascii="Liberation Sans" w:hAnsi="Liberation Sans" w:eastAsia="Liberation Sans" w:cs="Liberation Sans"/>
          <w:color w:val="000000"/>
          <w:spacing w:val="-1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before="0" w:after="0" w:line="240" w:lineRule="auto"/>
        <w:rPr>
          <w:rFonts w:ascii="Liberation Sans" w:hAnsi="Liberation Sans" w:cs="Liberation Sans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pacing w:val="-1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0" w:right="0" w:firstLine="709"/>
        <w:jc w:val="both"/>
        <w:spacing w:before="0" w:after="0" w:line="240" w:lineRule="auto"/>
        <w:rPr>
          <w:rFonts w:ascii="Liberation Sans" w:hAnsi="Liberation Sans" w:eastAsia="Liberation Sans" w:cs="Liberation Sans"/>
          <w:color w:val="000000"/>
          <w:spacing w:val="-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pacing w:val="-1"/>
          <w:sz w:val="28"/>
        </w:rPr>
        <w:t xml:space="preserve">В 2023 году расселено 16,92 тыс. кв. м аварийного жилищного фонда.</w:t>
      </w:r>
      <w:r>
        <w:rPr>
          <w:rFonts w:ascii="Liberation Sans" w:hAnsi="Liberation Sans" w:eastAsia="Liberation Sans" w:cs="Liberation Sans"/>
          <w:color w:val="000000"/>
          <w:spacing w:val="-1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</w:pP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По состоянию на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31.12.2023 в аварийном жилищном фонде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проживали 1 926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человек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что на 31,1% ниже показателя 2022 г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ода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. </w:t>
        <w:br/>
        <w:t xml:space="preserve">Из них в муниципальном жили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щном фонде -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 170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 чело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век (2022 год - 550, 2021 год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 - 8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79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0" w:right="0" w:firstLine="0"/>
        <w:jc w:val="center"/>
        <w:spacing w:after="0" w:line="240" w:lineRule="auto"/>
        <w:shd w:val="clear" w:color="auto" w:fill="auto"/>
      </w:pPr>
      <w:r>
        <w:rPr>
          <w:rFonts w:ascii="Liberation Sans" w:hAnsi="Liberation Sans" w:cs="Liberation Sans"/>
          <w:sz w:val="28"/>
          <w:szCs w:val="28"/>
          <w:highlight w:val="none"/>
        </w:rPr>
        <w:drawing>
          <wp:inline distT="0" distB="0" distL="0" distR="0">
            <wp:extent cx="4021794" cy="2050223"/>
            <wp:effectExtent l="3175" t="3175" r="3175" b="3175"/>
            <wp:docPr id="31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>
        <w:rPr>
          <w:highlight w:val="none"/>
        </w:rPr>
      </w:r>
      <w:r/>
    </w:p>
    <w:p>
      <w:pPr>
        <w:ind w:firstLine="709"/>
        <w:jc w:val="center"/>
        <w:spacing w:after="0" w:line="240" w:lineRule="auto"/>
        <w:shd w:val="clear" w:color="auto" w:fill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68"/>
        <w:ind w:left="0" w:firstLine="709"/>
        <w:jc w:val="both"/>
        <w:shd w:val="clear" w:color="auto" w:fill="auto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Благоустроенность жилищного фонда инженерной инфраструктурой составила: водопроводом - 100%,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горячим водоснабжением - 100%, отоплением - 100%, водоотведением - 100% (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централизованным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водоотведением - 98,6%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септиками - 1,4% (аварийные дома, расположенные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районах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Южный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и Коротчаево), газом - 68,6%</w:t>
      </w:r>
      <w:r>
        <w:rPr>
          <w:rStyle w:val="1103"/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footnoteReference w:id="2"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</w:pP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Деятельность по управлению муниципальными жилыми домами осуществляли 14 управляющих компаний (2022 год - 14), 7 товариществ собственников жилья 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(далее - ТСЖ)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(2022 год - 8), 4 товарищ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ества собственников недвижимости 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(далее - ТСН)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(2022 год - 4).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shd w:val="clear" w:color="auto" w:fill="auto"/>
      </w:pP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В соответствии с региональным краткосрочным планом реализации региональной программы капитального ремонта общего имущества в многоквартирных домах, расположенных на территории ЯНАО, на 2023 - 2025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годы, утвержденным постановлением Правительства ЯНАО от 09.08.2022 № 788-П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2023 году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выполнены работы и оказаны услуги по капитальному ремонту общего имущества в 67 многоквартирных домах города (далее - МКД)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, из них: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1130"/>
        <w:ind w:firstLine="708"/>
        <w:jc w:val="both"/>
        <w:spacing w:before="0" w:beforeAutospacing="0" w:after="0" w:afterAutospacing="0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 по 36 МКД выполнены ст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роительно-монтажные работы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1130"/>
        <w:ind w:firstLine="708"/>
        <w:jc w:val="both"/>
        <w:spacing w:before="0" w:beforeAutospacing="0" w:after="0" w:afterAutospacing="0"/>
        <w:rPr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по 30 МКД разработана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проектно-сметная документация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br/>
        <w:t xml:space="preserve">(далее - ПСД)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на капитальный ремонт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в 2024 году, а также проведены проверки на достоверность определения сметной стоимости капитального ремонта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 По 1 МКД проведена проверка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на достоверность определения сметной стоимости капитального ремонта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 ПСД </w:t>
        <w:br/>
        <w:t xml:space="preserve">по которому разработана в 2022 году. </w:t>
      </w:r>
      <w:r>
        <w:rPr>
          <w:color w:val="000000" w:themeColor="text1"/>
          <w:highlight w:val="none"/>
        </w:rPr>
      </w:r>
      <w:r/>
    </w:p>
    <w:p>
      <w:pPr>
        <w:pStyle w:val="1130"/>
        <w:ind w:firstLine="708"/>
        <w:jc w:val="both"/>
        <w:spacing w:before="0" w:beforeAutospacing="0" w:after="0" w:afterAutospacing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По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капитальному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ремонту общего имущества в многоквартирных домах выполнены следующие работы:</w:t>
      </w:r>
      <w:r>
        <w:rPr>
          <w:color w:val="000000" w:themeColor="text1"/>
          <w:highlight w:val="none"/>
        </w:rPr>
      </w:r>
      <w:r/>
    </w:p>
    <w:p>
      <w:pPr>
        <w:pStyle w:val="1130"/>
        <w:ind w:firstLine="708"/>
        <w:jc w:val="both"/>
        <w:spacing w:before="0" w:beforeAutospacing="0" w:after="0" w:afterAutospacing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 замена лифтового оборудования - 2 МКД (4 лифта);</w:t>
      </w:r>
      <w:r>
        <w:rPr>
          <w:color w:val="000000" w:themeColor="text1"/>
          <w:highlight w:val="none"/>
        </w:rPr>
      </w:r>
      <w:r/>
    </w:p>
    <w:p>
      <w:pPr>
        <w:pStyle w:val="1130"/>
        <w:ind w:firstLine="708"/>
        <w:jc w:val="both"/>
        <w:spacing w:before="0" w:beforeAutospacing="0" w:after="0" w:afterAutospacing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 ремонт крыши - 24 МКД;</w:t>
      </w:r>
      <w:r>
        <w:rPr>
          <w:color w:val="000000" w:themeColor="text1"/>
          <w:highlight w:val="none"/>
        </w:rPr>
      </w:r>
      <w:r/>
    </w:p>
    <w:p>
      <w:pPr>
        <w:pStyle w:val="1130"/>
        <w:ind w:firstLine="708"/>
        <w:jc w:val="both"/>
        <w:spacing w:before="0" w:beforeAutospacing="0" w:after="0" w:afterAutospacing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 ремонт фасада - 7 МКД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color w:val="000000" w:themeColor="text1"/>
          <w:highlight w:val="none"/>
        </w:rPr>
      </w:r>
      <w:r/>
    </w:p>
    <w:p>
      <w:pPr>
        <w:pStyle w:val="1130"/>
        <w:ind w:firstLine="708"/>
        <w:jc w:val="both"/>
        <w:spacing w:before="0" w:beforeAutospacing="0" w:after="0" w:afterAutospacing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 ремон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т внутридомовых инженерных сис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тем водоотведения - </w:t>
        <w:br/>
        <w:t xml:space="preserve">6 МКД;</w:t>
      </w:r>
      <w:r/>
    </w:p>
    <w:p>
      <w:pPr>
        <w:pStyle w:val="1130"/>
        <w:ind w:firstLine="708"/>
        <w:jc w:val="both"/>
        <w:spacing w:before="0" w:beforeAutospacing="0" w:after="0" w:afterAutospacing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- ремонт внутридомовых инженерных систем водоснабжения - 8 МКД;</w:t>
      </w:r>
      <w:r/>
    </w:p>
    <w:p>
      <w:pPr>
        <w:pStyle w:val="1130"/>
        <w:ind w:firstLine="708"/>
        <w:jc w:val="both"/>
        <w:spacing w:before="0" w:beforeAutospacing="0" w:after="0" w:afterAutospacing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white"/>
        </w:rPr>
        <w:t xml:space="preserve">- ремонт внутридомовых инженерных систем теплоснабжения - 5 МКД.</w:t>
      </w:r>
      <w:r>
        <w:rPr>
          <w:rFonts w:ascii="Liberation Sans" w:hAnsi="Liberation Sans" w:cs="Liberation Sans"/>
          <w:color w:val="000000" w:themeColor="text1"/>
          <w:highlight w:val="white"/>
        </w:rPr>
      </w:r>
      <w:r/>
    </w:p>
    <w:p>
      <w:pPr>
        <w:pStyle w:val="1130"/>
        <w:ind w:firstLine="708"/>
        <w:jc w:val="both"/>
        <w:spacing w:before="0" w:beforeAutospacing="0" w:after="0" w:afterAutospacing="0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2023 году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выполнялись работы по обновлению фасадов </w:t>
        <w:br/>
        <w:t xml:space="preserve">на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11 МКД города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 из которых на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3 МКД (пр-т Ленинградский, д. 4, 4а, 4в) работы завершены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 на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8 МКД (пр-т Ленинградский, д. 4б, </w:t>
        <w:br/>
        <w:t xml:space="preserve">мкр. Юбилейный, д. 1/2, 1/3, 1/4, 1/5, 4/2, 5/1, 5/2) планируемый срок завершения работ - 2024 год.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1130"/>
        <w:ind w:firstLine="708"/>
        <w:jc w:val="both"/>
        <w:spacing w:before="0" w:beforeAutospacing="0" w:after="0" w:afterAutospacing="0"/>
        <w:rPr>
          <w:rFonts w:ascii="Liberation Sans" w:hAnsi="Liberation Sans" w:cs="Liberation Sans"/>
          <w:sz w:val="28"/>
          <w:szCs w:val="28"/>
          <w:highlight w:val="none"/>
          <w:lang w:eastAsia="en-US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auto"/>
          <w:spacing w:val="-1"/>
          <w:sz w:val="28"/>
          <w:szCs w:val="28"/>
          <w:highlight w:val="none"/>
          <w:lang w:eastAsia="en-US"/>
        </w:rPr>
        <w:t xml:space="preserve">В 2023 году плановые и в</w:t>
      </w:r>
      <w:r>
        <w:rPr>
          <w:rFonts w:ascii="Liberation Sans" w:hAnsi="Liberation Sans" w:cs="Liberation Sans"/>
          <w:color w:val="auto"/>
          <w:spacing w:val="-1"/>
          <w:sz w:val="28"/>
          <w:szCs w:val="28"/>
          <w:highlight w:val="none"/>
          <w:lang w:eastAsia="en-US"/>
        </w:rPr>
        <w:t xml:space="preserve">неплановые </w:t>
      </w:r>
      <w:r>
        <w:rPr>
          <w:rFonts w:ascii="Liberation Sans" w:hAnsi="Liberation Sans" w:cs="Liberation Sans"/>
          <w:color w:val="auto"/>
          <w:spacing w:val="-1"/>
          <w:sz w:val="28"/>
          <w:szCs w:val="28"/>
          <w:highlight w:val="none"/>
          <w:lang w:eastAsia="en-US"/>
        </w:rPr>
        <w:t xml:space="preserve">контрольно-надзорные мероприятия (далее - КНМ) </w:t>
      </w:r>
      <w:r>
        <w:rPr>
          <w:rFonts w:ascii="Liberation Sans" w:hAnsi="Liberation Sans" w:cs="Liberation Sans"/>
          <w:color w:val="auto"/>
          <w:spacing w:val="-1"/>
          <w:sz w:val="28"/>
          <w:szCs w:val="28"/>
          <w:highlight w:val="none"/>
          <w:lang w:eastAsia="en-US"/>
        </w:rPr>
        <w:t xml:space="preserve">в отношении управляющих компаний и ТСЖ (ТСН) не проводил</w:t>
      </w:r>
      <w:r>
        <w:rPr>
          <w:rFonts w:ascii="Liberation Sans" w:hAnsi="Liberation Sans" w:cs="Liberation Sans"/>
          <w:color w:val="auto"/>
          <w:spacing w:val="-1"/>
          <w:sz w:val="28"/>
          <w:szCs w:val="28"/>
          <w:highlight w:val="none"/>
          <w:lang w:eastAsia="en-US"/>
        </w:rPr>
        <w:t xml:space="preserve">ис</w:t>
      </w:r>
      <w:r>
        <w:rPr>
          <w:rFonts w:ascii="Liberation Sans" w:hAnsi="Liberation Sans" w:cs="Liberation Sans"/>
          <w:color w:val="auto"/>
          <w:spacing w:val="-1"/>
          <w:sz w:val="28"/>
          <w:szCs w:val="28"/>
          <w:highlight w:val="none"/>
          <w:lang w:eastAsia="en-US"/>
        </w:rPr>
        <w:t xml:space="preserve">ь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eastAsia="en-US"/>
        </w:rPr>
        <w:t xml:space="preserve"> в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eastAsia="en-US"/>
        </w:rPr>
        <w:t xml:space="preserve"> связи с тем, что матер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eastAsia="en-US"/>
        </w:rPr>
        <w:t xml:space="preserve">иалы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eastAsia="en-US"/>
        </w:rPr>
        <w:t xml:space="preserve">для организации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eastAsia="en-US"/>
        </w:rPr>
        <w:t xml:space="preserve">КНМ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eastAsia="en-US"/>
        </w:rPr>
        <w:t xml:space="preserve"> по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eastAsia="en-US"/>
        </w:rPr>
        <w:t xml:space="preserve">основаниям,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eastAsia="en-US"/>
        </w:rPr>
        <w:t xml:space="preserve">определенным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eastAsia="en-US"/>
        </w:rPr>
        <w:t xml:space="preserve"> постановлением </w:t>
      </w:r>
      <w:r>
        <w:rPr>
          <w:rFonts w:ascii="Liberation Sans" w:hAnsi="Liberation Sans" w:eastAsia="Liberation Serif" w:cs="Liberation Sans"/>
          <w:color w:val="auto"/>
          <w:sz w:val="28"/>
          <w:szCs w:val="28"/>
          <w:highlight w:val="none"/>
        </w:rPr>
        <w:t xml:space="preserve">Правительства Российск</w:t>
      </w:r>
      <w:r>
        <w:rPr>
          <w:rFonts w:ascii="Liberation Sans" w:hAnsi="Liberation Sans" w:eastAsia="Liberation Serif" w:cs="Liberation Sans"/>
          <w:color w:val="auto"/>
          <w:sz w:val="28"/>
          <w:szCs w:val="28"/>
          <w:highlight w:val="none"/>
        </w:rPr>
        <w:t xml:space="preserve">ой Федерации от 10.03.2022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№ 336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«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Об особенностях организации и ос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уществления государственного контроля (надзора), муниципального контроля»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lang w:eastAsia="en-US"/>
        </w:rPr>
        <w:t xml:space="preserve">в</w:t>
      </w:r>
      <w:r>
        <w:rPr>
          <w:rFonts w:ascii="Liberation Sans" w:hAnsi="Liberation Sans" w:cs="Liberation Sans"/>
          <w:sz w:val="28"/>
          <w:szCs w:val="28"/>
          <w:highlight w:val="none"/>
          <w:lang w:eastAsia="en-US"/>
        </w:rPr>
        <w:t xml:space="preserve"> орган муниципального жилищного контроля </w:t>
      </w:r>
      <w:r>
        <w:rPr>
          <w:rFonts w:ascii="Liberation Sans" w:hAnsi="Liberation Sans" w:cs="Liberation Sans"/>
          <w:sz w:val="28"/>
          <w:szCs w:val="28"/>
          <w:highlight w:val="none"/>
          <w:lang w:eastAsia="en-US"/>
        </w:rPr>
        <w:t xml:space="preserve">н</w:t>
      </w:r>
      <w:r>
        <w:rPr>
          <w:rFonts w:ascii="Liberation Sans" w:hAnsi="Liberation Sans" w:cs="Liberation Sans"/>
          <w:sz w:val="28"/>
          <w:szCs w:val="28"/>
          <w:highlight w:val="none"/>
          <w:lang w:eastAsia="en-US"/>
        </w:rPr>
        <w:t xml:space="preserve">е поступали</w:t>
      </w:r>
      <w:r>
        <w:rPr>
          <w:rFonts w:ascii="Liberation Sans" w:hAnsi="Liberation Sans" w:cs="Liberation Sans"/>
          <w:sz w:val="28"/>
          <w:szCs w:val="28"/>
          <w:highlight w:val="none"/>
          <w:lang w:eastAsia="en-US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  <w:lang w:eastAsia="en-US"/>
        </w:rPr>
      </w:r>
      <w:r/>
    </w:p>
    <w:p>
      <w:pPr>
        <w:pStyle w:val="968"/>
        <w:ind w:left="0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/>
      <w:bookmarkStart w:id="34" w:name="_Toc34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Обеспечение граждан жилыми помещениями</w:t>
      </w:r>
      <w:bookmarkEnd w:id="0"/>
      <w:r/>
      <w:bookmarkEnd w:id="34"/>
      <w:r>
        <w:rPr>
          <w:rFonts w:ascii="Liberation Sans" w:hAnsi="Liberation Sans" w:cs="Liberation Sans"/>
          <w:sz w:val="28"/>
          <w:szCs w:val="28"/>
        </w:rPr>
      </w:r>
      <w:r/>
    </w:p>
    <w:p>
      <w:pPr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shd w:val="clear" w:color="auto" w:fill="auto"/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рамках меро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приятий по пересел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ению из аварийного жилищного фонда в 2023 году жилищные условия улучшили 394 семьи </w:t>
        <w:br/>
        <w:t xml:space="preserve">(995 человек), в том числе 179 семьям предоставлены жилые помещения в мкр. Славянский, 215 собственникам предоставлена компенсация за изымаемые жилые помещения на общую сум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му </w:t>
        <w:br/>
        <w:t xml:space="preserve">1 556,8 млн руб.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shd w:val="clear" w:color="auto" w:fill="auto"/>
        <w:rPr>
          <w:sz w:val="28"/>
          <w:szCs w:val="28"/>
        </w:rPr>
      </w:pPr>
      <w:r>
        <w:rPr>
          <w:rFonts w:ascii="Liberation Sans" w:hAnsi="Liberation Sans" w:cs="Liberation Sans"/>
          <w:highlight w:val="none"/>
        </w:rPr>
      </w:r>
      <w:r>
        <w:rPr>
          <w:sz w:val="28"/>
          <w:szCs w:val="28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shd w:val="clear" w:color="ffffff" w:themeColor="background1" w:fill="ffffff" w:themeFill="background1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drawing>
          <wp:inline distT="0" distB="0" distL="0" distR="0">
            <wp:extent cx="5153529" cy="1658736"/>
            <wp:effectExtent l="4762" t="4762" r="4762" b="4762"/>
            <wp:docPr id="3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ffffff" w:themeColor="background1" w:fill="ffffff" w:themeFill="background1"/>
      </w:pPr>
      <w:r>
        <w:rPr>
          <w:rFonts w:ascii="Liberation Sans" w:hAnsi="Liberation Sans" w:cs="Liberation Sans"/>
          <w:sz w:val="20"/>
          <w:szCs w:val="20"/>
          <w:highlight w:val="none"/>
        </w:rPr>
        <w:t xml:space="preserve">*В рамках программ переселения из аварийного жилищного фонда, утвержденны</w:t>
      </w:r>
      <w:r>
        <w:rPr>
          <w:rFonts w:ascii="Liberation Sans" w:hAnsi="Liberation Sans" w:cs="Liberation Sans"/>
          <w:sz w:val="20"/>
          <w:szCs w:val="20"/>
          <w:highlight w:val="none"/>
        </w:rPr>
        <w:t xml:space="preserve">х</w:t>
      </w:r>
      <w:r>
        <w:rPr>
          <w:rFonts w:ascii="Liberation Sans" w:hAnsi="Liberation Sans" w:cs="Liberation Sans"/>
          <w:sz w:val="20"/>
          <w:szCs w:val="20"/>
          <w:highlight w:val="none"/>
        </w:rPr>
        <w:t xml:space="preserve"> пос</w:t>
      </w:r>
      <w:r>
        <w:rPr>
          <w:rFonts w:ascii="Liberation Sans" w:hAnsi="Liberation Sans" w:cs="Liberation Sans"/>
          <w:sz w:val="20"/>
          <w:szCs w:val="20"/>
          <w:highlight w:val="none"/>
        </w:rPr>
        <w:t xml:space="preserve">тановлениями Правительства Ямало-Ненецкого автономного округа от 05.04.2019 № 346-П, </w:t>
      </w:r>
      <w:r>
        <w:rPr>
          <w:rFonts w:ascii="Liberation Sans" w:hAnsi="Liberation Sans" w:cs="Liberation Sans"/>
          <w:sz w:val="20"/>
          <w:szCs w:val="20"/>
          <w:highlight w:val="none"/>
        </w:rPr>
        <w:br/>
        <w:t xml:space="preserve">от </w:t>
      </w:r>
      <w:r>
        <w:rPr>
          <w:rFonts w:ascii="Liberation Sans" w:hAnsi="Liberation Sans" w:cs="Liberation Sans"/>
          <w:sz w:val="20"/>
          <w:szCs w:val="20"/>
          <w:highlight w:val="none"/>
        </w:rPr>
        <w:t xml:space="preserve">11.02.2020 № 112-П.</w:t>
      </w:r>
      <w:r>
        <w:rPr>
          <w:rFonts w:ascii="Liberation Sans" w:hAnsi="Liberation Sans" w:cs="Liberation Sans"/>
        </w:rPr>
      </w:r>
      <w:r/>
    </w:p>
    <w:p>
      <w:pPr>
        <w:ind w:left="0" w:right="0" w:firstLine="709"/>
        <w:jc w:val="both"/>
        <w:spacing w:before="0" w:after="0" w:line="240" w:lineRule="auto"/>
        <w:rPr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8"/>
          <w:highlight w:val="none"/>
        </w:rPr>
      </w:r>
      <w:r>
        <w:rPr>
          <w:sz w:val="28"/>
          <w:szCs w:val="28"/>
        </w:rPr>
      </w:r>
      <w:r/>
    </w:p>
    <w:p>
      <w:pPr>
        <w:ind w:left="0" w:right="0" w:firstLine="709"/>
        <w:jc w:val="both"/>
        <w:spacing w:before="0" w:after="0" w:line="240" w:lineRule="auto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8"/>
          <w:highlight w:val="none"/>
        </w:rPr>
      </w:r>
      <w:r>
        <w:rPr>
          <w:rFonts w:ascii="Liberation Sans" w:hAnsi="Liberation Sans" w:eastAsia="Liberation Sans" w:cs="Liberation Sans"/>
          <w:color w:val="000000"/>
          <w:sz w:val="28"/>
          <w:highlight w:val="none"/>
        </w:rPr>
        <w:t xml:space="preserve">В рамках действующих программ по переселению граждан </w:t>
        <w:br/>
        <w:t xml:space="preserve">из аварийного жилищного фонда</w:t>
      </w:r>
      <w:r>
        <w:rPr>
          <w:rFonts w:ascii="Liberation Sans" w:hAnsi="Liberation Sans" w:eastAsia="Liberation Sans" w:cs="Liberation Sans"/>
          <w:color w:val="000000"/>
          <w:sz w:val="28"/>
          <w:highlight w:val="none"/>
        </w:rPr>
        <w:t xml:space="preserve"> в 2023 году </w:t>
      </w:r>
      <w:r>
        <w:rPr>
          <w:rFonts w:ascii="Liberation Sans" w:hAnsi="Liberation Sans" w:eastAsia="Liberation Sans" w:cs="Liberation Sans"/>
          <w:color w:val="000000"/>
          <w:sz w:val="28"/>
          <w:highlight w:val="none"/>
        </w:rPr>
        <w:t xml:space="preserve">улучшили жилищные условия</w:t>
      </w:r>
      <w:r>
        <w:rPr>
          <w:rFonts w:ascii="Liberation Sans" w:hAnsi="Liberation Sans" w:eastAsia="Liberation Sans" w:cs="Liberation Sans"/>
          <w:color w:val="000000"/>
          <w:sz w:val="28"/>
          <w:highlight w:val="none"/>
        </w:rPr>
        <w:t xml:space="preserve"> 15 малоимущих семей (84 человека)</w:t>
      </w:r>
      <w:r>
        <w:rPr>
          <w:rFonts w:ascii="Liberation Sans" w:hAnsi="Liberation Sans" w:eastAsia="Liberation Sans" w:cs="Liberation Sans"/>
          <w:color w:val="000000"/>
          <w:sz w:val="28"/>
          <w:highlight w:val="none"/>
        </w:rPr>
        <w:t xml:space="preserve">, в рамках </w:t>
      </w:r>
      <w:r>
        <w:rPr>
          <w:rFonts w:ascii="Liberation Sans" w:hAnsi="Liberation Sans" w:eastAsia="Liberation Sans" w:cs="Liberation Sans"/>
          <w:color w:val="000000"/>
          <w:sz w:val="28"/>
          <w:highlight w:val="none"/>
        </w:rPr>
        <w:t xml:space="preserve">исполнения судебных решений о предоставле</w:t>
      </w:r>
      <w:r>
        <w:rPr>
          <w:rFonts w:ascii="Liberation Sans" w:hAnsi="Liberation Sans" w:eastAsia="Liberation Sans" w:cs="Liberation Sans"/>
          <w:color w:val="000000"/>
          <w:sz w:val="28"/>
          <w:highlight w:val="none"/>
        </w:rPr>
        <w:t xml:space="preserve">нии жилых помещени</w:t>
      </w:r>
      <w:r>
        <w:rPr>
          <w:rFonts w:ascii="Liberation Sans" w:hAnsi="Liberation Sans" w:eastAsia="Liberation Sans" w:cs="Liberation Sans"/>
          <w:color w:val="000000"/>
          <w:sz w:val="28"/>
          <w:highlight w:val="none"/>
        </w:rPr>
        <w:t xml:space="preserve">й - </w:t>
        <w:br/>
        <w:t xml:space="preserve">8 малоимущих семей (18 человек).</w:t>
      </w:r>
      <w:r>
        <w:rPr>
          <w:highlight w:val="none"/>
        </w:rPr>
      </w:r>
      <w:r/>
    </w:p>
    <w:p>
      <w:pPr>
        <w:ind w:left="0" w:right="0" w:firstLine="709"/>
        <w:jc w:val="both"/>
        <w:spacing w:before="0" w:after="0"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В 2023 году социальные выплаты на приобретение (строительство) жилья предоставлены </w:t>
      </w: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298 молодым семьям на сумму 620,0 млн руб., из них</w:t>
      </w: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: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0" w:right="0" w:firstLine="709"/>
        <w:jc w:val="both"/>
        <w:spacing w:before="0" w:after="0" w:line="240" w:lineRule="auto"/>
        <w:shd w:val="clear" w:color="ffffff" w:themeColor="background1" w:fill="ffffff" w:themeFill="background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- 297 семьям в рамках регионального проекта «Жилье» (национальный проект «Жилье и городская среда»), государственной программы Ямало-Ненецкого автономного округа </w:t>
      </w: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«Развитие строительного комплекса и жилищной сферы»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  <w:shd w:val="clear" w:color="auto" w:fill="auto"/>
        </w:rPr>
        <w:t xml:space="preserve">утвержденной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  <w:shd w:val="clear" w:color="auto" w:fill="auto"/>
        </w:rPr>
        <w:t xml:space="preserve">постановлением Правительства ЯНАО от 25.12.2013 № 1099-П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  <w:shd w:val="clear" w:color="auto" w:fill="auto"/>
        </w:rPr>
        <w:t xml:space="preserve">, в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shd w:val="clear" w:color="auto" w:fill="auto"/>
        </w:rPr>
        <w:t xml:space="preserve"> </w:t>
      </w: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том числе 15 семьям, исключенным по дос</w:t>
      </w: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тижению предельного возраста из списков молодых семей;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line="240" w:lineRule="auto"/>
        <w:shd w:val="clear" w:color="ffffff" w:themeColor="background1" w:fill="ffffff" w:themeFill="background1"/>
        <w:suppressLineNumbers w:val="0"/>
      </w:pPr>
      <w:r>
        <w:rPr>
          <w:rFonts w:ascii="Liberation Sans" w:hAnsi="Liberation Sans" w:eastAsia="Liberation Sans" w:cs="Liberation Sans"/>
          <w:color w:val="000000"/>
          <w:sz w:val="28"/>
          <w:szCs w:val="28"/>
        </w:rPr>
      </w: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-</w:t>
      </w: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 1 семье в рамках мероприятий по обеспечению жильем молодых семей ведомственной целевой программы «Оказание государственной поддержки гражданам в обеспечении жильем и оплате </w:t>
        <w:br/>
        <w:t xml:space="preserve">жилищно-коммунальных услуг» государственной программы Российской Федерации «Обесп</w:t>
      </w: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ечение доступным и комфортным жильем и коммунальными услугами граждан Российской Федерации».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line="240" w:lineRule="auto"/>
        <w:shd w:val="clear" w:color="ffffff" w:themeColor="background1" w:fill="ffffff" w:themeFill="background1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0" w:right="0" w:firstLine="0"/>
        <w:jc w:val="center"/>
        <w:spacing w:after="0" w:line="240" w:lineRule="auto"/>
        <w:shd w:val="clear" w:color="ffffff" w:themeColor="background1" w:fill="ffffff" w:themeFill="background1"/>
      </w:pP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drawing>
          <wp:inline distT="0" distB="0" distL="0" distR="0">
            <wp:extent cx="4336600" cy="1752488"/>
            <wp:effectExtent l="4762" t="4762" r="4762" b="4762"/>
            <wp:docPr id="33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>
        <w:rPr>
          <w:rFonts w:ascii="Liberation Sans" w:hAnsi="Liberation Sans" w:cs="Liberation Sans"/>
        </w:rPr>
      </w:r>
      <w:r/>
    </w:p>
    <w:p>
      <w:pPr>
        <w:jc w:val="both"/>
        <w:spacing w:after="0" w:line="240" w:lineRule="auto"/>
        <w:shd w:val="clear" w:color="ffffff" w:themeColor="background1" w:fill="ffffff" w:themeFill="background1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0" w:right="0" w:firstLine="709"/>
        <w:jc w:val="both"/>
        <w:spacing w:before="0" w:after="0" w:line="240" w:lineRule="auto"/>
        <w:shd w:val="clear" w:color="ffffff" w:themeColor="background1" w:fill="ffffff" w:themeFill="background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Социальные выплаты на приобретение (строительство) жилья предоставлены 52 семьям отдельных категорий граждан</w:t>
      </w: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 на</w:t>
      </w: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 сумму 101,1 млн руб. (2022 год - 67 семьям на сумму 112,5 млн руб.), из них: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0" w:right="0" w:firstLine="709"/>
        <w:jc w:val="both"/>
        <w:spacing w:before="0" w:after="0" w:line="240" w:lineRule="auto"/>
        <w:shd w:val="clear" w:color="ffffff" w:themeColor="background1" w:fill="ffffff" w:themeFill="background1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49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семьям в рамках мероприятия «Предоставление социальных выплат на приобретение (строительство) жилого помещения гражданам, имеющим трех и более детей, взамен предоставления земельного участка в собственность бесплатно» государственной </w:t>
      </w:r>
      <w:hyperlink r:id="rId49" w:tooltip="consultantplus://offline/ref=34C4BE6017323D9E035967D261D507C895EA2EED600359BC82CAF73EAAA5848E75979E44832802055578F6617682FA91827C6D3F575543ACDA643469B5oAK" w:history="1">
        <w:r>
          <w:rPr>
            <w:rStyle w:val="1100"/>
            <w:rFonts w:ascii="Liberation Sans" w:hAnsi="Liberation Sans" w:eastAsia="Liberation Sans" w:cs="Liberation Sans"/>
            <w:color w:val="000000"/>
            <w:sz w:val="28"/>
            <w:szCs w:val="28"/>
            <w:highlight w:val="none"/>
            <w:u w:val="none"/>
          </w:rPr>
          <w:t xml:space="preserve">программы</w:t>
        </w:r>
      </w:hyperlink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  <w:u w:val="none"/>
        </w:rPr>
        <w:t xml:space="preserve">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Ямало-Ненецкого автономного округа «Развитие строительного комплекса и жилищной сферы», утвержденной постановлением Правительства Ямало-Ненецкого автономного округа от 25.12.2013 № 1099-П;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before="0" w:after="0"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1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семье из числа категории - реабилитированные лица и лица, признанные пострадавшими от политических репрессий;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before="0" w:after="0"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-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 2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семь</w:t>
      </w: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ям из числа категории - ветераны боевых действий.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0" w:right="0" w:firstLine="709"/>
        <w:jc w:val="both"/>
        <w:spacing w:before="0" w:after="0"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В целях улучшения жилищных условий оказана поддержка </w:t>
        <w:br/>
        <w:t xml:space="preserve">41 семье на сумму 164,9 млн руб. (2022 год - 21 семье на сумму</w:t>
        <w:br/>
        <w:t xml:space="preserve">114,1 млн руб.), из них: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0" w:right="0" w:firstLine="709"/>
        <w:jc w:val="both"/>
        <w:spacing w:before="0" w:after="0"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- 35 семьям выданы свидетельства на предоставление социальных выплат в рамках программы «Сотрудничество»;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0" w:right="0" w:firstLine="709"/>
        <w:jc w:val="both"/>
        <w:spacing w:before="0" w:after="0"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-</w:t>
      </w: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 3 семьям предоставлены свидетельства о праве на получение социальной выплаты на приобретение жилого помещения в рамках Порядка предоставления социальных выплат гражданам, проживающим в жилых помещениях, непригодных для проживания, </w:t>
        <w:br/>
        <w:t xml:space="preserve">на приобретение жилых п</w:t>
      </w: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омещений, утвержденного постановлением Правительства Ямало-Ненецкого автономного округа от 16.11.2020 </w:t>
        <w:br/>
        <w:t xml:space="preserve">№ 1313-П;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0" w:right="0" w:firstLine="709"/>
        <w:jc w:val="both"/>
        <w:spacing w:before="0" w:after="0"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- 3 семьям выданы государственные жилищные сертификаты </w:t>
        <w:br/>
        <w:t xml:space="preserve">для переселения в районы с более благоприятными климатическими условиями в соответствии с Федеральным законом от 25.10.2002 </w:t>
        <w:br/>
        <w:t xml:space="preserve">№ 125-ФЗ «О жилищных субсидиях гражданам, выезжающим </w:t>
        <w:br/>
        <w:t xml:space="preserve">из районов Крайнего</w:t>
      </w: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 Севера и приравненных к ним местностей».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before="0" w:after="0" w:line="240" w:lineRule="auto"/>
        <w:rPr>
          <w:rFonts w:ascii="Liberation Sans" w:hAnsi="Liberation Sans" w:eastAsia="Liberation Sans" w:cs="Liberation Sans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В 2023 году проведена инвентаризация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списков малоимущих граждан, нуждающихся в предоставлении помещений по договору социального найма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. По результатам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348 семей сняты с учета в связи </w:t>
        <w:br/>
        <w:t xml:space="preserve">с утратой оснований и на конец 2023 года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в списках малоимущих граждан, нуждающихся в предоставлении помещений по договору</w:t>
      </w: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 социального найма,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 состояло </w:t>
      </w: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706 семей.</w:t>
      </w:r>
      <w:r>
        <w:rPr>
          <w:rFonts w:ascii="Liberation Sans" w:hAnsi="Liberation Sans" w:eastAsia="Liberation Sans" w:cs="Liberation Sans"/>
          <w:color w:val="000000"/>
          <w:sz w:val="28"/>
          <w:szCs w:val="28"/>
        </w:rPr>
      </w:r>
      <w:r/>
    </w:p>
    <w:p>
      <w:pPr>
        <w:ind w:left="0" w:right="0" w:firstLine="709"/>
        <w:jc w:val="both"/>
        <w:spacing w:before="0" w:after="0" w:line="240" w:lineRule="auto"/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8"/>
          <w:szCs w:val="28"/>
        </w:rPr>
      </w: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В 2023 году заключено 492 договора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на предоставление жилых помещений муниципального жилищного фонда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, из них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: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213 договоров найма жилых помещений в общежитии</w:t>
      </w:r>
      <w:r>
        <w:rPr>
          <w:rFonts w:ascii="Liberation Sans" w:hAnsi="Liberation Sans" w:eastAsia="Liberation Sans" w:cs="Liberation Sans"/>
          <w:color w:val="000000"/>
          <w:sz w:val="28"/>
        </w:rPr>
        <w:t xml:space="preserve"> (2022 год - 285, 2021 год - 244)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20 дого</w:t>
      </w: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воров найма в доме социального обслуживания граждан, </w:t>
      </w: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br/>
        <w:t xml:space="preserve">1 договор найма маневренного фонда, </w:t>
      </w: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34 договора коммерческого найма, </w:t>
      </w:r>
      <w:r>
        <w:rPr>
          <w:rFonts w:ascii="Liberation Sans" w:hAnsi="Liberation Sans" w:eastAsia="Liberation Sans" w:cs="Liberation Sans"/>
          <w:color w:val="000000"/>
          <w:sz w:val="28"/>
          <w:szCs w:val="28"/>
        </w:rPr>
        <w:t xml:space="preserve">224 договора социального найма.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/>
      <w:bookmarkStart w:id="35" w:name="_Toc35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Р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еализация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мероприятий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в области энергосбережения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br/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и повышения энергетической эффективности</w:t>
      </w:r>
      <w:bookmarkEnd w:id="0"/>
      <w:r>
        <w:rPr>
          <w:rFonts w:ascii="Liberation Sans" w:hAnsi="Liberation Sans" w:cs="Liberation Sans"/>
          <w:b/>
          <w:bCs/>
          <w:i w:val="0"/>
          <w:sz w:val="28"/>
          <w:szCs w:val="28"/>
        </w:rPr>
        <w:t xml:space="preserve"> </w:t>
      </w:r>
      <w:bookmarkEnd w:id="35"/>
      <w:r>
        <w:rPr>
          <w:rFonts w:ascii="Liberation Sans" w:hAnsi="Liberation Sans" w:cs="Liberation Sans"/>
          <w:sz w:val="28"/>
          <w:szCs w:val="28"/>
        </w:rPr>
      </w:r>
      <w:r/>
    </w:p>
    <w:p>
      <w:pPr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line="240" w:lineRule="auto"/>
        <w:shd w:val="clear" w:color="auto" w:fill="auto"/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целях реализации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мероприятий по энергосбережению </w:t>
        <w:br/>
        <w:t xml:space="preserve">и повышению энергетической эффективности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</w:t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муниципальном жилищном фонде заменено 202 прибора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учета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  <w:br/>
        <w:t xml:space="preserve">из них: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167 индивидуальных приборов учета потребления воды </w:t>
        <w:br/>
        <w:t xml:space="preserve">(83 прибора учета холодного водоснабжения и 84 прибора учета горячего водоснабжения);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- 35 индивидуальных приборов учета потребления тепловой э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нергии.</w:t>
      </w:r>
      <w:r>
        <w:rPr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/>
      <w:bookmarkStart w:id="36" w:name="_Toc36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End w:id="0"/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Организация благоустройства территории</w:t>
      </w:r>
      <w:bookmarkEnd w:id="36"/>
      <w:r>
        <w:rPr>
          <w:rFonts w:ascii="Liberation Sans" w:hAnsi="Liberation Sans" w:cs="Liberation Sans"/>
          <w:sz w:val="28"/>
          <w:szCs w:val="28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Вопросы благоустройства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территории 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урегулированы Правилами благоус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тройства территории муниципального образования, утвержденными решением Городской Думы муниципального образования город Новый Уренгой от 23.06.2020 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№ 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340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(в редакции решения Г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ородской Думы муниципального образования город Новый Уренгой от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22.12.2022 № 188) (далее - правила благоустройства города)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spacing w:val="-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В рамках благоустройства города выполнены следующие работы: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- у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станов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ка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малы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х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архитектурны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х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формы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(далее - МАФ)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, игрово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го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и спортивн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ого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комплекс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ов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, отдельны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х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игровы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х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элемент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ов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</w:t>
        <w:br/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на детских площадках по ул. Молодежн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ой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, д. 21, Северная коммунальная зона, д. 13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ремонт футбольной площадки в мкр. Тундровый, д. 6, включая устройство резинового покрытия 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площадью 1 050 кв. м, ограждения, футбольных ворот и освещения территории;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 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благоустройство территории 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тдела записи актов гражданского состояния управления (ЗАГС) г. Новый Уренгой ЯНАО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(установлен световой арт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объект «Счастье»)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, а также 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ремонт и покраска арт-объекта «Карета»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 устройство 3 площадок для отдыха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по ул. Центральная магистраль с установкой МАФ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</w:t>
      </w:r>
      <w:r>
        <w:rPr>
          <w:highlight w:val="none"/>
        </w:rPr>
      </w:r>
      <w:r/>
    </w:p>
    <w:p>
      <w:pPr>
        <w:ind w:left="0" w:firstLine="709"/>
        <w:jc w:val="both"/>
        <w:spacing w:after="0" w:afterAutospacing="0" w:line="240" w:lineRule="auto"/>
        <w:shd w:val="clear" w:color="auto" w:fill="auto"/>
        <w:rPr>
          <w:color w:val="000000" w:themeColor="text1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- мелкий ре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монт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детских и спортивных площадок в районах Северный и Южный на 38 объектах</w:t>
      </w:r>
      <w:r>
        <w:rPr>
          <w:rStyle w:val="1103"/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footnoteReference w:id="3"/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, в том числе на 10 детских площадках</w:t>
      </w:r>
      <w:r>
        <w:rPr>
          <w:rStyle w:val="1103"/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footnoteReference w:id="4"/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отремонтировано покрытие из резиновой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крошки общей площад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ью 120 кв. м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color w:val="000000" w:themeColor="text1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color w:val="000000" w:themeColor="text1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обустро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йство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 площадк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 для выгула собак площадью 600 кв. м </w:t>
        <w:br/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в 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районе Лимбяяха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 </w:t>
      </w:r>
      <w:r>
        <w:rPr>
          <w:color w:val="000000" w:themeColor="text1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устройство асфальтированной площадки для ярмарочной торговли по ул. Сибирск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ой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в районе дома 15 с установкой освещения территории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установ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ка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светово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го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декоративно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го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оформлени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я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(архитектурная подсветка)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на 20 зданиях;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установ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ка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светово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го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декоративно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го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оборудовани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в количестве более 50 элементов;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установ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ка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световы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х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консол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ей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в количестве 40 ед.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на опорах освещения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по пр. Губкина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рамках региональ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ного проекта «Формирование комфортной городской среды»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(национальный проект «Жильё и городская среда»)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2023 году выполнены мероприятия по благоустройству общественной территории «Детская и спортивная площадки с зоной отдыха </w:t>
        <w:br/>
        <w:t xml:space="preserve">мкр. Юбилейный, д. 5/2, 5/3».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Выполнены работы по установке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детского игров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ого и спортивного оборудования в количестве 18 ед.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 МАФ (скамейки, урны) в количестве 52 ед.,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устрой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ству ос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вещения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Площадки покрыты бесшовным полиуретановым водопроницаемым покрытием. Территория площадок оборудована металлическим ограждением.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Общая площадь благоустроенной территории составила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2 975,1 кв. м.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рамках реализации мероприятий по повышению индекса качества городской среды (благоустройство общественных и дворовых территорий) из запланированных 6 общественных территорий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br/>
        <w:t xml:space="preserve">в 2023 году обустроено 5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площадью</w:t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19 949,05 кв. м:</w:t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</w:r>
      <w:r/>
    </w:p>
    <w:p>
      <w:pPr>
        <w:ind w:left="0" w:firstLine="709"/>
        <w:jc w:val="both"/>
        <w:spacing w:after="0" w:afterAutospacing="0" w:line="240" w:lineRule="auto"/>
        <w:shd w:val="clear" w:color="auto" w:fill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 флагшток в районе Коротчаево на пр. Мира (в районе школы </w:t>
        <w:br/>
        <w:t xml:space="preserve">Д.И. Коротчаева).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Высота 25 м, размер полотнища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5.5*8.25 м.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Флагшток оборудован системой спуска и подъема флага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с электроприводом линейного перемещения.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Выполнена подсветка флагштока уличными светодиодными светильниками;</w:t>
      </w:r>
      <w: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 многофункциональная площадка под открытым небом в районе Лимбяяха «Аллея моей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мечты». Выполнено благоустройство общественной территории с устройством детской игровой площадки </w:t>
        <w:br/>
        <w:t xml:space="preserve">с игровым оборудованием для детей возрас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та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т 3-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х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до 14 лет, тренажерной площадки со спортивным оборудованием </w:t>
        <w:br/>
        <w:t xml:space="preserve">для возрастной группы пользователей от 12 лет, площадкой для настольных игр и игр в теннис с травмобезопасным покрытием комбинированного цвета из резиновой каучуковой крошки. Установлено 46 ед.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игрового и спортивного оборудов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ания, 105 ед. МАФ (навесы, скамейки, урны и т.д.). Территория освещена диодными светильниками уличного освещения, оборудована информационными щитами </w:t>
        <w:br/>
        <w:t xml:space="preserve">с правилами пользования игровым и спортивным оборудованием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 детская и спортивная площадки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по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ул. Юбилейн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ой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 д. 1А, 1Б, 1Г, 1Д, пр. Ленинградский, д. 1, 3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 Установлены скалодром, качели, игровой комплекс и др.;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детская игровая площадка по ул. Молодежн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ой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в районе домов 9, 9а.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Установлены игровые комплексы «Трамвай», «Домик», качели, карусель, батут, МАФ;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зона отдыха с детской площадкой по пр. Губкина в районе д. 7А. Установлены: многофункциональный турник для у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личной спортивной площадки, пространственная канатная конструкция, спортивно-модульный комплекс для занятий по детскому паркуру, игровой комплекс для малышей, детская игровая виде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оп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лощадка, арт-объект, арки, скамейки, качели, цветники, велопарковка, урны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b w:val="0"/>
          <w:bCs w:val="0"/>
          <w:color w:val="auto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По объекту «Благоустройство территории в мкр. Оптимистов </w:t>
        <w:br/>
        <w:t xml:space="preserve">в районе д. 2/2 и 2/1» работы выполнены не в полном объеме, муниципальный контракт расторгнут. Планируемый срок завершения работ - 2024 год.</w:t>
      </w:r>
      <w:r>
        <w:rPr>
          <w:b w:val="0"/>
          <w:bCs w:val="0"/>
          <w:color w:val="auto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Общая площадь благоустроенных общественных и дворовых территорий в 2023 году составила 22 924,15 кв. м.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afterAutospacing="0" w:line="240" w:lineRule="auto"/>
        <w:shd w:val="clear" w:color="ffffff" w:fill="ffffff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В 2023 году в рам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ках регионального проекта поддержки местных инициатив</w:t>
      </w:r>
      <w:r>
        <w:rPr>
          <w:rFonts w:ascii="Liberation Sans" w:hAnsi="Liberation Sans" w:eastAsia="Roboto" w:cs="Liberation Sans"/>
          <w:b w:val="0"/>
          <w:bCs w:val="0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Roboto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«Уютный Ямал»</w:t>
      </w:r>
      <w:r>
        <w:rPr>
          <w:rFonts w:ascii="Liberation Sans" w:hAnsi="Liberation Sans" w:eastAsia="Roboto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Roboto" w:cs="Liberation Sans"/>
          <w:color w:val="000000" w:themeColor="text1"/>
          <w:sz w:val="28"/>
          <w:szCs w:val="28"/>
          <w:highlight w:val="none"/>
        </w:rPr>
        <w:t xml:space="preserve">поступило 98 идей</w:t>
      </w:r>
      <w:r>
        <w:rPr>
          <w:rFonts w:ascii="Liberation Sans" w:hAnsi="Liberation Sans" w:eastAsia="Roboto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связанных </w:t>
        <w:br/>
        <w:t xml:space="preserve">с благоустройством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Roboto" w:cs="Liberation Sans"/>
          <w:color w:val="000000" w:themeColor="text1"/>
          <w:sz w:val="28"/>
          <w:szCs w:val="28"/>
          <w:highlight w:val="none"/>
        </w:rPr>
        <w:t xml:space="preserve">дворов и улиц, ремонтом общественных зон, дорог и др. </w:t>
      </w:r>
      <w:r>
        <w:rPr>
          <w:rFonts w:ascii="Liberation Sans" w:hAnsi="Liberation Sans" w:eastAsia="Roboto" w:cs="Liberation Sans"/>
          <w:color w:val="000000" w:themeColor="text1"/>
          <w:sz w:val="28"/>
          <w:szCs w:val="28"/>
          <w:highlight w:val="none"/>
        </w:rPr>
        <w:t xml:space="preserve">(2022 год - 91, </w:t>
      </w:r>
      <w:r>
        <w:rPr>
          <w:rFonts w:ascii="Liberation Sans" w:hAnsi="Liberation Sans" w:eastAsia="Roboto" w:cs="Liberation Sans"/>
          <w:color w:val="000000" w:themeColor="text1"/>
          <w:sz w:val="28"/>
          <w:szCs w:val="28"/>
          <w:highlight w:val="none"/>
        </w:rPr>
        <w:t xml:space="preserve">2021 год - 30</w:t>
      </w:r>
      <w:r>
        <w:rPr>
          <w:rFonts w:ascii="Liberation Sans" w:hAnsi="Liberation Sans" w:eastAsia="Roboto" w:cs="Liberation Sans"/>
          <w:color w:val="000000" w:themeColor="text1"/>
          <w:sz w:val="28"/>
          <w:szCs w:val="28"/>
          <w:highlight w:val="none"/>
        </w:rPr>
        <w:t xml:space="preserve">)</w:t>
      </w:r>
      <w:r>
        <w:rPr>
          <w:rFonts w:ascii="Liberation Sans" w:hAnsi="Liberation Sans" w:eastAsia="Roboto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shd w:val="clear" w:color="ffffff" w:fill="ffffff"/>
        <w:rPr>
          <w:rFonts w:ascii="Liberation Sans" w:hAnsi="Liberation Sans" w:eastAsia="Roboto" w:cs="Liberation Sans"/>
          <w:color w:val="auto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highlight w:val="none"/>
        </w:rPr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На 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д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изай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н</w:t>
      </w:r>
      <w:r>
        <w:rPr>
          <w:rFonts w:ascii="Liberation Sans" w:hAnsi="Liberation Sans" w:eastAsia="Roboto" w:cs="Liberation Sans"/>
          <w:color w:val="000000" w:themeColor="text1"/>
          <w:sz w:val="28"/>
          <w:szCs w:val="28"/>
          <w:highlight w:val="none"/>
        </w:rPr>
        <w:t xml:space="preserve">-с</w:t>
      </w:r>
      <w:r>
        <w:rPr>
          <w:rFonts w:ascii="Liberation Sans" w:hAnsi="Liberation Sans" w:eastAsia="Roboto" w:cs="Liberation Sans"/>
          <w:color w:val="000000" w:themeColor="text1"/>
          <w:sz w:val="28"/>
          <w:szCs w:val="28"/>
          <w:highlight w:val="none"/>
        </w:rPr>
        <w:t xml:space="preserve">ессии по проектированию поступивших идей (инициатив) экспертами рассмотрено 18 инициатив</w:t>
      </w:r>
      <w:r>
        <w:rPr>
          <w:rFonts w:ascii="Liberation Sans" w:hAnsi="Liberation Sans" w:eastAsia="Roboto" w:cs="Liberation Sans"/>
          <w:color w:val="000000" w:themeColor="text1"/>
          <w:sz w:val="28"/>
          <w:szCs w:val="28"/>
          <w:highlight w:val="none"/>
        </w:rPr>
        <w:t xml:space="preserve">, даны рекомендации по проектам. </w:t>
      </w:r>
      <w:r>
        <w:rPr>
          <w:rFonts w:ascii="Liberation Sans" w:hAnsi="Liberation Sans" w:eastAsia="Roboto" w:cs="Liberation Sans"/>
          <w:color w:val="000000" w:themeColor="text1"/>
          <w:sz w:val="28"/>
          <w:szCs w:val="28"/>
          <w:highlight w:val="none"/>
        </w:rPr>
        <w:t xml:space="preserve">По итогам в </w:t>
      </w:r>
      <w:r>
        <w:rPr>
          <w:rFonts w:ascii="Liberation Sans" w:hAnsi="Liberation Sans" w:eastAsia="Roboto" w:cs="Liberation Sans"/>
          <w:color w:val="000000" w:themeColor="text1"/>
          <w:sz w:val="28"/>
          <w:szCs w:val="28"/>
          <w:highlight w:val="none"/>
        </w:rPr>
        <w:t xml:space="preserve">Администраци</w:t>
      </w:r>
      <w:r>
        <w:rPr>
          <w:rFonts w:ascii="Liberation Sans" w:hAnsi="Liberation Sans" w:eastAsia="Roboto" w:cs="Liberation Sans"/>
          <w:color w:val="000000" w:themeColor="text1"/>
          <w:sz w:val="28"/>
          <w:szCs w:val="28"/>
          <w:highlight w:val="none"/>
        </w:rPr>
        <w:t xml:space="preserve">ю</w:t>
      </w:r>
      <w:r>
        <w:rPr>
          <w:rFonts w:ascii="Liberation Sans" w:hAnsi="Liberation Sans" w:eastAsia="Roboto" w:cs="Liberation Sans"/>
          <w:color w:val="000000" w:themeColor="text1"/>
          <w:sz w:val="28"/>
          <w:szCs w:val="28"/>
          <w:highlight w:val="none"/>
        </w:rPr>
        <w:t xml:space="preserve"> города Новый Уренгой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 поступило 9 инициативных проектов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 (2022 год - 9, 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2021 год -10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). По 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итогам голосования на информационном ресурсе «Живем на Севере», в центрах проведения викторины «Уютный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Ямал»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Комиссией </w:t>
        <w:br/>
        <w:t xml:space="preserve">по проведению конкурсного отбора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инициативных проектов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победителями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ризнан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ы 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9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 проектов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подлежащих реализации </w:t>
        <w:br/>
        <w:t xml:space="preserve">в 2024 году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: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«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С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оздание зоны 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отдыха в 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. Восточный</w:t>
      </w:r>
      <w:r>
        <w:rPr>
          <w:rFonts w:ascii="Liberation Sans" w:hAnsi="Liberation Sans" w:cs="Liberation Sans"/>
          <w:color w:val="auto"/>
          <w:highlight w:val="none"/>
        </w:rPr>
        <w:t xml:space="preserve">»,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 «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З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она семейного отдыха в районе территории пр. Губки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на 28 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и </w:t>
        <w:br/>
        <w:t xml:space="preserve">ул.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 В.Я. Петуха»,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«Рябиновый сад Золотых Грифонов»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«С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оздание многофункциональной площадки для школьников </w:t>
        <w:br/>
        <w:t xml:space="preserve">на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ул. Железнодорожная»,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 «Создание детской игровой зоны </w:t>
        <w:br/>
        <w:t xml:space="preserve">в 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. Оптимистов», 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«Благоустройство детской игровой площадки </w:t>
        <w:br/>
        <w:t xml:space="preserve">по ул. Сибирская», «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Реконструкция детской площадки </w:t>
        <w:br/>
        <w:t xml:space="preserve">в 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. Оптимистов 4/3», 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«Сквер «ТСЖ», «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Художественное оф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ормление фасада «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БиблиоМУРАЛ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».</w:t>
      </w:r>
      <w:r>
        <w:rPr>
          <w:rFonts w:ascii="Liberation Sans" w:hAnsi="Liberation Sans" w:eastAsia="Roboto" w:cs="Liberation Sans"/>
          <w:color w:val="auto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2023 году продолжены строительно-монтажные работы </w:t>
        <w:br/>
        <w:t xml:space="preserve">на объекте «Благоустройство городской зоны отдыха озера Молодежное».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целях содержания территории города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выполнены следующие виды работ: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очистка газонов от сухой травы, полив, подкормка и выкашивание существующих газонов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н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а площади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326 640 кв. м.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Подсев травы на газонах выполнен на площади более 5 000 кв. м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;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уход </w:t>
        <w:br/>
        <w:t xml:space="preserve">за кру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пномер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ными хвойными деревьями (412 ед.) и многолетними кустарниками (2 737 ед.).</w:t>
      </w:r>
      <w:r>
        <w:rPr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рамках мероприятий по озеленению территории города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установлено более 100 вазонов вертикального озеленения. Высаж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ено 148 200 однолетних цветов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н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а площади </w:t>
        <w:br/>
        <w:t xml:space="preserve">1 976 кв. м.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На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 детских и спортивных площадках в мкр. Юбилейный, </w:t>
        <w:br/>
        <w:t xml:space="preserve">д. 5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/2, 5/3, на ул. Юбилейн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ой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, д. 1А, 1Б, 1Г, 1Д, пр-т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е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Ленинградский, </w:t>
        <w:br/>
        <w:t xml:space="preserve">д. 1, 3,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детской площадке по пр. Губкина в районе дома 7А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многофункциональной площадке под открытым небом в районе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Лимбяяха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eastAsia="en-US"/>
        </w:rPr>
        <w:t xml:space="preserve">высажены деревья в количестве 41 ед., кустарники - 174 ед., обустроены газоны общей площадью 682,76 кв. м.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В озеленении города активное участие приняли организации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: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ООО «Газпром НГХК»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  <w:shd w:val="clear" w:color="auto" w:fill="ffffff"/>
          <w:lang w:eastAsia="en-US"/>
        </w:rPr>
        <w:t xml:space="preserve">, ф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  <w:shd w:val="clear" w:color="auto" w:fill="ffffff"/>
          <w:lang w:eastAsia="en-US"/>
        </w:rPr>
        <w:t xml:space="preserve">илиал Уренгойская ГРЭС АО «Интер РАО – Электрогенерация»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  <w:shd w:val="clear" w:color="auto" w:fill="ffffff"/>
          <w:lang w:eastAsia="en-US"/>
        </w:rPr>
        <w:t xml:space="preserve">, ООО «Газпром добыча Уренгой», ООО «Газпр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  <w:shd w:val="clear" w:color="auto" w:fill="ffffff"/>
          <w:lang w:eastAsia="en-US"/>
        </w:rPr>
        <w:t xml:space="preserve">ом добыча Ямбург»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  <w:shd w:val="clear" w:color="auto" w:fill="ffffff"/>
          <w:lang w:eastAsia="en-US"/>
        </w:rPr>
        <w:t xml:space="preserve">, а также 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  <w:shd w:val="clear" w:color="auto" w:fill="ffffff"/>
          <w:lang w:eastAsia="en-US"/>
        </w:rPr>
        <w:t xml:space="preserve">жители города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  <w:shd w:val="clear" w:color="auto" w:fill="ffffff"/>
          <w:lang w:eastAsia="en-US"/>
        </w:rPr>
        <w:t xml:space="preserve">.</w:t>
      </w:r>
      <w:r>
        <w:rPr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  <w:shd w:val="clear" w:color="auto" w:fill="ffffff"/>
          <w:lang w:eastAsia="en-US"/>
        </w:rPr>
        <w:t xml:space="preserve">О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  <w:shd w:val="clear" w:color="auto" w:fill="ffffff"/>
          <w:lang w:eastAsia="en-US"/>
        </w:rPr>
        <w:t xml:space="preserve">ОО «Газпромнефть-Запол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  <w:shd w:val="clear" w:color="auto" w:fill="ffffff"/>
          <w:lang w:eastAsia="en-US"/>
        </w:rPr>
        <w:t xml:space="preserve">я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  <w:highlight w:val="none"/>
          <w:shd w:val="clear" w:color="auto" w:fill="ffffff"/>
          <w:lang w:eastAsia="en-US"/>
        </w:rPr>
        <w:t xml:space="preserve">рье» (далее - Общество) приняло участие во Всероссийской акции «Лес Победы». Обществом приобретены саженцы ели сибирской - 15 ед., рябины обыкновенной - 20 ед., розы морщинистой - 30 ед., ивы сизоватой - 30 ед., рябинника рябинолистного - 10 ед. 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  <w:shd w:val="clear" w:color="auto" w:fill="ffffff"/>
          <w:lang w:eastAsia="en-US"/>
        </w:rPr>
        <w:t xml:space="preserve">Деревья высажены в 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  <w:shd w:val="clear" w:color="auto" w:fill="ffffff"/>
          <w:lang w:eastAsia="en-US"/>
        </w:rPr>
        <w:t xml:space="preserve">районе Лимбяяха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  <w:shd w:val="clear" w:color="auto" w:fill="ffffff"/>
          <w:lang w:eastAsia="en-US"/>
        </w:rPr>
        <w:t xml:space="preserve"> 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  <w:shd w:val="clear" w:color="auto" w:fill="ffffff"/>
          <w:lang w:eastAsia="en-US"/>
        </w:rPr>
        <w:t xml:space="preserve">вдоль ул. Зелен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  <w:shd w:val="clear" w:color="auto" w:fill="ffffff"/>
          <w:lang w:eastAsia="en-US"/>
        </w:rPr>
        <w:t xml:space="preserve">ой,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  <w:shd w:val="clear" w:color="auto" w:fill="ffffff"/>
          <w:lang w:eastAsia="en-US"/>
        </w:rPr>
        <w:t xml:space="preserve"> 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  <w:shd w:val="clear" w:color="auto" w:fill="ffffff"/>
          <w:lang w:eastAsia="en-US"/>
        </w:rPr>
        <w:t xml:space="preserve">в районе Коротчаево по 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  <w:shd w:val="clear" w:color="auto" w:fill="ffffff"/>
          <w:lang w:eastAsia="en-US"/>
        </w:rPr>
        <w:t xml:space="preserve">ул. Нефтяников и пр-ту Мира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  <w:shd w:val="clear" w:color="auto" w:fill="ffffff"/>
          <w:lang w:eastAsia="en-US"/>
        </w:rPr>
        <w:t xml:space="preserve">.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рамках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предоставления муниципальной услуги «Выдача разрешений на право вырубки (сноса) зеленых насаждений </w:t>
        <w:br/>
        <w:t xml:space="preserve">на территории муниципального образования город Новый Уренгой» </w:t>
        <w:br/>
        <w:t xml:space="preserve">в целях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компенсационного озеленения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в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2023 году высажено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br/>
        <w:t xml:space="preserve">559 зеленых насаждений (деревьев, кустарников) (2022 год - </w:t>
        <w:br/>
        <w:t xml:space="preserve">562,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2021 год - 398). 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2023 году проведен конкурс «Мой город - мой дом» </w:t>
        <w:br/>
        <w:t xml:space="preserve">по 3 номинациям. Количество поступивших заявок составило 26, </w:t>
        <w:br/>
        <w:t xml:space="preserve">из которых 9 стали победителями (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ТСЖ «Феникс», пр. Ленинградский, д. 13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;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Зубарева Е.Н., пр. Ленинградский, д. 10Б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;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ООО «УК «Оптимист», мкр. Мирный, д. 3/3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14:ligatures w14:val="none"/>
        </w:rPr>
        <w:t xml:space="preserve">;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сквер Гидромеханизаторов ООО «Уренгойгидром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еханизация»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МАДОУ «Центр развития ребенка «Умка»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муниципальное унитарное предприятие автомобильного транспорта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;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арикмахерская № 5 (мкр. Советский, д. 3/2);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«Мёд» учебный центр&amp;студ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ия (мкр. Энтузиастов, д. 8);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к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офейня «Морошка» (ул. Интернациональная).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lang w:eastAsia="en-US" w:bidi="en-US"/>
        </w:rPr>
        <w:t xml:space="preserve">Победители к</w:t>
      </w:r>
      <w:r>
        <w:rPr>
          <w:rFonts w:ascii="Liberation Sans" w:hAnsi="Liberation Sans" w:cs="Liberation Sans"/>
          <w:sz w:val="28"/>
          <w:szCs w:val="28"/>
          <w:highlight w:val="none"/>
          <w:lang w:bidi="en-US"/>
        </w:rPr>
        <w:t xml:space="preserve">онкурса награждены дипломами Главы города Новый Уренгой и подарочными сертификатами: 1 место - 50 000 руб., </w:t>
      </w:r>
      <w:r>
        <w:rPr>
          <w:rFonts w:ascii="Liberation Sans" w:hAnsi="Liberation Sans" w:cs="Liberation Sans"/>
          <w:sz w:val="28"/>
          <w:szCs w:val="28"/>
          <w:highlight w:val="none"/>
          <w:lang w:bidi="en-US"/>
        </w:rPr>
        <w:t xml:space="preserve">2 мес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bidi="en-US"/>
        </w:rPr>
        <w:t xml:space="preserve">то - 20 000 руб.,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bidi="en-US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bidi="en-US"/>
        </w:rPr>
        <w:t xml:space="preserve">3 место - 10 000 руб.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В 2023 году на террито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рии муниципального о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бразования заменено 1 226 газоразрядных светильников на светодиодные, в том числе </w:t>
        <w:br/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609 светильников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заменено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 в рамках реконструкции и капитального ремонта дорог местного значения, 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617 светильников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 заменено 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в рамках выполнения работ по содержанию и техническому обслуживанию уличного освещения. По итогам проведенной работы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объем потребления электроэнергии 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на уличное освещение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 за 2023 год снизился на 10% по отношению к 2022 году и составил 4 635,5 тыс. кВт (2022 год - 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5 145,6 тыс. кВт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). </w:t>
      </w:r>
      <w:r>
        <w:rPr>
          <w:rFonts w:ascii="Liberation Sans" w:hAnsi="Liberation Sans" w:cs="Liberation Sans"/>
          <w:spacing w:val="-1"/>
          <w:sz w:val="28"/>
          <w:szCs w:val="28"/>
          <w:highlight w:val="none"/>
        </w:rPr>
        <w:t xml:space="preserve">В 2023 году удалось снизить потребление электроэнергии на 1 осветительную установку до 460 кВт в год </w:t>
        <w:br/>
        <w:t xml:space="preserve">(2022 год - 559 кВт).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eastAsia="Liberation Sans" w:cs="Liberation Sans"/>
          <w:b w:val="0"/>
          <w:bCs w:val="0"/>
          <w:color w:val="auto"/>
          <w:spacing w:val="-1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апреле-мае 2023 года на единой федеральной платформе </w:t>
        <w:br/>
        <w:t xml:space="preserve">для онл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айн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-г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олосования 89.gorodsreda.ru состоялось рейтинговое голосование по выбору об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щественных территорий, подлежащих благоустройству в 2024 году. Наибольшее количество голосов получил проект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«г. Новый Уренгой, территория, примыкающая к поликлинике № 2 в мкр. Мирный»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color w:val="auto"/>
          <w:spacing w:val="-1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rFonts w:ascii="Liberation Sans" w:hAnsi="Liberation Sans" w:cs="Liberation Sans"/>
          <w:color w:val="000000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Индекс качества городской среды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муниципальному образованию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по итогам 2023 года составил 195 баллов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(2022 год - </w:t>
        <w:br/>
        <w:t xml:space="preserve">197 ба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ллов, 2021 год 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186 баллов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auto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auto"/>
          <w:spacing w:val="-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/>
      <w:bookmarkStart w:id="37" w:name="_Toc37"/>
      <w:r>
        <w:rPr>
          <w:rFonts w:ascii="Liberation Sans" w:hAnsi="Liberation Sans" w:cs="Liberation Sans"/>
          <w:color w:val="auto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color w:val="auto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color w:val="auto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color w:val="auto"/>
          <w:sz w:val="28"/>
          <w:szCs w:val="28"/>
        </w:rPr>
      </w:r>
      <w:bookmarkEnd w:id="0"/>
      <w:r>
        <w:rPr>
          <w:rFonts w:ascii="Liberation Sans" w:hAnsi="Liberation Sans" w:cs="Liberation Sans"/>
          <w:b/>
          <w:bCs/>
          <w:i w:val="0"/>
          <w:color w:val="auto"/>
          <w:sz w:val="28"/>
          <w:szCs w:val="28"/>
        </w:rPr>
        <w:t xml:space="preserve">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Организация рит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уальных услуг </w:t>
        <w:br/>
        <w:t xml:space="preserve">и содержание мест захоронения</w:t>
      </w:r>
      <w:r>
        <w:rPr>
          <w:sz w:val="28"/>
          <w:szCs w:val="28"/>
        </w:rPr>
      </w:r>
      <w:bookmarkEnd w:id="37"/>
      <w:r>
        <w:rPr>
          <w:rFonts w:ascii="Liberation Sans" w:hAnsi="Liberation Sans" w:cs="Liberation Sans"/>
          <w:sz w:val="28"/>
          <w:szCs w:val="28"/>
        </w:rPr>
      </w:r>
      <w:r/>
    </w:p>
    <w:p>
      <w:pPr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37"/>
        <w:ind w:firstLine="709"/>
        <w:jc w:val="both"/>
        <w:spacing w:line="240" w:lineRule="auto"/>
        <w:shd w:val="clear" w:color="auto" w:fill="auto"/>
        <w:widowControl/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Вопросы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организации ритуальных услуг 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содержания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мест захоронения на территории муниципального образования регулируются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Положением о порядке содержания и работы муниципальных кладбищ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Положением о порядке деятельности специализированной службы по вопросам похоронного дела </w:t>
        <w:br/>
        <w:t xml:space="preserve">на территории муниципального образования город Новый Уренгой,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которые утвержден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ы постановлением</w:t>
      </w:r>
      <w:r>
        <w:rPr>
          <w:rFonts w:ascii="Liberation Sans" w:hAnsi="Liberation Sans" w:cs="Liberation Sans"/>
          <w:color w:val="auto"/>
          <w:sz w:val="27"/>
          <w:szCs w:val="27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Администрации города Новый Уренгой от 31.01.2023 № 38.</w:t>
      </w:r>
      <w:r>
        <w:rPr>
          <w:color w:val="auto"/>
          <w:highlight w:val="none"/>
        </w:rPr>
      </w:r>
      <w:r/>
    </w:p>
    <w:p>
      <w:pPr>
        <w:pStyle w:val="1137"/>
        <w:ind w:firstLine="709"/>
        <w:jc w:val="both"/>
        <w:shd w:val="clear" w:color="auto" w:fill="auto"/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Погребение умершего и оказание услуг по погребению на территории муниципального образования город Новый Уренгой осуществляется специализированной службой по вопросам похоронного дела, созданной органами местного самоуправления.</w:t>
      </w:r>
      <w:r>
        <w:rPr>
          <w:highlight w:val="none"/>
        </w:rPr>
      </w:r>
      <w:r/>
    </w:p>
    <w:p>
      <w:pPr>
        <w:pStyle w:val="1137"/>
        <w:ind w:firstLine="709"/>
        <w:jc w:val="both"/>
        <w:shd w:val="clear" w:color="auto" w:fill="auto"/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2023 году выполнены работы по инвентаризации и оцифровке кладбищ, расположенных на территории муниципального образования.</w:t>
      </w:r>
      <w:r>
        <w:rPr>
          <w:highlight w:val="none"/>
        </w:rPr>
      </w:r>
      <w:r/>
    </w:p>
    <w:p>
      <w:pPr>
        <w:pStyle w:val="1137"/>
        <w:ind w:firstLine="709"/>
        <w:jc w:val="both"/>
        <w:shd w:val="clear" w:color="auto" w:fill="auto"/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течение 2023 года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ыполнены работы по санитарному содержанию 5 мест захоронений общей площадью 126 433,2 кв. м: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уборка территории кладбищ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(дорожек общего пользования, проходов и других участков хозяйственного назначения), благоустройство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Аллеи почетных захоронений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сбор и утилизация мусора,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содержание проездов и территорий стоянок автотранспорта у кладбищ, уход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 зелеными насаждениями.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Также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выполнены работы </w:t>
        <w:br/>
        <w:t xml:space="preserve">по ремонту, транспортировке и монтажу двух модульных туалетов,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ранее эксплуатируемых на других объектах.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pStyle w:val="1137"/>
        <w:ind w:firstLine="709"/>
        <w:jc w:val="both"/>
        <w:shd w:val="clear" w:color="auto" w:fill="auto"/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Выполнены работы по ремонту мест захоронений:</w:t>
      </w:r>
      <w:r>
        <w:rPr>
          <w:highlight w:val="none"/>
        </w:rPr>
      </w:r>
      <w:r/>
    </w:p>
    <w:p>
      <w:pPr>
        <w:pStyle w:val="1137"/>
        <w:ind w:firstLine="709"/>
        <w:jc w:val="both"/>
        <w:shd w:val="clear" w:color="auto" w:fill="auto"/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устройство профильного ограждения и обваловки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на городском кладбище (в районе УКПГ-1, Коротчаево,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МК-144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МО - 111);</w:t>
      </w:r>
      <w:r>
        <w:rPr>
          <w:highlight w:val="none"/>
        </w:rPr>
      </w:r>
      <w:r/>
    </w:p>
    <w:p>
      <w:pPr>
        <w:pStyle w:val="1137"/>
        <w:ind w:firstLine="709"/>
        <w:jc w:val="both"/>
        <w:shd w:val="clear" w:color="auto" w:fill="auto"/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устройство освещения на городском кладбище в районе УКПГ-1, а также в районе Коротчаево;</w:t>
      </w:r>
      <w:r>
        <w:rPr>
          <w:highlight w:val="none"/>
        </w:rPr>
      </w:r>
      <w:r/>
    </w:p>
    <w:p>
      <w:pPr>
        <w:pStyle w:val="1137"/>
        <w:ind w:firstLine="709"/>
        <w:jc w:val="both"/>
        <w:shd w:val="clear" w:color="auto" w:fill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благоустройство территории кладбища в районе Коротчаево. 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ыполнено устройство: насыпи из грунта толщиной 0,8 м - 706 кв. м,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основания проезжей части из щебня - 706 кв. м,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нижнего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асфальтобетонного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слоя - 706 кв. м,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верхнего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асфальтобетонного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  <w:br/>
        <w:t xml:space="preserve">слоя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- 706 кв. 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выравнивающего слоя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асфальтобетонного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по плите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- </w:t>
        <w:br/>
        <w:t xml:space="preserve">648 кв. 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верхнего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асфальтобетонного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слоя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- 648 кв. 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eastAsia="Courier New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b/>
          <w:bCs/>
          <w:sz w:val="28"/>
          <w:szCs w:val="28"/>
        </w:rPr>
      </w:pPr>
      <w:r/>
      <w:bookmarkStart w:id="38" w:name="_Toc38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Организация в границах муниципального образования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br/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город Новый Уренгой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электро-, тепло-, газо- и водоснабжения населения, водоотведения, снабжения населения топливом</w:t>
      </w:r>
      <w:bookmarkEnd w:id="0"/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</w:t>
      </w:r>
      <w:bookmarkEnd w:id="38"/>
      <w:r>
        <w:rPr>
          <w:rFonts w:ascii="Liberation Sans" w:hAnsi="Liberation Sans" w:cs="Liberation Sans"/>
          <w:b/>
          <w:bCs/>
          <w:sz w:val="28"/>
          <w:szCs w:val="28"/>
        </w:rPr>
      </w:r>
      <w:r/>
    </w:p>
    <w:p>
      <w:pPr>
        <w:pStyle w:val="968"/>
        <w:ind w:left="0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8"/>
        <w:jc w:val="both"/>
        <w:spacing w:after="0" w:line="240" w:lineRule="auto"/>
        <w:shd w:val="clear" w:color="auto" w:fill="auto"/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Распредел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ение электроэнергии по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городским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электрическим сетям осуществляется э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лектросетевой компанией АО «Уренгойская электросетевая компания» через распределительные пункты </w:t>
        <w:br/>
        <w:t xml:space="preserve">и трансформаторные подстанции. 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highlight w:val="none"/>
        </w:rPr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 состоянию на 31.12.2023 протяженность линий электропередач в муниципальном образовании составила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1 185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км </w:t>
        <w:br/>
        <w:t xml:space="preserve">(в том числе воздушных линий 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419 км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 кабель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ных линий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766 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  <w:br/>
        <w:t xml:space="preserve">из них ветхих - 54 км (в том числе воздушных линий - 42 км; кабельных линий - 12 км). 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highlight w:val="none"/>
        </w:rPr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Количество трансформаторных подстанций составило 350 ед. </w:t>
        <w:br/>
        <w:t xml:space="preserve">(2022 год - 301 ед.). 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shd w:val="clear" w:color="auto" w:fill="auto"/>
        <w:rPr>
          <w:highlight w:val="none"/>
        </w:rPr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Общий объем потребления электрической энергии </w:t>
        <w:br/>
        <w:t xml:space="preserve">в муниципальном образовании в 2023 году составил 827,8 млн кВт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ч,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что на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7,7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меньше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потребленного объема в 2022 году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Доля объема электрической энергии, расчеты за которую осуще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ствляю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тся </w:t>
        <w:br/>
        <w:t xml:space="preserve">с использованием приборов учета, осталась на уровне 2022 года </w:t>
        <w:br/>
        <w:t xml:space="preserve">и составила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99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%.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shd w:val="clear" w:color="auto" w:fill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0" w:right="0" w:firstLine="283"/>
        <w:jc w:val="left"/>
        <w:spacing w:after="0" w:line="240" w:lineRule="auto"/>
        <w:shd w:val="clear" w:color="auto" w:fill="auto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drawing>
          <wp:inline distT="0" distB="0" distL="0" distR="0">
            <wp:extent cx="5819775" cy="2686143"/>
            <wp:effectExtent l="4762" t="4762" r="4762" b="4762"/>
            <wp:docPr id="3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shd w:val="clear" w:color="auto" w:fill="auto"/>
        <w:rPr>
          <w:rFonts w:ascii="Liberation Sans" w:hAnsi="Liberation Sans" w:cs="Liberation Sans"/>
          <w:sz w:val="28"/>
          <w:szCs w:val="28"/>
          <w14:ligatures w14:val="none"/>
        </w:rPr>
        <w:suppressLineNumbers w:val="0"/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  <w14:ligatures w14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2023 году зафиксировано 4 аварийные ситуации, перебои 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 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поставках электро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энергии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при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которых сос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тавили более 24 часов.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suppressLineNumbers w:val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муниципальном образовании централизованная система теплоснабжения, при которой тепло в районах Северный, Южн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ый </w:t>
        <w:br/>
        <w:t xml:space="preserve">и Коротчаево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(включая поселок ГРЭ СГБ)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вырабатывается в котельных АО «Уренгойтеплогенерация-1», для потребителей района Лимбяяха тепловая энергия отпускается от тепловой электростанции филиала «Урен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гойская ГРЭС» - ОАО «Интер РАО – Электрогенерация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»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 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suppressLineNumbers w:val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Централизованная система теплоснабжения охватывает всю территорию муниципального образования за исключением зон </w:t>
        <w:br/>
        <w:t xml:space="preserve">с индивидуальным теплоснабжением в частном малоэтажном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жилищн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ом фонде и производственных зон, подключенных </w:t>
        <w:br/>
        <w:t xml:space="preserve">к собственным котельным.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suppressLineNumbers w:val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целях обеспечения потребителей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муниципального образования тепловой энергией и горячим водоснабжением эксплуатируется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br/>
        <w:t xml:space="preserve">15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источников теплоснабжения (2022 год - 16).</w:t>
      </w:r>
      <w:r>
        <w:rPr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связи с расселением поселка МО-93 района Коротчаево в 2023 году выведена </w:t>
        <w:br/>
        <w:t xml:space="preserve">из эксплуатации котельная № 16.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suppressLineNumbers w:val="0"/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Общая протяженность тепл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овых сетей теплоснабжения </w:t>
        <w:br/>
        <w:t xml:space="preserve">и горячего водоснабжения, находящихся в муниципальной собственности,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составила 254,94 км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vertAlign w:val="superscript"/>
        </w:rPr>
        <w:footnoteReference w:id="5"/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, из них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удельный вес ветхих тепловых сетей, нуждающихся в замене, составил 37,3% (95,2км) </w:t>
        <w:br/>
        <w:t xml:space="preserve">(2022 год - 34,6% (58,1 км).</w:t>
      </w:r>
      <w:r>
        <w:rPr>
          <w:color w:val="auto"/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suppressLineNumbers w:val="0"/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Общий объем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отре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бления тепловой энергии в 2023 году составил 1 230,6 тыс. Гкал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что на 2,3%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больше пот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ебления тепловой энергии в 2022 году. Доля объема тепловой энергии, расчеты </w:t>
        <w:br/>
        <w:t xml:space="preserve">за которую осуществляются с использованием приборов учета, незначительно увеличилась и составила 77,2% (2022 год - 77%)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shd w:val="clear" w:color="auto" w:fill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18"/>
        <w:ind w:right="-108"/>
        <w:jc w:val="center"/>
        <w:spacing w:after="0" w:afterAutospacing="0" w:line="240" w:lineRule="auto"/>
        <w:shd w:val="clear" w:color="auto" w:fill="auto"/>
      </w:pPr>
      <w:r>
        <w:rPr>
          <w:rFonts w:ascii="Liberation Sans" w:hAnsi="Liberation Sans" w:cs="Liberation Sans"/>
          <w:szCs w:val="28"/>
          <w:highlight w:val="none"/>
        </w:rPr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drawing>
          <wp:inline distT="0" distB="0" distL="0" distR="0">
            <wp:extent cx="5042245" cy="2302140"/>
            <wp:effectExtent l="4762" t="4762" r="4762" b="4762"/>
            <wp:docPr id="3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целях реализации полномочий органов местного самоуправления в сфере теплоснабжения, определенных Федеральным законом от 27.07.2010 № 190-ФЗ «О теплоснабжении»: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 проведены работы по актуализации Схемы теплоснабжения муниципального образования город Новый Уренгой (постановление Администрации города Новый Уренгой от 30.06.2023 № 298);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 согласован график вывода источников тепловой энергии, тепловых сетей в ремонт;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widowControl w:val="off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 осуществлен контроль готовности теплоснабжающих организаций, теплосетевых организаций, отдельных категорий потребителей к работе в осенне-зимний период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1158"/>
        <w:ind w:left="0" w:firstLine="709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Для обеспечения населения  водоснабжением и водоотведением на территории муниципального образования эксплуатируются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br/>
        <w:t xml:space="preserve">4 централизованных системы холодного водоснабжения (из них 3 -питьевого водосна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бжения, 1 - технического водоснабжения в поселке ГРЭ СГБ) и 3 централизованные системы водоотведения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 1 водозабор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выведен из эксплуатации в 2023 году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связи с расселением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поселка Мостоотряд-93.</w:t>
      </w:r>
      <w:r>
        <w:rPr>
          <w:rFonts w:ascii="Liberation Sans" w:hAnsi="Liberation Sans" w:cs="Liberation Sans"/>
          <w:color w:val="000000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tabs>
          <w:tab w:val="clear" w:pos="4677" w:leader="none"/>
          <w:tab w:val="clear" w:pos="9355" w:leader="none"/>
        </w:tabs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Протяженность водопроводных сетей холодного водо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снабжения муниципального образования составила 342,15 км, из них ветхих - 13,34 км. Удельный вес ветхих сетей водоснабжения, нуждающихся </w:t>
        <w:br/>
        <w:t xml:space="preserve">в замене, составил 3,9%. Уровень потерь воды - 9,64%. </w:t>
      </w:r>
      <w:r>
        <w:rPr>
          <w:color w:val="auto"/>
          <w:highlight w:val="none"/>
        </w:rPr>
      </w:r>
      <w:r/>
    </w:p>
    <w:p>
      <w:pPr>
        <w:pStyle w:val="1136"/>
        <w:ind w:left="0" w:right="0" w:firstLine="709"/>
        <w:jc w:val="both"/>
        <w:shd w:val="clear" w:color="auto" w:fill="auto"/>
        <w:suppressLineNumbers w:val="0"/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ab/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Для удовлетворения потребности населения в пит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ьевой воде </w:t>
        <w:br/>
        <w:t xml:space="preserve">в районах Северный и Южный по-прежнему используются артезианские скважины в количестве 80 шт. Проектная мощность городского водозабора составила 52,1 тыс. куб. 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/сут. Доведение воды, подаваем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ой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распределительную сеть, до требований </w:t>
        <w:br/>
        <w:t xml:space="preserve">СанПиН 2.1.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3684-2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 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Санитарно-эпидемиологические требования </w:t>
        <w:br/>
        <w:t xml:space="preserve">к содержанию территорий городских и сельских посе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ний, </w:t>
        <w:br/>
        <w:t xml:space="preserve">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</w:t>
        <w:br/>
        <w:t xml:space="preserve">и проведению санитарно-противоэпидемических (профилактических) мероприятий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 осуществляется на очистных сооружениях проектной мощностью 50 тыс. куб. 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/сут. </w:t>
      </w:r>
      <w:r>
        <w:rPr>
          <w:highlight w:val="none"/>
        </w:rPr>
      </w:r>
      <w:r/>
    </w:p>
    <w:p>
      <w:pPr>
        <w:pStyle w:val="1136"/>
        <w:ind w:left="0" w:right="0" w:firstLine="709"/>
        <w:jc w:val="both"/>
        <w:shd w:val="clear" w:color="auto" w:fill="auto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Проектная мощность скважин в районе Коротчаево составила </w:t>
        <w:br/>
        <w:t xml:space="preserve">2,4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тыс.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куб. м/сут. В районе Лимбяяха водозабор представлен артезианскими скважинами проектной мощностью 2,1 тыс. куб. м/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сут.</w:t>
      </w:r>
      <w:r>
        <w:rPr>
          <w:highlight w:val="none"/>
        </w:rPr>
      </w:r>
      <w:r/>
    </w:p>
    <w:p>
      <w:pPr>
        <w:pStyle w:val="968"/>
        <w:ind w:left="0" w:firstLine="709"/>
        <w:jc w:val="both"/>
        <w:shd w:val="clear" w:color="auto" w:fill="auto"/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Объем потребления воды по сравнению с 2022 годом сократился на 1,9%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 составил 8,7 млн куб. м. Доля объема потребляемой воды, расчеты за которую осуществляются с использованием приборов учета, составила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98,4%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(2022 год - 97,9%, 2021 год - 97,7%).</w:t>
      </w:r>
      <w:r>
        <w:rPr>
          <w:highlight w:val="none"/>
        </w:rPr>
      </w:r>
      <w:r/>
    </w:p>
    <w:p>
      <w:pPr>
        <w:pStyle w:val="968"/>
        <w:ind w:left="0" w:firstLine="709"/>
        <w:jc w:val="both"/>
        <w:shd w:val="clear" w:color="auto" w:fill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36"/>
        <w:ind w:firstLine="700"/>
        <w:jc w:val="both"/>
        <w:shd w:val="clear" w:color="auto" w:fill="auto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drawing>
          <wp:inline distT="0" distB="0" distL="0" distR="0">
            <wp:extent cx="4892058" cy="2357054"/>
            <wp:effectExtent l="4762" t="4762" r="4762" b="4762"/>
            <wp:docPr id="36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  <w:r>
        <w:rPr>
          <w:highlight w:val="none"/>
        </w:rPr>
      </w:r>
      <w:r/>
    </w:p>
    <w:p>
      <w:pPr>
        <w:pStyle w:val="1136"/>
        <w:ind w:firstLine="700"/>
        <w:jc w:val="both"/>
        <w:shd w:val="clear" w:color="auto" w:fill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36"/>
        <w:ind w:firstLine="709"/>
        <w:jc w:val="both"/>
        <w:shd w:val="clear" w:color="auto" w:fill="auto"/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Система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водоотведения районов Северный и Южный централизованная. Установленная пропускная способность КОС - </w:t>
        <w:br/>
        <w:t xml:space="preserve">54,6 тыс. куб. 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/сут.</w:t>
      </w:r>
      <w:r>
        <w:rPr>
          <w:highlight w:val="none"/>
        </w:rPr>
      </w:r>
      <w:r/>
    </w:p>
    <w:p>
      <w:pPr>
        <w:pStyle w:val="1136"/>
        <w:ind w:firstLine="709"/>
        <w:jc w:val="both"/>
        <w:shd w:val="clear" w:color="auto" w:fill="auto"/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районе Коротчаево централизованная система водоотведен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выполнена только в центральной части. В остальной части района Коротчаево хозяйственно-фекальные стоки собираются в выгребы </w:t>
        <w:br/>
        <w:t xml:space="preserve">и септики, откуда ассенизаторскими машинами вывозятся </w:t>
        <w:br/>
        <w:t xml:space="preserve">на существующие канализационные очистные сооружения производительностью 2,5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тыс.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куб. м/сут.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tabs>
          <w:tab w:val="clear" w:pos="7143" w:leader="none"/>
          <w:tab w:val="clear" w:pos="14287" w:leader="none"/>
        </w:tabs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ротяженность канализационных сетей муниципального образования составила 169,56 км, из них ветхих – 1,66 км. </w:t>
        <w:br/>
        <w:t xml:space="preserve">Удельный вес ветхих сетей водоотведения, нуждающихся в замене, составил 0,98%.</w:t>
      </w:r>
      <w:r>
        <w:rPr>
          <w:highlight w:val="none"/>
        </w:rPr>
      </w:r>
      <w:r/>
    </w:p>
    <w:p>
      <w:pPr>
        <w:pStyle w:val="1136"/>
        <w:ind w:left="0" w:right="0" w:firstLine="709"/>
        <w:jc w:val="both"/>
        <w:shd w:val="clear" w:color="auto" w:fill="auto"/>
        <w:outlineLvl w:val="0"/>
        <w:suppressLineNumbers w:val="0"/>
      </w:pPr>
      <w:r/>
      <w:bookmarkStart w:id="39" w:name="_Toc39"/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целях реализации полномочий органов местного самоуправления в сфере водоснабжения и водоотведения в 2023 году выполнены следующие работы: </w:t>
      </w:r>
      <w:bookmarkEnd w:id="39"/>
      <w:r/>
      <w:r/>
    </w:p>
    <w:p>
      <w:pPr>
        <w:pStyle w:val="1136"/>
        <w:ind w:left="0" w:right="0" w:firstLine="709"/>
        <w:jc w:val="both"/>
        <w:shd w:val="clear" w:color="auto" w:fill="auto"/>
        <w:outlineLvl w:val="0"/>
      </w:pPr>
      <w:r/>
      <w:bookmarkStart w:id="40" w:name="_Toc40"/>
      <w:r>
        <w:rPr>
          <w:rFonts w:ascii="Liberation Sans" w:hAnsi="Liberation Sans" w:cs="Liberation Sans"/>
          <w:sz w:val="28"/>
          <w:szCs w:val="28"/>
          <w:highlight w:val="none"/>
        </w:rPr>
        <w:t xml:space="preserve">- утверждена Схема водоснабжения и водоотведения муниципального образования город Новый Уренгой на перспективу до 2033 года (постановление Администрации города Новый Уренгой </w:t>
        <w:br/>
        <w:t xml:space="preserve">от 27.12.2023 № 625);</w:t>
      </w:r>
      <w:bookmarkEnd w:id="40"/>
      <w:r/>
      <w:r/>
    </w:p>
    <w:p>
      <w:pPr>
        <w:pStyle w:val="1136"/>
        <w:ind w:left="0" w:right="0" w:firstLine="709"/>
        <w:jc w:val="both"/>
        <w:shd w:val="clear" w:color="auto" w:fill="auto"/>
        <w:outlineLvl w:val="0"/>
      </w:pPr>
      <w:r/>
      <w:bookmarkStart w:id="41" w:name="_Toc41"/>
      <w:r>
        <w:rPr>
          <w:rFonts w:ascii="Liberation Sans" w:hAnsi="Liberation Sans" w:cs="Liberation Sans"/>
          <w:sz w:val="28"/>
          <w:szCs w:val="28"/>
          <w:highlight w:val="none"/>
        </w:rPr>
        <w:t xml:space="preserve">- утверждены нормативы состава сточных вод абонентов АО «Уренгойгорводоканал», допущенных к сбросу в централизованные системы водоотведения районов Коротчаево и Лимбяяха (постановление Администрации города Новый Уренгой от 25.07.2023 № 349);</w:t>
      </w:r>
      <w:bookmarkEnd w:id="41"/>
      <w:r/>
      <w:r/>
    </w:p>
    <w:p>
      <w:pPr>
        <w:pStyle w:val="1136"/>
        <w:ind w:left="0" w:right="0" w:firstLine="709"/>
        <w:jc w:val="both"/>
        <w:shd w:val="clear" w:color="auto" w:fill="auto"/>
        <w:tabs>
          <w:tab w:val="clear" w:pos="4677" w:leader="none"/>
          <w:tab w:val="clear" w:pos="9355" w:leader="none"/>
        </w:tabs>
        <w:outlineLvl w:val="0"/>
      </w:pPr>
      <w:r/>
      <w:bookmarkStart w:id="42" w:name="_Toc42"/>
      <w:r>
        <w:rPr>
          <w:rFonts w:ascii="Liberation Sans" w:hAnsi="Liberation Sans" w:cs="Liberation Sans"/>
          <w:sz w:val="28"/>
          <w:szCs w:val="28"/>
          <w:highlight w:val="none"/>
        </w:rPr>
        <w:t xml:space="preserve">- утверждено техническое задание на разработку инвестиционной программы АО «Уренгойгорводоканал» по развит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ию систем водоснабжения и водоотведения на территории муниципального образования на 2023 - 2032 годы (постановление Администрации города Новый Уренгой от 16.06.2023 № 271);</w:t>
      </w:r>
      <w:bookmarkEnd w:id="42"/>
      <w:r/>
      <w:r/>
    </w:p>
    <w:p>
      <w:pPr>
        <w:pStyle w:val="1136"/>
        <w:ind w:left="0" w:right="0" w:firstLine="709"/>
        <w:jc w:val="both"/>
        <w:shd w:val="clear" w:color="auto" w:fill="auto"/>
        <w:tabs>
          <w:tab w:val="clear" w:pos="4677" w:leader="none"/>
          <w:tab w:val="clear" w:pos="9355" w:leader="none"/>
        </w:tabs>
        <w:outlineLvl w:val="0"/>
      </w:pPr>
      <w:r/>
      <w:bookmarkStart w:id="43" w:name="_Toc43"/>
      <w:r>
        <w:rPr>
          <w:rFonts w:ascii="Liberation Sans" w:hAnsi="Liberation Sans" w:cs="Liberation Sans"/>
          <w:sz w:val="28"/>
          <w:szCs w:val="28"/>
          <w:highlight w:val="none"/>
        </w:rPr>
        <w:t xml:space="preserve">- организован подвоз питьевой воды автомобильным транспо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ртом населению жилого поселка ГРЭ СГБ района Коротчаево с холодным вод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оснабжением, не соответствующим установленным требованиям;</w:t>
      </w:r>
      <w:bookmarkEnd w:id="43"/>
      <w:r/>
      <w:r/>
    </w:p>
    <w:p>
      <w:pPr>
        <w:pStyle w:val="1136"/>
        <w:ind w:left="0" w:right="0" w:firstLine="709"/>
        <w:jc w:val="both"/>
        <w:shd w:val="clear" w:color="auto" w:fill="auto"/>
        <w:outlineLvl w:val="0"/>
      </w:pPr>
      <w:r/>
      <w:bookmarkStart w:id="44" w:name="_Toc44"/>
      <w:r>
        <w:rPr>
          <w:rFonts w:ascii="Liberation Sans" w:hAnsi="Liberation Sans" w:cs="Liberation Sans"/>
          <w:sz w:val="28"/>
          <w:szCs w:val="28"/>
          <w:highlight w:val="none"/>
        </w:rPr>
        <w:t xml:space="preserve">- информирование населения о качестве холодного и горячего водоснабжения.</w:t>
      </w:r>
      <w:bookmarkEnd w:id="44"/>
      <w:r/>
      <w:r/>
    </w:p>
    <w:p>
      <w:pPr>
        <w:ind w:firstLine="708"/>
        <w:jc w:val="both"/>
        <w:spacing w:after="0" w:line="240" w:lineRule="auto"/>
        <w:shd w:val="clear" w:color="auto" w:fill="auto"/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Газоснабжение жилых и производственных объектов муниципального образования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осуществляется на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природном газе местных месторождений.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Газоснабжение города - централизованное </w:t>
        <w:br/>
        <w:t xml:space="preserve">от газораспределительных станций АГРС-1, АГРС-2.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Газоснабжение районов Коротчаево и Лимбяяха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осуществляется </w:t>
        <w:br/>
        <w:t xml:space="preserve">от газораспределительной станции АГРС АО «РОСПАН ИНТЕРНЕШНЛ».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shd w:val="clear" w:color="auto" w:fill="auto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Общая протяженность сетей газоснабжения в муниципальном образовании составила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345 км, что на 19,4% больше протяженности сетей в 2022 году (2022 год - 289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км).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Увеличение протяженности сетей  связано со строительством сетей газоснабжения к объектам юридических лиц и объектам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индивидуальной жилой застройки  в рамках программы догазификации.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shd w:val="clear" w:color="auto" w:fill="auto"/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Общий объем потребления природного газа в муниц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ипальном образовании в 2023 году составил 313,2 млн куб. 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что на 1,2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 больше потребленного объема 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2022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году.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Доля объема природного газа, расчеты за который осуществляются с использованием приборов учета, составила 96,5%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(2022 год - 96,4%, 2021 год - 96,7%).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shd w:val="clear" w:color="auto" w:fill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8"/>
        <w:jc w:val="both"/>
        <w:spacing w:after="0" w:line="240" w:lineRule="auto"/>
        <w:shd w:val="clear" w:color="auto" w:fill="auto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drawing>
          <wp:inline distT="0" distB="0" distL="0" distR="0">
            <wp:extent cx="4933971" cy="2264710"/>
            <wp:effectExtent l="4762" t="4762" r="4762" b="4762"/>
            <wp:docPr id="37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shd w:val="clear" w:color="auto" w:fill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8"/>
        <w:jc w:val="both"/>
        <w:spacing w:after="0" w:line="240" w:lineRule="auto"/>
        <w:shd w:val="clear" w:color="auto" w:fill="auto"/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Продолжена работа по догазификации.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начала реализации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мероприятий по догазификации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обеспечены газоснабжением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34 домовладения, из них в 2023 году 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17 домовладений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 территориях индивидуальной жилой застройки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районах Северный и Южный </w:t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мкр. Семейный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мкр. Заозерный),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Коротчаево и Лимбяяха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2023 году осуществлено строительство подводящего газопровода до границ СНТ «Мечта» протяженностью 150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м.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рамках подготовки к осенне-зимнему перио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ду 2023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/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202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4 годов выполнены следующие работы: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 подготовлено 15 котельных. Заменено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4,51 км ветхих сетей теплоснабжения и горячего водоснабжения;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 на 3 водозаборах выполнены работы по текущему ремонту 26 артезианских скважин, химреагентной обработке скважин, замене запорной арматуры, проведена ревизия и ремонт электротехнического оборудования блок-боксов.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shd w:val="clear" w:color="auto" w:fill="ffffff"/>
        </w:rPr>
        <w:t xml:space="preserve">Заменено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1,2 км ветхих сетей холодного водоснабжения;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 на 3 очистных сооружениях канализации проведена замена </w:t>
        <w:br/>
        <w:t xml:space="preserve">2 хлоропроводов, текущий ремонт электрооборудования 23 насосных установок, работы по чистке иловых и песковых полей, замене запорной арматуры, промывке 15 км сетей канализации. Заменено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  <w:br/>
        <w:t xml:space="preserve">0,7 км ветхих сетей водоотведения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 техническое обслужи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вание наружных газопроводов, текущий ремонт газового оборудования в пунктах редуцирования газа, приборное обследование 43 км подземных газопроводов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 высоковольтные испытания и текущий ремонт 12 км воздушных и 8 км кабельных линий электропередач, ревизия и ремонт оборудования в 19 трансформаторных подстанциях. Заменено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7 км ветхих сетей электроснабжения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widowControl w:val="off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 подготовлено 42 стационарных и 4 передвижных резервных источников электроснабжения;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shd w:val="clear" w:color="auto" w:fill="auto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 сформирован аварийный запас топлива и материалов </w:t>
        <w:br/>
        <w:t xml:space="preserve">для проведения ремонтно-восстановительных работ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1121"/>
        <w:ind w:left="0" w:right="0" w:firstLine="708"/>
        <w:jc w:val="both"/>
        <w:shd w:val="clear" w:color="auto" w:fill="auto"/>
      </w:pPr>
      <w:r>
        <w:rPr>
          <w:rFonts w:ascii="Liberation Sans" w:hAnsi="Liberation Sans" w:eastAsia="Liberation Serif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целью проведения мероприятий по реконструкции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централизованных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систем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 сфере теплоснабжения и водоснабжения заключены 2 концессионных согла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шения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:</w:t>
      </w:r>
      <w:r>
        <w:rPr>
          <w:highlight w:val="none"/>
        </w:rPr>
      </w:r>
      <w:r/>
    </w:p>
    <w:p>
      <w:pPr>
        <w:pStyle w:val="1121"/>
        <w:ind w:left="0" w:right="0" w:firstLine="708"/>
        <w:jc w:val="both"/>
        <w:shd w:val="clear" w:color="auto" w:fill="auto"/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auto"/>
          <w:sz w:val="28"/>
          <w:szCs w:val="28"/>
          <w:highlight w:val="none"/>
        </w:rPr>
        <w:t xml:space="preserve">-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 с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АО «Уренгойтеплогенерация-1»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отно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шении объектов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теплоснабжения, централизованных систем горячего водоснабжения, отдельных объектов таких систем, находящихся в собственности муниципального образования (концессионное соглашение </w:t>
        <w:br/>
        <w:t xml:space="preserve">от 17.05.2023 №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89-14/02-03/35/209-юр). 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рамках концессионного соглашения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2023 году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АО «Уренгойтеплогенерация-1»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выполнены работы по разр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або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тке проектно-сметной документации, получению положительного заключения государственной экспертизы сметной документации </w:t>
        <w:br/>
        <w:t xml:space="preserve">на объекты «Расширение и реконструкция котельной № 2 АО «УТГ-1» с вводом в эксплуатацию одного водогрейного котла КВГМ-100-150 </w:t>
        <w:br/>
        <w:t xml:space="preserve">ст. № 3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«Строительство резервного источника электроснабжения районной котельной № 1 г. Новый Уренгой, ЯНАО»;</w:t>
      </w:r>
      <w:r>
        <w:rPr>
          <w:highlight w:val="none"/>
        </w:rPr>
      </w:r>
      <w:r/>
    </w:p>
    <w:p>
      <w:pPr>
        <w:pStyle w:val="1121"/>
        <w:ind w:left="0" w:right="0" w:firstLine="720"/>
        <w:jc w:val="both"/>
        <w:shd w:val="clear" w:color="auto" w:fill="auto"/>
        <w:suppressLineNumbers w:val="0"/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с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АО «Уренгойгорводоканал»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в отношении объектов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централизованных систем холодного водоснабжения и водоотведения, отдельных объектов таких систем, находящихся в собственности муниципального образова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ния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(концессионное соглашение </w:t>
        <w:br/>
        <w:t xml:space="preserve">от 18.05.2023 №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89-14/02-03/36/210-юр)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tabs>
          <w:tab w:val="clear" w:pos="7143" w:leader="none"/>
          <w:tab w:val="clear" w:pos="14287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рамках концессионного соглашения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2023 году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АО «Уренгойгорводоканал»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заключены договоры подряда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 разработку проектной документации.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firstLine="720"/>
        <w:jc w:val="both"/>
        <w:spacing w:after="0" w:line="240" w:lineRule="auto"/>
        <w:tabs>
          <w:tab w:val="clear" w:pos="4153" w:leader="none"/>
          <w:tab w:val="clear" w:pos="8306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/>
      <w:bookmarkStart w:id="45" w:name="_Toc45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End w:id="0"/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Создание условий для массового отдыха жителей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br/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и организация обустройства мест массового отдыха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населения</w:t>
      </w:r>
      <w:bookmarkEnd w:id="45"/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21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b/>
          <w:bCs/>
          <w:iCs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line="240" w:lineRule="auto"/>
        <w:shd w:val="clear" w:color="auto" w:fill="auto"/>
      </w:pP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В целях 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организации обустройства мест массового отдыха населения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в течение года 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выполн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ялись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 следующие работы: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</w:pP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санитарная очистка территории мест массового отдыха населения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</w:pP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содержани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е мемориального комплекса на площади Памяти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 (поставка газа к Вечному огню)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содержание 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6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 мест массового отдыха населения у воды в летний перио</w:t>
      </w:r>
      <w:r>
        <w:rPr>
          <w:rFonts w:ascii="Liberation Sans" w:hAnsi="Liberation Sans" w:cs="Liberation Sans" w:eastAsiaTheme="minorHAnsi"/>
          <w:color w:val="000000" w:themeColor="text1"/>
          <w:sz w:val="28"/>
          <w:szCs w:val="28"/>
          <w:highlight w:val="none"/>
        </w:rPr>
        <w:t xml:space="preserve">д (</w:t>
      </w:r>
      <w:r>
        <w:rPr>
          <w:rFonts w:ascii="Liberation Sans" w:hAnsi="Liberation Sans" w:cs="Liberation Sans" w:eastAsiaTheme="minorHAnsi"/>
          <w:color w:val="000000" w:themeColor="text1"/>
          <w:sz w:val="28"/>
          <w:szCs w:val="28"/>
          <w:highlight w:val="none"/>
        </w:rPr>
        <w:t xml:space="preserve">установ</w:t>
      </w:r>
      <w:r>
        <w:rPr>
          <w:rFonts w:ascii="Liberation Sans" w:hAnsi="Liberation Sans" w:cs="Liberation Sans" w:eastAsiaTheme="minorHAnsi"/>
          <w:color w:val="000000" w:themeColor="text1"/>
          <w:sz w:val="28"/>
          <w:szCs w:val="28"/>
          <w:highlight w:val="none"/>
        </w:rPr>
        <w:t xml:space="preserve">лено 10 урн, 7 контейнеров для сбора мусора, </w:t>
        <w:br/>
        <w:t xml:space="preserve">14 информационных стендов и табличек, 2 биотуалета, произведен</w:t>
      </w:r>
      <w:r>
        <w:rPr>
          <w:rFonts w:ascii="Liberation Sans" w:hAnsi="Liberation Sans" w:cs="Liberation Sans" w:eastAsiaTheme="minorHAnsi"/>
          <w:color w:val="000000" w:themeColor="text1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 w:eastAsiaTheme="minorHAnsi"/>
          <w:color w:val="000000" w:themeColor="text1"/>
          <w:sz w:val="28"/>
          <w:szCs w:val="28"/>
          <w:highlight w:val="none"/>
        </w:rPr>
        <w:t xml:space="preserve"> очистка от мусора зон от</w:t>
      </w:r>
      <w:r>
        <w:rPr>
          <w:rFonts w:ascii="Liberation Sans" w:hAnsi="Liberation Sans" w:cs="Liberation Sans" w:eastAsiaTheme="minorHAnsi"/>
          <w:color w:val="000000" w:themeColor="text1"/>
          <w:sz w:val="28"/>
          <w:szCs w:val="28"/>
          <w:highlight w:val="none"/>
        </w:rPr>
        <w:t xml:space="preserve">дыха, вывоз мусора с контейнеров)</w:t>
      </w:r>
      <w:r>
        <w:rPr>
          <w:rFonts w:ascii="Liberation Sans" w:hAnsi="Liberation Sans" w:cs="Liberation Sans" w:eastAsiaTheme="minorHAnsi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color w:val="000000" w:themeColor="text1"/>
          <w:highlight w:val="none"/>
        </w:rPr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установка 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6 новогодних елей 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 зимний период при подготовке </w:t>
        <w:br/>
        <w:t xml:space="preserve">к новогодним мероприятиям 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(в районе МУПАТ, на городской площади, в парке Дружба, на площади у 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«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Полярной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 с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овы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»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, в районах Корот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чаево и Лимбяяха), 7 деревянных горок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(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в мкр. Юбилейный, д. 2/7, </w:t>
        <w:br/>
        <w:t xml:space="preserve">парке Дружба, мкр. Тундровый, д. 1, 2, мкр. Строителей, д. 5/6, </w:t>
        <w:br/>
        <w:t xml:space="preserve">мкр. Оптимистов, д. 2/2, мкр. Восточный, д. 1/1, районе Коротчаево)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, обустройство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 2 ледовых катков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в районах Лимбяяха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и Южный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/>
          <w:sz w:val="28"/>
          <w:szCs w:val="28"/>
          <w:highlight w:val="none"/>
        </w:rPr>
      </w:pPr>
      <w:r>
        <w:rPr>
          <w:rFonts w:ascii="Liberation Sans" w:hAnsi="Liberation Sans" w:cs="Liberation Sans" w:eastAsiaTheme="minorHAnsi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</w:r>
      <w:r/>
    </w:p>
    <w:p>
      <w:pPr>
        <w:pStyle w:val="946"/>
        <w:numPr>
          <w:ilvl w:val="1"/>
          <w:numId w:val="2"/>
        </w:numPr>
        <w:ind w:lef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color w:val="000000"/>
          <w:sz w:val="28"/>
          <w:szCs w:val="28"/>
        </w:rPr>
      </w:pPr>
      <w:r/>
      <w:bookmarkStart w:id="46" w:name="_Toc46"/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bookmarkStart w:id="0" w:name="undefined"/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 </w:t>
      </w:r>
      <w:bookmarkStart w:id="0" w:name="undefined"/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</w:r>
      <w:bookmarkEnd w:id="0"/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Дорожная деятельность</w:t>
      </w:r>
      <w:bookmarkEnd w:id="0"/>
      <w:r>
        <w:rPr>
          <w:rFonts w:ascii="Liberation Sans" w:hAnsi="Liberation Sans" w:cs="Liberation Sans"/>
          <w:sz w:val="28"/>
          <w:szCs w:val="28"/>
        </w:rPr>
      </w:r>
      <w:bookmarkEnd w:id="46"/>
      <w:r>
        <w:rPr>
          <w:rFonts w:ascii="Liberation Sans" w:hAnsi="Liberation Sans" w:cs="Liberation Sans"/>
          <w:color w:val="000000"/>
          <w:sz w:val="28"/>
          <w:szCs w:val="28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cs="Liberation Sans"/>
          <w:color w:val="000000"/>
          <w:sz w:val="28"/>
          <w:szCs w:val="28"/>
        </w:rPr>
      </w:r>
      <w:r/>
    </w:p>
    <w:p>
      <w:pPr>
        <w:pStyle w:val="1154"/>
        <w:ind w:left="0" w:firstLine="709"/>
        <w:jc w:val="both"/>
        <w:shd w:val="clear" w:color="auto" w:fill="auto"/>
        <w:widowControl w:val="off"/>
        <w:tabs>
          <w:tab w:val="left" w:pos="293" w:leader="none"/>
        </w:tabs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Прот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яженность улично-дорожной сети города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2023 году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увеличилась на 2,984 км и составила 251,305 км (2022 год -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248,321 км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), в том числе с твердым </w:t>
      </w:r>
      <w:r>
        <w:rPr>
          <w:rFonts w:ascii="Liberation Sans" w:hAnsi="Liberation Sans" w:cs="Liberation Sans"/>
          <w:color w:val="auto"/>
          <w:highlight w:val="none"/>
        </w:rPr>
        <w:t xml:space="preserve">покрытием - 243,117 км (2022 год - </w:t>
      </w:r>
      <w:r>
        <w:rPr>
          <w:rFonts w:ascii="Liberation Sans" w:hAnsi="Liberation Sans" w:cs="Liberation Sans"/>
          <w:color w:val="auto"/>
          <w:highlight w:val="none"/>
        </w:rPr>
        <w:t xml:space="preserve">235,764 км</w:t>
      </w:r>
      <w:r>
        <w:rPr>
          <w:rFonts w:ascii="Liberation Sans" w:hAnsi="Liberation Sans" w:cs="Liberation Sans"/>
          <w:color w:val="auto"/>
          <w:highlight w:val="none"/>
        </w:rPr>
        <w:t xml:space="preserve">), из них:</w:t>
      </w:r>
      <w:r>
        <w:rPr>
          <w:highlight w:val="none"/>
        </w:rPr>
      </w:r>
      <w:r/>
    </w:p>
    <w:p>
      <w:pPr>
        <w:pStyle w:val="1154"/>
        <w:ind w:left="0" w:firstLine="709"/>
        <w:jc w:val="both"/>
        <w:shd w:val="clear" w:color="auto" w:fill="auto"/>
        <w:widowControl w:val="off"/>
        <w:tabs>
          <w:tab w:val="left" w:pos="293" w:leader="none"/>
        </w:tabs>
      </w:pPr>
      <w:r>
        <w:rPr>
          <w:rFonts w:ascii="Liberation Sans" w:hAnsi="Liberation Sans" w:cs="Liberation Sans"/>
          <w:color w:val="auto"/>
          <w:highlight w:val="none"/>
        </w:rPr>
      </w:r>
      <w:r>
        <w:rPr>
          <w:rFonts w:ascii="Liberation Sans" w:hAnsi="Liberation Sans" w:cs="Liberation Sans"/>
          <w:color w:val="auto"/>
          <w:highlight w:val="none"/>
        </w:rPr>
        <w:t xml:space="preserve">- автомобильные дороги общего пользования местного значения - 8,837 км (с твердым покрытием - 8,837 км)</w:t>
      </w:r>
      <w:r>
        <w:rPr>
          <w:rFonts w:ascii="Liberation Sans" w:hAnsi="Liberation Sans" w:cs="Liberation Sans"/>
          <w:color w:val="auto"/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154"/>
        <w:ind w:left="0" w:firstLine="709"/>
        <w:jc w:val="both"/>
        <w:shd w:val="clear" w:color="auto" w:fill="auto"/>
        <w:widowControl w:val="off"/>
        <w:tabs>
          <w:tab w:val="left" w:pos="293" w:leader="none"/>
        </w:tabs>
      </w:pPr>
      <w:r>
        <w:rPr>
          <w:rFonts w:ascii="Liberation Sans" w:hAnsi="Liberation Sans" w:cs="Liberation Sans"/>
          <w:color w:val="auto"/>
          <w:highlight w:val="none"/>
        </w:rPr>
      </w:r>
      <w:r>
        <w:rPr>
          <w:rFonts w:ascii="Liberation Sans" w:hAnsi="Liberation Sans" w:cs="Liberation Sans"/>
          <w:color w:val="auto"/>
          <w:highlight w:val="none"/>
        </w:rPr>
        <w:t xml:space="preserve">- улицы и доро</w:t>
      </w:r>
      <w:r>
        <w:rPr>
          <w:rFonts w:ascii="Liberation Sans" w:hAnsi="Liberation Sans" w:cs="Liberation Sans"/>
          <w:color w:val="auto"/>
          <w:highlight w:val="none"/>
        </w:rPr>
        <w:t xml:space="preserve">ги - 94,764 км (с твердым покрытием - 93,421 км);</w:t>
      </w:r>
      <w:r>
        <w:rPr>
          <w:highlight w:val="none"/>
        </w:rPr>
      </w:r>
      <w:r/>
    </w:p>
    <w:p>
      <w:pPr>
        <w:pStyle w:val="1154"/>
        <w:ind w:left="0" w:firstLine="709"/>
        <w:jc w:val="both"/>
        <w:shd w:val="clear" w:color="auto" w:fill="auto"/>
        <w:widowControl w:val="off"/>
        <w:tabs>
          <w:tab w:val="left" w:pos="293" w:leader="none"/>
        </w:tabs>
      </w:pPr>
      <w:r>
        <w:rPr>
          <w:rFonts w:ascii="Liberation Sans" w:hAnsi="Liberation Sans" w:cs="Liberation Sans"/>
          <w:color w:val="auto"/>
          <w:highlight w:val="none"/>
        </w:rPr>
        <w:t xml:space="preserve">- внутриквартальные проезды - </w:t>
      </w:r>
      <w:r>
        <w:rPr>
          <w:rFonts w:ascii="Liberation Sans" w:hAnsi="Liberation Sans" w:cs="Liberation Sans"/>
          <w:color w:val="auto"/>
          <w:highlight w:val="none"/>
        </w:rPr>
        <w:t xml:space="preserve">147,704</w:t>
      </w:r>
      <w:r>
        <w:rPr>
          <w:rFonts w:ascii="Liberation Sans" w:hAnsi="Liberation Sans" w:cs="Liberation Sans"/>
          <w:color w:val="auto"/>
          <w:highlight w:val="none"/>
        </w:rPr>
        <w:t xml:space="preserve"> км (с твердым </w:t>
        <w:br/>
        <w:t xml:space="preserve">покрытием - 140,859 км</w:t>
      </w:r>
      <w:r>
        <w:rPr>
          <w:rFonts w:ascii="Liberation Sans" w:hAnsi="Liberation Sans" w:cs="Liberation Sans"/>
          <w:color w:val="auto"/>
          <w:highlight w:val="none"/>
        </w:rPr>
        <w:t xml:space="preserve">).</w:t>
      </w:r>
      <w:r>
        <w:rPr>
          <w:highlight w:val="none"/>
        </w:rPr>
      </w:r>
      <w:r/>
    </w:p>
    <w:p>
      <w:pPr>
        <w:pStyle w:val="1154"/>
        <w:ind w:left="0" w:right="0" w:firstLine="709"/>
        <w:jc w:val="both"/>
        <w:shd w:val="clear" w:color="auto" w:fill="auto"/>
        <w:widowControl w:val="off"/>
        <w:tabs>
          <w:tab w:val="left" w:pos="293" w:leader="none"/>
        </w:tabs>
        <w:rPr>
          <w:rFonts w:ascii="Liberation Sans" w:hAnsi="Liberation Sans" w:cs="Liberation Sans"/>
          <w:color w:val="auto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Изменения протяженности </w:t>
      </w:r>
      <w:r>
        <w:rPr>
          <w:rFonts w:ascii="Liberation Sans" w:hAnsi="Liberation Sans" w:cs="Liberation Sans"/>
          <w:color w:val="auto"/>
          <w:highlight w:val="none"/>
        </w:rPr>
        <w:t xml:space="preserve">улично-дорожной сети города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 </w:t>
        <w:br/>
        <w:t xml:space="preserve">по сравнению с 2022 годом связаны 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со 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списанием муниципального имущества (ул. Зем</w:t>
      </w:r>
      <w:r>
        <w:rPr>
          <w:rFonts w:ascii="Liberation Sans" w:hAnsi="Liberation Sans" w:cs="Liberation Sans"/>
          <w:color w:val="auto"/>
          <w:szCs w:val="28"/>
          <w:highlight w:val="none"/>
        </w:rPr>
        <w:t xml:space="preserve">левозной, ул. Пахотова, подъезда к АБЗ, внутриквартальных проездов в районах </w:t>
      </w:r>
      <w:r>
        <w:rPr>
          <w:rFonts w:ascii="Liberation Sans" w:hAnsi="Liberation Sans" w:cs="Liberation Sans"/>
          <w:color w:val="auto"/>
          <w:szCs w:val="28"/>
          <w:highlight w:val="none"/>
        </w:rPr>
        <w:t xml:space="preserve">Коротчаево, Лимбяяха), принятием в муниципальную собственность внутриквартальных проездов мкр. Радужный, объектов ООО «</w:t>
      </w:r>
      <w:r>
        <w:rPr>
          <w:rFonts w:ascii="Liberation Sans" w:hAnsi="Liberation Sans" w:cs="Liberation Sans"/>
          <w:color w:val="auto"/>
          <w:szCs w:val="28"/>
          <w:highlight w:val="none"/>
        </w:rPr>
        <w:t xml:space="preserve">Газпром НГХК»</w:t>
      </w:r>
      <w:r>
        <w:rPr>
          <w:rFonts w:ascii="Liberation Sans" w:hAnsi="Liberation Sans" w:cs="Liberation Sans"/>
          <w:color w:val="auto"/>
          <w:szCs w:val="28"/>
          <w:highlight w:val="none"/>
        </w:rPr>
        <w:t xml:space="preserve">, строительством</w:t>
      </w:r>
      <w:r>
        <w:rPr>
          <w:rFonts w:ascii="Liberation Sans" w:hAnsi="Liberation Sans" w:cs="Liberation Sans"/>
          <w:color w:val="auto"/>
          <w:highlight w:val="none"/>
        </w:rPr>
        <w:t xml:space="preserve"> нового участка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проезда в м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кр. Энтузиастов</w:t>
      </w:r>
      <w:r>
        <w:rPr>
          <w:rFonts w:ascii="Liberation Sans" w:hAnsi="Liberation Sans" w:cs="Liberation Sans"/>
          <w:color w:val="auto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auto"/>
          <w:highlight w:val="none"/>
        </w:rPr>
      </w:r>
      <w:r/>
    </w:p>
    <w:p>
      <w:pPr>
        <w:pStyle w:val="1154"/>
        <w:ind w:left="0" w:right="0" w:firstLine="709"/>
        <w:jc w:val="both"/>
        <w:shd w:val="clear" w:color="auto" w:fill="auto"/>
        <w:widowControl w:val="off"/>
        <w:tabs>
          <w:tab w:val="left" w:pos="293" w:leader="none"/>
        </w:tabs>
        <w:rPr>
          <w:rFonts w:ascii="Liberation Sans" w:hAnsi="Liberation Sans" w:cs="Liberation Sans"/>
          <w:color w:val="auto"/>
          <w:highlight w:val="none"/>
        </w:rPr>
        <w:suppressLineNumbers w:val="0"/>
      </w:pPr>
      <w:r>
        <w:rPr>
          <w:rFonts w:ascii="Liberation Sans" w:hAnsi="Liberation Sans" w:cs="Liberation Sans"/>
          <w:color w:val="auto"/>
          <w:highlight w:val="none"/>
        </w:rPr>
      </w:r>
      <w:r>
        <w:rPr>
          <w:rFonts w:ascii="Liberation Sans" w:hAnsi="Liberation Sans" w:cs="Liberation Sans"/>
          <w:color w:val="auto"/>
          <w:highlight w:val="none"/>
        </w:rPr>
      </w:r>
      <w:r/>
    </w:p>
    <w:p>
      <w:pPr>
        <w:pStyle w:val="1154"/>
        <w:ind w:left="0" w:right="0" w:firstLine="709"/>
        <w:jc w:val="both"/>
        <w:shd w:val="clear" w:color="auto" w:fill="auto"/>
        <w:widowControl w:val="off"/>
        <w:tabs>
          <w:tab w:val="left" w:pos="293" w:leader="none"/>
        </w:tabs>
        <w:suppressLineNumbers w:val="0"/>
      </w:pPr>
      <w:r>
        <w:rPr>
          <w:rFonts w:ascii="Liberation Sans" w:hAnsi="Liberation Sans" w:cs="Liberation Sans"/>
          <w:highlight w:val="none"/>
        </w:rPr>
      </w:r>
      <w:r>
        <w:rPr>
          <w:rFonts w:ascii="Liberation Sans" w:hAnsi="Liberation Sans" w:cs="Liberation Sans"/>
          <w:highlight w:val="none"/>
        </w:rPr>
        <w:drawing>
          <wp:inline distT="0" distB="0" distL="0" distR="0">
            <wp:extent cx="5314338" cy="2118147"/>
            <wp:effectExtent l="4762" t="4762" r="4762" b="4762"/>
            <wp:docPr id="38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  <w:r>
        <w:rPr>
          <w:highlight w:val="none"/>
        </w:rPr>
      </w:r>
      <w:r/>
    </w:p>
    <w:p>
      <w:pPr>
        <w:pStyle w:val="1154"/>
        <w:ind w:left="0" w:right="0" w:firstLine="709"/>
        <w:jc w:val="both"/>
        <w:shd w:val="clear" w:color="auto" w:fill="auto"/>
        <w:widowControl w:val="off"/>
        <w:tabs>
          <w:tab w:val="left" w:pos="293" w:leader="none"/>
        </w:tabs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highlight w:val="none"/>
        </w:rPr>
      </w:r>
      <w:r/>
    </w:p>
    <w:p>
      <w:pPr>
        <w:pStyle w:val="1154"/>
        <w:ind w:left="0" w:right="0" w:firstLine="709"/>
        <w:jc w:val="both"/>
        <w:spacing w:line="240" w:lineRule="auto"/>
        <w:shd w:val="clear" w:color="auto" w:fill="auto"/>
        <w:widowControl w:val="off"/>
        <w:tabs>
          <w:tab w:val="left" w:pos="293" w:leader="none"/>
        </w:tabs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целях повышения уровня обустройства улично-дорожной сети и ее тран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спортно-эксплуатационного состояния выполнены следующие мероприятия: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ремонт 16 уча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стков улиц, дорог и внутриквартальных проездов общей протяженностью 8,384 км: 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  <w:lang w:eastAsia="en-US"/>
        </w:rPr>
        <w:t xml:space="preserve">пр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  <w:lang w:eastAsia="en-US"/>
        </w:rPr>
        <w:t xml:space="preserve">оезды 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  <w:lang w:eastAsia="en-US"/>
        </w:rPr>
        <w:t xml:space="preserve">по 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  <w:lang w:eastAsia="en-US"/>
        </w:rPr>
        <w:t xml:space="preserve">ул. Сибирской, д. 17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  <w:lang w:eastAsia="en-US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протяженность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0,121 км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  <w:lang w:eastAsia="en-US"/>
        </w:rPr>
        <w:t xml:space="preserve">; 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  <w:lang w:eastAsia="en-US"/>
        </w:rPr>
        <w:t xml:space="preserve">п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  <w:lang w:eastAsia="en-US"/>
        </w:rPr>
        <w:t xml:space="preserve">роез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  <w:lang w:eastAsia="en-US"/>
        </w:rPr>
        <w:t xml:space="preserve">ды 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  <w:lang w:eastAsia="en-US"/>
        </w:rPr>
        <w:t xml:space="preserve">в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  <w:lang w:eastAsia="en-US"/>
        </w:rPr>
        <w:t xml:space="preserve"> мкр. Дружба, д. 2/8, 2/9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  <w:lang w:eastAsia="en-US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протяженностью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0,408 км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роезды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ул. Сибирск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д. 65, 67, 69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  <w:lang w:eastAsia="en-US"/>
        </w:rPr>
        <w:t xml:space="preserve">,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протяженностью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0,533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км;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проезды по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ул. Тундров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д. 4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  <w:lang w:eastAsia="en-US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прот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женностью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0,219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км;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роезд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ы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мкр. Мирный, д. 1/8, 2/2, 2/3, 8/1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  <w:lang w:eastAsia="en-US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протяженностью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0,5 км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проезды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мкр. Оптимистов от ул. Новой до ул. Ямальской протяженностью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0,51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км;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проезд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ул. Транспортн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протяженностью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0,5 км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улица № 8П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протяженностью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1,883 км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улица им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ени В.Я. Петуха протяженностью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1,683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км;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проезд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до КОС протяженностью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0,21 км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дельные участк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 автодорог (элемент транспортной развязки № 1, ул. Новая, ул. К.Ф. Ватолина, ул. 26 Съезда КПСС, ул. Железнодорожная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участок 1, ул. Железнодорожная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участок </w:t>
        <w:br/>
        <w:t xml:space="preserve">2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протяженностью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1,817 к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)</w:t>
      </w:r>
      <w:r>
        <w:rPr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капи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тальный ремонт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11 участков улиц и дорог общей протяженностью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8,686 км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: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проезды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 ул. Молодежной, дома 9, 9А, 13, 15, им. Заура Керейтова и Народов Севера протяженностью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0,935 км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;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проезды вдоль домов 4Б, 6А, 8Б по пр-ту Ленинградский протяженностью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0,591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км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проезд от пр-та Ленинградский до жилых домов 6, 6А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ул. 26 Съезда КПСС; 2, 2А, 4, 4А ул. Интернациональной протяженностью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0,71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3 км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проезды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мкр. Приозерный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д. 11, 11/1, 1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  <w:t xml:space="preserve">(р-н Лимбяяха)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протяженностью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0,789 км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проезды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ул. Ямбург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ск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  <w:br/>
        <w:t xml:space="preserve">д. 2, 3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(р-н Коротчаево)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протяженностью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0,592 км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улица Портовая </w:t>
        <w:br/>
        <w:t xml:space="preserve">(р-н Коротчаево) протяженностью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0,629 км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проезд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ул. Пушкинск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  <w:br/>
        <w:t xml:space="preserve">д. 1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(р-н Коротчаево)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протяженностью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0,295 км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улица Зеленая </w:t>
        <w:br/>
        <w:t xml:space="preserve">(р-н Лимбяяха), протяженностью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1,165 км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проезды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ул. Юбилейн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  <w:br/>
        <w:t xml:space="preserve">д. 1А, 1Б, 1Г, 1Д, 3, пр-т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Ленинградский, д. 1, 3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протяженностью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  <w:t xml:space="preserve">0,851 км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проезды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мкр. Опти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мистов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д. 2/1 и 2/2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протяженностью </w:t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0,626 км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ул. Сибирская протяженностью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1,5 км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(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завершение работ </w:t>
        <w:br/>
        <w:t xml:space="preserve">по у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частку протяженностью 0,42 км запланировано на 2024 год)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Капитальный ремонт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 8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объектов улично-дорожной сети: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ост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по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ул.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Энер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гостроителей;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мост через р. 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мчар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уя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ха, Центральная магистраль;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ул. Героев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ожарных;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ул. Энергостроителей; </w:t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ул. Арктическая, участок 2;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ул. Ямальская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;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автодорога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Западная промзона - Северная промзона, участок Северная магистраль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;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автодорога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Западная промзона - Северная промзона, участок </w:t>
        <w:br/>
        <w:t xml:space="preserve">ул. Крайняя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 (завершение работ запланировано на 2024 год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);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color w:val="auto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реконструкция 5 объектов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дорожной сети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протяженностью </w:t>
        <w:br/>
        <w:t xml:space="preserve">5,253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км: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завершение реконструкции 2 объекто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протяженностью </w:t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0,441 км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(ул. Индустриальная (устройство электроосвещения), внутриквартальные проезды и тротуары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мкр. IV А (восточная часть));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реконструкция 3 объектов общей протяженностью 4,812 км (участки улиц Таежной, Магистральной, Геологоразведчиков)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(завершение работ запланировано на 2024 год)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color w:val="auto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строительство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участка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проезда в 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Энтузиастов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(переходящий объект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2022 года)</w:t>
      </w:r>
      <w:r>
        <w:rPr>
          <w:highlight w:val="none"/>
        </w:rPr>
        <w:t xml:space="preserve">;</w:t>
      </w:r>
      <w:r>
        <w:rPr>
          <w:highlight w:val="none"/>
        </w:rPr>
        <w:t xml:space="preserve"> </w:t>
      </w:r>
      <w:r>
        <w:rPr>
          <w:color w:val="auto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highlight w:val="none"/>
        </w:rPr>
        <w:suppressLineNumbers w:val="0"/>
      </w:pPr>
      <w:r>
        <w:rPr>
          <w:highlight w:val="none"/>
        </w:rPr>
        <w:t xml:space="preserve">-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строительство 2 объектов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протяженностью 2,35 км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(автомобильная дорога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мкр. 02:19, 02:20, 02:11 (дорога к дачам),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дорога от ул. Дачн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до полигона твердых отходов строительных материалов и конструкций)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(завершение работ запланировано на 2024 год)</w:t>
      </w:r>
      <w:r>
        <w:rPr>
          <w:highlight w:val="none"/>
        </w:rPr>
        <w:t xml:space="preserve">;</w:t>
      </w:r>
      <w:r>
        <w:rPr>
          <w:highlight w:val="none"/>
        </w:rPr>
        <w:t xml:space="preserve"> 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ямочный ремонт улично-дорожной сети протяженностью </w:t>
        <w:br/>
        <w:t xml:space="preserve">1,123 км. 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Общая протяженность (площадь) ремонтных работ на улично-дорожной сети города в 2023 году составила 25,8 км (302 498 кв. м).</w:t>
      </w:r>
      <w:r>
        <w:rPr>
          <w:rFonts w:ascii="Liberation Sans" w:hAnsi="Liberation Sans" w:cs="Liberation Sans"/>
          <w:highlight w:val="none"/>
        </w:rPr>
        <w:t xml:space="preserve"> </w:t>
      </w:r>
      <w:r/>
    </w:p>
    <w:p>
      <w:pPr>
        <w:ind w:firstLine="720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0" w:right="0" w:firstLine="0"/>
        <w:jc w:val="center"/>
        <w:spacing w:after="0" w:afterAutospacing="0" w:line="240" w:lineRule="auto"/>
        <w:shd w:val="clear" w:color="auto" w:fill="auto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drawing>
          <wp:inline distT="0" distB="0" distL="0" distR="0">
            <wp:extent cx="4294527" cy="1614715"/>
            <wp:effectExtent l="3175" t="3175" r="3175" b="3175"/>
            <wp:docPr id="39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  <w:r>
        <w:rPr>
          <w:highlight w:val="none"/>
        </w:rPr>
      </w:r>
      <w:r/>
    </w:p>
    <w:p>
      <w:pPr>
        <w:ind w:firstLine="0"/>
        <w:jc w:val="both"/>
        <w:spacing w:after="0" w:afterAutospacing="0" w:line="240" w:lineRule="auto"/>
        <w:shd w:val="clear" w:color="auto" w:fill="auto"/>
        <w:rPr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>
        <w:rPr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color w:val="auto"/>
        </w:rPr>
        <w:suppressLineNumbers w:val="0"/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В 2023 году в рамках муниципального контракта </w:t>
        <w:br/>
        <w:t xml:space="preserve">ООО «ПроектСервисМонтаж» выполнена оценка технического состояния городских автомобильных дорог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По результатам оценки </w:t>
        <w:br/>
        <w:t xml:space="preserve">в 2023 году не удовлетворяют нормативным требованиям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технического состояния автомобильных дорог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32 объекта улично-дорожной сети города общей протяженностью 32,8 км.</w:t>
      </w:r>
      <w:r>
        <w:rPr>
          <w:color w:val="auto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2023 году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ыполнены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работы по разработке проектно-сметной документации на капитальный ремонт (реконструкцию) автомобильных дорог общего пользования местного значения, оказание услуг по проведению государственной экспертизы в части достоверности определения сметной стоимости.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Получено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положительное заключение экспертизы </w:t>
        <w:br/>
        <w:t xml:space="preserve">по разработанным проектам следующих объектов: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«Капитальный ремонт моста че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рез р.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Хэнуяха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ул. Пахотова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р-н Коротчаево»;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«Капитальный ремонт автодорожного моста через р.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Томчаруяха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Западная магистраль»;</w:t>
      </w:r>
      <w:r>
        <w:rPr>
          <w:color w:val="000000" w:themeColor="text1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«Ремонт автодорожного моста через </w:t>
        <w:br/>
        <w:t xml:space="preserve">р.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Седэяха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Западная магистраль»;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«Ремонт путепровода элемен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 транспортной развязки № 1»;</w:t>
      </w:r>
      <w:r>
        <w:rPr>
          <w:color w:val="000000" w:themeColor="text1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«Капитальный ремонт моста через ручей по ул. Энергостроителей»;</w:t>
      </w:r>
      <w:r>
        <w:rPr>
          <w:color w:val="000000" w:themeColor="text1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Капитальный ремонт проездов </w:t>
        <w:br/>
        <w:t xml:space="preserve">мкр. Восточный, д. 6/8, 6/9, 6/3, 6/3А»;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«Капитальный ремонт проездов мкр. Восточный, д. 2/6, 2/5, 2/4, 3/1, 3/3, 3/4, 3/5».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целях повышения безопасности участников дорожного движения выполнены следующие мероприятия: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color w:val="auto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перевод 5 нерегулируемых пешеходных переходов в разряд регулируемых путем обустройства светофорным объектом с вызывной пешеходной сигна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лизацией (кнопками для пешеходов): на ул. Сибирской в районе магазина «Пятерочка» и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Богоявленского собора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, ул. им. Захаренкова В.С. в районе дома 2/4 мкр. Восточный, ул. Железнодорож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ной в районе дома 2, ул. Арктической в районе дома 3 мкр. Тундровый;</w:t>
      </w:r>
      <w:r>
        <w:rPr>
          <w:color w:val="auto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обустройство регулируемого пешеходного перехода на автомобильной дороге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Западная промзона - Северная промзона, участок ул. Мира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в районе МБОУ «Арктический лицей»;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обустройство нерегулируемого пешеходного перехода </w:t>
        <w:br/>
        <w:t xml:space="preserve">на ул. Дружбы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ародов в районе филиала МАДОУ ДС «Звездочка» «Созвездие»;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установка светофорного объекта типа Т.7 (желтый мигающий сигнал) с солнечной панелью на нерегулируемом пешеходном переходе, организованном по ул. Железнодорожной в районе школы № 15.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2023 году для повышения качества выполняемых работ </w:t>
        <w:br/>
        <w:t xml:space="preserve">по содержанию улично-дорожной сети города приобретено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оборудование и специальная техника в количестве 9 ед.: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КамАЗ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(тягач),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асфальтоукладчик,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полуприцеп тяжеловоз автомобильный,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машина самоходная разметочная,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дополнительное оборудование разметочной машины,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система автоматического нивелирования для фрез,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воздуходув МОБИЛ К,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холодная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ф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реза,</w:t>
      </w:r>
      <w:r>
        <w:rPr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асфальтобетонная установка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en-US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За строительный сезон (до октября 2023 года)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асфальтобетонной установкой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произведено 27,2 тыс. тонн ас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фальтобетона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en-US"/>
        </w:rPr>
        <w:t xml:space="preserve">. 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en-US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en-US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течение года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выполнялись работы по зимнему и летнему содержанию объектов, проводились противопаводковые мероприятия, сани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тарное содержание незастроенных территорий. В 2023 году вывез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ено 634,65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тыс. тонн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снега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en-US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Федеральным законом от 08.11.2007 № 257-ФЗ «Об автомобильных дорогах и о дорожной деятельности в Российской Федерации и о внесении изменений в отдельные законодательные акты Российской Федерации» внесены изменения в часть 10 ст. 31 в части исключе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ия из полномочий органов местного самоуправления функций по выдаче специальных разрешений на движение по автомобильным дорогам местного значения муниципального образования город Новый Уренгой тяжеловесного и (или) крупногабаритного транспортного средства.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 01.01.2023 выдача специальных разрешений осуществляется в электронном виде Федеральным дорожным агентством или уполномоченным им подведомственным учреждением.</w:t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целях обеспечения сохранности улично-дорожной сети </w:t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при 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еревозке грузо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color w:val="000000" w:themeColor="text1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выдано согласований на 9 784 ед. техники </w:t>
        <w:br/>
        <w:t xml:space="preserve">на проезд крупногабаритных или тяжеловесных автотранспортных средств, следующих транзитом по территории муниципального образования (2022 год - на 17 765 ед. техники).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color w:val="000000" w:themeColor="text1"/>
          <w:highlight w:val="none"/>
          <w14:ligatures w14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лата в счет возмещения вреда, причиняемого автомобильным дорогам местного значения транспортными средствами, осуществляющими перевозки тяж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еловесных грузов, составила </w:t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4,9 млн руб. (2022 год –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12,9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млн руб.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).</w:t>
      </w:r>
      <w:r>
        <w:rPr>
          <w:rFonts w:ascii="Liberation Sans" w:hAnsi="Liberation Sans" w:cs="Liberation Sans"/>
          <w:color w:val="000000" w:themeColor="text1"/>
          <w:highlight w:val="none"/>
          <w14:ligatures w14:val="none"/>
        </w:rPr>
      </w:r>
      <w:r/>
    </w:p>
    <w:p>
      <w:pPr>
        <w:pStyle w:val="1154"/>
        <w:ind w:left="0" w:firstLine="709"/>
        <w:jc w:val="both"/>
        <w:spacing w:after="0" w:afterAutospacing="0" w:line="240" w:lineRule="auto"/>
        <w:widowControl w:val="off"/>
        <w:tabs>
          <w:tab w:val="left" w:pos="293" w:leader="none"/>
        </w:tabs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highlight w:val="none"/>
        </w:rPr>
      </w:r>
      <w:r>
        <w:rPr>
          <w:rFonts w:ascii="Liberation Sans" w:hAnsi="Liberation Sans" w:cs="Liberation Sans"/>
          <w:highlight w:val="none"/>
        </w:rPr>
      </w:r>
      <w:r/>
    </w:p>
    <w:p>
      <w:pPr>
        <w:pStyle w:val="946"/>
        <w:numPr>
          <w:ilvl w:val="1"/>
          <w:numId w:val="2"/>
        </w:numPr>
        <w:ind w:left="0" w:firstLine="0"/>
        <w:jc w:val="center"/>
        <w:spacing w:before="0" w:beforeAutospacing="0" w:after="0" w:afterAutospacing="0" w:line="240" w:lineRule="auto"/>
        <w:tabs>
          <w:tab w:val="left" w:pos="426" w:leader="none"/>
          <w:tab w:val="left" w:pos="567" w:leader="none"/>
        </w:tabs>
        <w:rPr>
          <w:rFonts w:ascii="Liberation Sans" w:hAnsi="Liberation Sans" w:cs="Liberation Sans"/>
          <w:highlight w:val="none"/>
        </w:rPr>
      </w:pPr>
      <w:r/>
      <w:bookmarkStart w:id="47" w:name="_Toc47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  <w:highlight w:val="none"/>
        </w:rPr>
      </w:r>
      <w:bookmarkStart w:id="0" w:name="undefined"/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С</w:t>
      </w:r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о</w:t>
      </w:r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з</w:t>
      </w:r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дани</w:t>
      </w:r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е условий для обеспечения жителей услугами связи</w:t>
      </w:r>
      <w:bookmarkEnd w:id="0"/>
      <w:r/>
      <w:bookmarkEnd w:id="47"/>
      <w:r>
        <w:rPr>
          <w:rFonts w:ascii="Liberation Sans" w:hAnsi="Liberation Sans" w:cs="Liberation Sans"/>
          <w:highlight w:val="none"/>
        </w:rPr>
      </w:r>
      <w:r/>
    </w:p>
    <w:p>
      <w:pPr>
        <w:pStyle w:val="1137"/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auto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auto"/>
          <w:sz w:val="40"/>
          <w:szCs w:val="40"/>
          <w:highlight w:val="none"/>
        </w:rPr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/>
    </w:p>
    <w:p>
      <w:pPr>
        <w:pStyle w:val="1137"/>
        <w:ind w:firstLine="709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соответствии с Федеральным законом от 07.07.2003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№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126-ФЗ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«О связи» оказывалось содействие организациям связи,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предоставляющим универсальные услуги связи населению, </w:t>
        <w:br/>
        <w:t xml:space="preserve">в том числе: согласован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размещение панельных антенн на антенно-мачтовых сооружениях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прокладка волоконно-оптического кабеля связи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 рассмотрены и проведены соответствующие работы</w:t>
      </w:r>
      <w:r>
        <w:rPr>
          <w:rFonts w:ascii="Liberation Sans" w:hAnsi="Liberation Sans" w:cs="Liberation Sans"/>
          <w:szCs w:val="28"/>
          <w:highlight w:val="none"/>
        </w:rPr>
        <w:t xml:space="preserve"> </w:t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 обращениям граждан по вопр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осам качественного обеспечения услугами связи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1137"/>
        <w:ind w:firstLine="709"/>
        <w:jc w:val="both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2023 году деятельность по трансляции радиопрограмм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  <w:t xml:space="preserve">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en-US"/>
        </w:rPr>
        <w:t xml:space="preserve">FM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-диапазоне осуществл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яли 12 организаций: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ООО «ДО МАЖОР»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ООО «Рекламное агентство Сигма»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ООО «Радио Урала»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  <w:br/>
        <w:t xml:space="preserve">МАУ «Информационное агентство «Импульс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евера»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ООО «Сибирская радиосеть»,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ФГУП «Всероссийская государственная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телевизионная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 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адиовещательна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компания»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ООО «ЛЯ МАЖОР»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ООО «Телерадиокомпания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игма»,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АО «Радио Западной Сибири»,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  <w:t xml:space="preserve">АО «Русское Радио - Евразия»,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ООО «Радио сеть»,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ООО «Газпром трансгаз Югорск».</w:t>
      </w:r>
      <w:r>
        <w:rPr>
          <w:highlight w:val="none"/>
        </w:rPr>
      </w:r>
      <w:r/>
    </w:p>
    <w:p>
      <w:pPr>
        <w:pStyle w:val="1137"/>
        <w:ind w:firstLine="709"/>
        <w:jc w:val="both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Услуги связи предоставляли 9 организаций (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ООО «12 бит»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филиал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ПАО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«МТС» ЯНАО,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Уральский филиал ПАО «Мега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фон»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Ямало-Ненецкий филиал ПАО «Ростелеком»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АО «Ямалтелеком»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ООО «Газпром телеком»,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АО «Сигма - КТВ»,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МАУ «Информационное аген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ство «Импульс Севера»,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ООО «Арктел» (оказывает услуги связи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юридическим лицам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на территории месторождений).</w:t>
      </w:r>
      <w:r>
        <w:rPr>
          <w:highlight w:val="none"/>
        </w:rPr>
      </w:r>
      <w:r/>
    </w:p>
    <w:p>
      <w:pPr>
        <w:pStyle w:val="1137"/>
        <w:ind w:firstLine="709"/>
        <w:jc w:val="both"/>
        <w:shd w:val="clear" w:color="auto" w:fill="auto"/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Услуги почтовой связи осуществляли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8 отдел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ений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(из них </w:t>
        <w:br/>
        <w:t xml:space="preserve">4 отделения связи в районе Южный, 2 отделения - 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районе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Северный, 1 отделение - в районе Лимбяяха, 1 отделение - в районе Коротчаево)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37"/>
        <w:ind w:firstLine="709"/>
        <w:jc w:val="both"/>
        <w:shd w:val="clear" w:color="auto" w:fill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рамках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ремонтных работ совместно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 операторами связи, управляющими компаниями и ТСЖ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проведены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мероприятия </w:t>
        <w:br/>
        <w:t xml:space="preserve">по упорядоченному размещению линий связи и оборудования связи </w:t>
        <w:br/>
        <w:t xml:space="preserve">на кровлях 17 МКД.</w:t>
      </w:r>
      <w:r>
        <w:rPr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1137"/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946"/>
        <w:numPr>
          <w:ilvl w:val="1"/>
          <w:numId w:val="2"/>
        </w:numPr>
        <w:ind w:left="0" w:firstLine="0"/>
        <w:jc w:val="center"/>
        <w:spacing w:before="0" w:beforeAutospacing="0" w:after="0" w:afterAutospacing="0" w:line="240" w:lineRule="auto"/>
        <w:tabs>
          <w:tab w:val="left" w:pos="426" w:leader="none"/>
          <w:tab w:val="left" w:pos="567" w:leader="none"/>
          <w:tab w:val="left" w:pos="1134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/>
      <w:bookmarkStart w:id="48" w:name="_Toc48"/>
      <w:r/>
      <w:bookmarkStart w:id="0" w:name="undefined"/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Экология</w:t>
      </w:r>
      <w:bookmarkEnd w:id="0"/>
      <w:r>
        <w:rPr>
          <w:sz w:val="28"/>
          <w:szCs w:val="28"/>
        </w:rPr>
      </w:r>
      <w:bookmarkEnd w:id="48"/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/>
      <w:bookmarkStart w:id="49" w:name="_Toc49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sz w:val="28"/>
          <w:szCs w:val="28"/>
          <w:highlight w:val="none"/>
        </w:rPr>
        <w:t xml:space="preserve"> </w:t>
      </w:r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Организация мероприятий по охране окружающей среды</w:t>
      </w:r>
      <w:bookmarkEnd w:id="0"/>
      <w:r>
        <w:rPr>
          <w:rFonts w:ascii="Liberation Sans" w:hAnsi="Liberation Sans" w:cs="Liberation Sans"/>
          <w:b/>
          <w:bCs/>
          <w:i w:val="0"/>
          <w:sz w:val="28"/>
          <w:szCs w:val="28"/>
          <w:highlight w:val="none"/>
        </w:rPr>
        <w:t xml:space="preserve"> </w:t>
      </w:r>
      <w:r>
        <w:rPr>
          <w:sz w:val="28"/>
          <w:szCs w:val="28"/>
        </w:rPr>
      </w:r>
      <w:bookmarkEnd w:id="49"/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2023 году продолжена реализация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экологического проекта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мероприятий по с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анитарной очистк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 и озеленению территории города Новый Уренгой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«Наш чистый Новый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Уренгой»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color w:val="000000" w:themeColor="text1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рамках реализации мер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оприятий:</w:t>
      </w:r>
      <w:r>
        <w:rPr>
          <w:color w:val="000000" w:themeColor="text1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проведено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110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субботников (2022 год - 122), в которых приняли участие 190 организаций 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предпринимателей, 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такж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 сотрудники учреждений, некоммерческих объединений и волонтеры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Охват составил 21,0 тыс. человек;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трудовым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 отрядами Главы города собрано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5 500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мешков мусора объемом 120 литров;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зафиксировано и ликвидировано 106 несанкционированных свалок,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очищено 570 га территории города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: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firstLine="1417"/>
        <w:jc w:val="both"/>
        <w:spacing w:after="0" w:afterAutospacing="0" w:line="240" w:lineRule="auto"/>
        <w:shd w:val="clear" w:color="auto" w:fill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8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свалок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ликвидировано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рамках муниципального контракта. Собрано и вывезено на полигоны города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8 159,4 куб. 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отходов,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158 тонн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использованных автомобильных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шин;</w:t>
      </w:r>
      <w:r>
        <w:rPr>
          <w:rFonts w:ascii="Liberation Sans" w:hAnsi="Liberation Sans" w:cs="Liberation Sans"/>
          <w:color w:val="000000" w:themeColor="text1"/>
          <w:szCs w:val="28"/>
          <w:highlight w:val="none"/>
          <w14:ligatures w14:val="none"/>
        </w:rPr>
      </w:r>
      <w:r/>
    </w:p>
    <w:p>
      <w:pPr>
        <w:ind w:firstLine="1417"/>
        <w:jc w:val="both"/>
        <w:spacing w:after="0" w:afterAutospacing="0" w:line="240" w:lineRule="auto"/>
        <w:shd w:val="clear" w:color="auto" w:fill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98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свалок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ликвидировано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волонтерами, в том числе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ликвидированы свалки на новых территориях, присоединенных </w:t>
        <w:br/>
        <w:t xml:space="preserve">к территории муниципального образования от муниципального округа Пуровский район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соответствии с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Законом Ямало-Ненецкого автономного округа от 20.12.2022 № 145-ЗАО «О внесении изменений в некоторые законы Ямало-Ненецкого автономного округа в связи </w:t>
        <w:br/>
        <w:t xml:space="preserve">с изменениями границ муниципальных образований в Ямало-Ненецком автономном округе»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Собрано и вывезено на полигоны города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  <w:br/>
        <w:t xml:space="preserve">7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300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куб. 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отходов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269 тонн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использованных автомобильных шин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проведено 3 акции «Шинная амнистия». Жителями города </w:t>
        <w:br/>
        <w:t xml:space="preserve">на полигон АО «Экотехнология» доставлено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95 тонн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использованных автомобильн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ых шин (2022 год - 66).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иквидированы последствия несанкционированного размещения отходов, не относ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ящихся к ТКО, в жилой застройке.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Собрано </w:t>
        <w:br/>
        <w:t xml:space="preserve">и вывезено 1 195,4 тонн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строительных отходов (2022 год - 2 640 тонн).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 целью недопущения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воз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никновения несанкционированных свалок и складирования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использованных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автомобильных шин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  <w:br/>
        <w:t xml:space="preserve">в неустановленных местах в жилой з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астройке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в 2023 году с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оздано </w:t>
        <w:br/>
        <w:t xml:space="preserve">4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площадки для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их накопления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объемом 17 куб. м каждая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отчетном периоде заключен муниципальный контракт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  <w:t xml:space="preserve">на выполнение работ по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разработке проектной документации </w:t>
        <w:br/>
        <w:t xml:space="preserve">по рекультивации объекта размещения отходов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«Полигон </w:t>
        <w:br/>
        <w:t xml:space="preserve">по захоронению твердых бытовых отходов для г. Новый Уренгой, ЯНАО, карты № 1, 2» (срок исполнения контракта 2023 - 2024 годы).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  <w:t xml:space="preserve">В 2023 году выполнены инженерные изыскания, определен метод проведения рекультивации земель (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завершен 1 этап работ)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Осуществлен вывоз и утилизация 31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ед. брошенных и разукомплектованных транспортных средств и их частей (2022 год - 26 ед., 2021 год - 29 ед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.).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/>
      <w:bookmarkStart w:id="50" w:name="_Toc50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sz w:val="28"/>
          <w:szCs w:val="28"/>
        </w:rPr>
        <w:t xml:space="preserve"> </w:t>
      </w:r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Деятельность по обращению с животными без владельцев</w:t>
      </w:r>
      <w:bookmarkEnd w:id="0"/>
      <w:r/>
      <w:bookmarkEnd w:id="50"/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Деяте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льно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сть по обращению с животными без владельцев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включает в себя отлов, временное содержание с проведением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в отношении животных профилактических мероприятий, поиск </w:t>
        <w:br/>
        <w:t xml:space="preserve">для животных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хозяев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а т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акже возвращение в прежнюю среду обитания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животных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, для которых хозяева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не определены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eastAsia="Liberation Serif" w:cs="Liberation Sans"/>
          <w:color w:val="auto"/>
          <w:sz w:val="28"/>
          <w:szCs w:val="28"/>
          <w:highlight w:val="none"/>
          <w:lang w:val="ru-RU" w:bidi="ru-RU"/>
        </w:rPr>
        <w:t xml:space="preserve">Мероприятия по осуществлению деятельности по обращению </w:t>
        <w:br/>
        <w:t xml:space="preserve">с живо</w:t>
      </w:r>
      <w:r>
        <w:rPr>
          <w:rFonts w:ascii="Liberation Sans" w:hAnsi="Liberation Sans" w:eastAsia="Liberation Serif" w:cs="Liberation Sans"/>
          <w:color w:val="auto"/>
          <w:sz w:val="28"/>
          <w:szCs w:val="28"/>
          <w:highlight w:val="none"/>
          <w:lang w:val="ru-RU" w:bidi="ru-RU"/>
        </w:rPr>
        <w:t xml:space="preserve">тными без владельцев </w:t>
      </w:r>
      <w:r>
        <w:rPr>
          <w:rFonts w:ascii="Liberation Sans" w:hAnsi="Liberation Sans" w:eastAsia="Liberation Serif" w:cs="Liberation Sans"/>
          <w:color w:val="auto"/>
          <w:sz w:val="28"/>
          <w:szCs w:val="28"/>
          <w:highlight w:val="none"/>
          <w:lang w:val="ru-RU" w:bidi="ru-RU"/>
        </w:rPr>
        <w:t xml:space="preserve">в 2023 году выполняла </w:t>
      </w:r>
      <w:r>
        <w:rPr>
          <w:rFonts w:ascii="Liberation Sans" w:hAnsi="Liberation Sans" w:eastAsia="Liberation Serif" w:cs="Liberation Sans"/>
          <w:color w:val="auto"/>
          <w:sz w:val="28"/>
          <w:szCs w:val="28"/>
          <w:highlight w:val="none"/>
          <w:lang w:val="ru-RU" w:bidi="ru-RU"/>
        </w:rPr>
        <w:t xml:space="preserve">м</w:t>
      </w:r>
      <w:r>
        <w:rPr>
          <w:rFonts w:ascii="Liberation Sans" w:hAnsi="Liberation Sans" w:eastAsia="Liberation Serif" w:cs="Liberation Sans"/>
          <w:color w:val="auto"/>
          <w:sz w:val="28"/>
          <w:szCs w:val="28"/>
          <w:highlight w:val="none"/>
          <w:lang w:val="ru-RU" w:bidi="ru-RU"/>
        </w:rPr>
        <w:t xml:space="preserve">естная общественная организация «Центр развития гражданских инициатив».</w:t>
      </w:r>
      <w:r>
        <w:rPr>
          <w:rFonts w:ascii="Liberation Sans" w:hAnsi="Liberation Sans" w:eastAsia="Liberation Serif" w:cs="Liberation Sans"/>
          <w:color w:val="auto"/>
          <w:sz w:val="28"/>
          <w:szCs w:val="28"/>
          <w:highlight w:val="none"/>
          <w:lang w:val="ru-RU" w:bidi="ru-RU"/>
        </w:rPr>
        <w:t xml:space="preserve"> 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  <w:lang w:val="ru-RU" w:bidi="ru-RU"/>
        </w:rPr>
        <w:t xml:space="preserve">В районе Южный (Западная промзона)</w:t>
      </w:r>
      <w:r>
        <w:rPr>
          <w:rFonts w:ascii="Liberation Sans" w:hAnsi="Liberation Sans" w:cs="Liberation Sans"/>
          <w:sz w:val="28"/>
          <w:szCs w:val="28"/>
          <w:highlight w:val="none"/>
          <w:lang w:val="ru-RU" w:bidi="ru-RU"/>
        </w:rPr>
        <w:t xml:space="preserve"> функционирует </w:t>
      </w:r>
      <w:r>
        <w:rPr>
          <w:rFonts w:ascii="Liberation Sans" w:hAnsi="Liberation Sans" w:cs="Liberation Sans"/>
          <w:sz w:val="28"/>
          <w:szCs w:val="28"/>
          <w:highlight w:val="none"/>
          <w:lang w:val="ru-RU" w:bidi="ru-RU"/>
        </w:rPr>
        <w:t xml:space="preserve">приют «ГороДог» для животных без владельцев, который рассчитан </w:t>
        <w:br/>
        <w:t xml:space="preserve">на содержание 600 особей животных</w:t>
      </w:r>
      <w:r>
        <w:rPr>
          <w:rFonts w:ascii="Liberation Sans" w:hAnsi="Liberation Sans" w:cs="Liberation Sans"/>
          <w:sz w:val="28"/>
          <w:szCs w:val="28"/>
          <w:highlight w:val="none"/>
          <w:lang w:val="ru-RU" w:bidi="ru-RU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  <w:lang w:val="ru-RU" w:bidi="ru-RU"/>
        </w:rPr>
        <w:t xml:space="preserve"> </w:t>
      </w:r>
      <w:r>
        <w:rPr>
          <w:rFonts w:ascii="Liberation Sans" w:hAnsi="Liberation Sans" w:eastAsia="Liberation Serif" w:cs="Liberation Sans"/>
          <w:color w:val="auto"/>
          <w:sz w:val="28"/>
          <w:szCs w:val="28"/>
          <w:highlight w:val="none"/>
          <w:lang w:val="ru-RU" w:bidi="ru-RU"/>
        </w:rPr>
        <w:t xml:space="preserve">По состоянию на 31.12.2023 </w:t>
        <w:br/>
        <w:t xml:space="preserve">в приюте содержалось 363 животных.</w:t>
      </w:r>
      <w:r>
        <w:rPr>
          <w:rFonts w:ascii="Liberation Sans" w:hAnsi="Liberation Sans" w:eastAsia="Liberation Serif" w:cs="Liberation Sans"/>
          <w:color w:val="auto"/>
          <w:sz w:val="28"/>
          <w:szCs w:val="28"/>
          <w:highlight w:val="none"/>
          <w:lang w:val="ru-RU" w:bidi="ru-RU"/>
          <w14:ligatures w14:val="none"/>
        </w:rPr>
      </w:r>
      <w:r/>
    </w:p>
    <w:p>
      <w:pPr>
        <w:ind w:firstLine="708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cs="Liberation Sans"/>
          <w:sz w:val="28"/>
          <w:szCs w:val="28"/>
          <w:highlight w:val="none"/>
          <w:lang w:val="ru-RU" w:bidi="ru-RU"/>
        </w:rPr>
        <w:t xml:space="preserve">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2023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году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завершены работы по обустройству приюта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Проведены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работы по капитальному ремонту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кровли и фасада,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систем электроснабжения,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инженерного обеспечения объекта,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внутренних помещений;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устройству уличных вольеров,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тренировочной площадки,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ограждений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благоустройству территории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Для функционирования приюта приобретено необходимое оборудование для оказания ветеринарных услуг, вспомогательное оборудование для полноценной работы приюта.</w:t>
      </w:r>
      <w:r>
        <w:rPr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Также в целях утилизации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биологических отходов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животных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приобретена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установка для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термической утилизации отходов (инсинерат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ор) с размещением в блок-контейнере. Установка размещена на территории полигона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 захоронению твердых бытовых отходов (далее - ТБО)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расположен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ого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 14 км к юго-в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остоку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от города Новый Уренгой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t xml:space="preserve">.</w:t>
      </w:r>
      <w:r>
        <w:rPr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</w:t>
      </w:r>
      <w:r>
        <w:rPr>
          <w:rFonts w:ascii="Liberation Sans" w:hAnsi="Liberation Sans" w:cs="Liberation Sans"/>
          <w:sz w:val="28"/>
          <w:szCs w:val="28"/>
          <w:highlight w:val="none"/>
          <w:lang w:val="ru-RU" w:bidi="ru-RU"/>
        </w:rPr>
        <w:t xml:space="preserve">пункт передержки животн</w:t>
      </w:r>
      <w:r>
        <w:rPr>
          <w:rFonts w:ascii="Liberation Sans" w:hAnsi="Liberation Sans" w:cs="Liberation Sans"/>
          <w:sz w:val="28"/>
          <w:szCs w:val="28"/>
          <w:highlight w:val="none"/>
          <w:lang w:val="ru-RU" w:bidi="ru-RU"/>
        </w:rPr>
        <w:t xml:space="preserve">ых в </w:t>
      </w:r>
      <w:r>
        <w:rPr>
          <w:rFonts w:ascii="Liberation Sans" w:hAnsi="Liberation Sans" w:cs="Liberation Sans"/>
          <w:sz w:val="28"/>
          <w:szCs w:val="28"/>
          <w:highlight w:val="none"/>
          <w:lang w:val="ru-RU" w:bidi="ru-RU"/>
        </w:rPr>
        <w:t xml:space="preserve">районе Коротчаево</w:t>
      </w:r>
      <w:r>
        <w:rPr>
          <w:rFonts w:ascii="Liberation Sans" w:hAnsi="Liberation Sans" w:cs="Liberation Sans"/>
          <w:sz w:val="28"/>
          <w:szCs w:val="28"/>
          <w:highlight w:val="none"/>
          <w:lang w:val="ru-RU" w:bidi="ru-RU"/>
        </w:rPr>
        <w:t xml:space="preserve"> прекратил свою деятельность</w:t>
      </w:r>
      <w:r>
        <w:rPr>
          <w:rFonts w:ascii="Liberation Sans" w:hAnsi="Liberation Sans" w:cs="Liberation Sans"/>
          <w:sz w:val="28"/>
          <w:szCs w:val="28"/>
          <w:highlight w:val="none"/>
          <w:lang w:eastAsia="en-US"/>
        </w:rPr>
        <w:t xml:space="preserve">.</w:t>
      </w:r>
      <w:r>
        <w:rPr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lang w:eastAsia="en-US"/>
        </w:rPr>
        <w:t xml:space="preserve">В целях обеспечения безопасности жизни и здоровья граждан </w:t>
        <w:br/>
      </w:r>
      <w:r>
        <w:rPr>
          <w:rFonts w:ascii="Liberation Sans" w:hAnsi="Liberation Sans" w:cs="Liberation Sans"/>
          <w:sz w:val="28"/>
          <w:szCs w:val="28"/>
          <w:highlight w:val="none"/>
          <w:lang w:eastAsia="en-US"/>
        </w:rPr>
        <w:t xml:space="preserve">бригада по отлову безнадзорных животных регулярно осуществляет выезды </w:t>
      </w:r>
      <w:r>
        <w:rPr>
          <w:rFonts w:ascii="Liberation Sans" w:hAnsi="Liberation Sans" w:cs="Liberation Sans"/>
          <w:sz w:val="28"/>
          <w:szCs w:val="28"/>
          <w:highlight w:val="none"/>
          <w:lang w:eastAsia="en-US"/>
        </w:rPr>
        <w:t xml:space="preserve">в районы</w:t>
      </w:r>
      <w:r>
        <w:rPr>
          <w:rFonts w:ascii="Liberation Sans" w:hAnsi="Liberation Sans" w:cs="Liberation Sans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lang w:eastAsia="en-US"/>
        </w:rPr>
        <w:t xml:space="preserve">Коротчаево</w:t>
      </w:r>
      <w:r>
        <w:rPr>
          <w:rFonts w:ascii="Liberation Sans" w:hAnsi="Liberation Sans" w:cs="Liberation Sans"/>
          <w:sz w:val="28"/>
          <w:szCs w:val="28"/>
          <w:highlight w:val="none"/>
          <w:lang w:eastAsia="en-US"/>
        </w:rPr>
        <w:t xml:space="preserve"> и Лимбяяха</w:t>
      </w:r>
      <w:r>
        <w:rPr>
          <w:rFonts w:ascii="Liberation Sans" w:hAnsi="Liberation Sans" w:cs="Liberation Sans"/>
          <w:sz w:val="28"/>
          <w:szCs w:val="28"/>
          <w:highlight w:val="none"/>
          <w:lang w:eastAsia="en-US"/>
        </w:rPr>
        <w:t xml:space="preserve"> для отлова животных </w:t>
        <w:br/>
        <w:t xml:space="preserve">без</w:t>
      </w:r>
      <w:r>
        <w:rPr>
          <w:rFonts w:ascii="Liberation Sans" w:hAnsi="Liberation Sans" w:cs="Liberation Sans"/>
          <w:sz w:val="28"/>
          <w:szCs w:val="28"/>
          <w:highlight w:val="none"/>
          <w:lang w:eastAsia="en-US"/>
        </w:rPr>
        <w:t xml:space="preserve"> владельцев, не имеющих бирки на ухе, и животных</w:t>
      </w:r>
      <w:r>
        <w:rPr>
          <w:rFonts w:ascii="Liberation Sans" w:hAnsi="Liberation Sans" w:cs="Liberation Sans"/>
          <w:sz w:val="28"/>
          <w:szCs w:val="28"/>
          <w:highlight w:val="none"/>
          <w:lang w:eastAsia="en-US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  <w:lang w:eastAsia="en-US"/>
        </w:rPr>
        <w:t xml:space="preserve">проявляющих немотивированную агрессию.</w:t>
      </w:r>
      <w:r>
        <w:rPr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В 202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3 году о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тловлено 863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безнадзорных животных (2022 год - 562, 2021 год - 424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).</w:t>
      </w:r>
      <w:r>
        <w:rPr>
          <w:highlight w:val="none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auto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/>
      <w:bookmarkStart w:id="51" w:name="_Toc51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sz w:val="28"/>
          <w:szCs w:val="28"/>
        </w:rPr>
        <w:t xml:space="preserve">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Участие в организации деятельности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по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накоплению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</w:t>
        <w:br/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(в том числе по раздельному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накоплению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),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сбору,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транспортированию, обработке, утилизации, обезвреживанию,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br/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захоронению твердых коммунальных отходов</w:t>
      </w:r>
      <w:bookmarkEnd w:id="0"/>
      <w:r/>
      <w:bookmarkEnd w:id="51"/>
      <w:r>
        <w:rPr>
          <w:rFonts w:ascii="Liberation Sans" w:hAnsi="Liberation Sans" w:cs="Liberation Sans"/>
          <w:sz w:val="28"/>
          <w:szCs w:val="28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39"/>
        <w:ind w:firstLine="709"/>
        <w:jc w:val="both"/>
        <w:spacing w:after="0" w:afterAutospacing="0" w:line="240" w:lineRule="auto"/>
        <w:shd w:val="clear" w:color="auto" w:fill="auto"/>
        <w:rPr>
          <w:color w:val="auto"/>
        </w:rPr>
      </w:pPr>
      <w:r>
        <w:rPr>
          <w:rFonts w:ascii="Liberation Sans" w:hAnsi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Деятельность по обращению с твердыми коммунальными отходами (далее - ТКО) обеспечивается единым региональным оператором ООО «Инновацион</w:t>
      </w:r>
      <w:r>
        <w:rPr>
          <w:rFonts w:ascii="Liberation Sans" w:hAnsi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ные технологии» </w:t>
      </w:r>
      <w:r>
        <w:rPr>
          <w:rFonts w:ascii="Liberation Sans" w:hAnsi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(далее - региональный оператор)</w:t>
      </w:r>
      <w:r>
        <w:rPr>
          <w:rFonts w:ascii="Liberation Sans" w:hAnsi="Liberation Sans" w:cs="Liberation Sans"/>
          <w:b w:val="0"/>
          <w:color w:val="auto"/>
          <w:sz w:val="28"/>
          <w:szCs w:val="28"/>
          <w:highlight w:val="none"/>
        </w:rPr>
        <w:t xml:space="preserve"> на основании соглашения о взаимодействии между Администрацией города </w:t>
      </w:r>
      <w:r>
        <w:rPr>
          <w:rFonts w:ascii="Liberation Sans" w:hAnsi="Liberation Sans" w:cs="Liberation Sans"/>
          <w:b w:val="0"/>
          <w:color w:val="auto"/>
          <w:sz w:val="28"/>
          <w:szCs w:val="28"/>
          <w:highlight w:val="none"/>
        </w:rPr>
        <w:t xml:space="preserve">и региональным оператором.</w:t>
      </w:r>
      <w:r>
        <w:rPr>
          <w:color w:val="auto"/>
        </w:rPr>
      </w:r>
      <w:r/>
    </w:p>
    <w:p>
      <w:pPr>
        <w:pStyle w:val="1137"/>
        <w:ind w:firstLine="709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Образующиеся отходы ТКО размеща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ются на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трех объектах: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полигон ТБО, расположен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ный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 14 км к юго-в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остоку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от города Новый Уренгой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sz w:val="28"/>
          <w:szCs w:val="28"/>
          <w:highlight w:val="none"/>
          <w:lang w:bidi="ar-SA"/>
        </w:rPr>
        <w:t xml:space="preserve">олигон ТБО г. Новый Уренгой </w:t>
      </w:r>
      <w:r>
        <w:rPr>
          <w:rFonts w:ascii="Liberation Sans" w:hAnsi="Liberation Sans" w:cs="Liberation Sans"/>
          <w:sz w:val="28"/>
          <w:szCs w:val="28"/>
          <w:highlight w:val="none"/>
          <w:lang w:bidi="ar-SA"/>
        </w:rPr>
        <w:t xml:space="preserve">(</w:t>
      </w:r>
      <w:r>
        <w:rPr>
          <w:rFonts w:ascii="Liberation Sans" w:hAnsi="Liberation Sans" w:cs="Liberation Sans"/>
          <w:sz w:val="28"/>
          <w:szCs w:val="28"/>
          <w:highlight w:val="none"/>
          <w:lang w:bidi="ar-SA"/>
        </w:rPr>
        <w:t xml:space="preserve">р-н</w:t>
      </w:r>
      <w:r>
        <w:rPr>
          <w:rFonts w:ascii="Liberation Sans" w:hAnsi="Liberation Sans" w:cs="Liberation Sans"/>
          <w:sz w:val="28"/>
          <w:szCs w:val="28"/>
          <w:highlight w:val="none"/>
          <w:lang w:bidi="ar-SA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lang w:bidi="ar-SA"/>
        </w:rPr>
        <w:t xml:space="preserve">Коротчаево</w:t>
      </w:r>
      <w:r>
        <w:rPr>
          <w:rFonts w:ascii="Liberation Sans" w:hAnsi="Liberation Sans" w:cs="Liberation Sans"/>
          <w:sz w:val="28"/>
          <w:szCs w:val="28"/>
          <w:highlight w:val="none"/>
          <w:lang w:bidi="ar-SA"/>
        </w:rPr>
        <w:t xml:space="preserve">)</w:t>
      </w:r>
      <w:r>
        <w:rPr>
          <w:rFonts w:ascii="Liberation Sans" w:hAnsi="Liberation Sans" w:cs="Liberation Sans"/>
          <w:sz w:val="28"/>
          <w:szCs w:val="28"/>
          <w:highlight w:val="none"/>
          <w:lang w:bidi="ar-SA"/>
        </w:rPr>
        <w:t xml:space="preserve"> (санкционированная свалка)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полигон тв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рдых отходов строительных материалов и конструкций</w:t>
      </w:r>
      <w:r>
        <w:rPr>
          <w:rFonts w:ascii="Liberation Sans" w:hAnsi="Liberation Sans" w:cs="Liberation Sans"/>
          <w:spacing w:val="23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расположен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ный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 Северной про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мышленной зоне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 данным регионального оператора в 2023 году общий объем образованных и вывезенных ТКО по муниципальному образованию составил 54,9 тыс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онн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+3% к 2022 году) (2022 год - 53,3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тыс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онн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2021 год - 54,2 тыс. тонн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). 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Поступающие на полигон ТБО отходы обрабатываются и сортируются на сортировочном ленточном транспортере в з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  <w:lang w:bidi="ru-RU"/>
        </w:rPr>
        <w:t xml:space="preserve">дании </w:t>
        <w:br/>
        <w:t xml:space="preserve">по брикетированию и сортировке твёрдых бытовых отходов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по четырем видам (бумага, пластик, алюминий, полипропилен).</w:t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2023 году на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обработку (сортировку)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поступило 35,6 тыс. тонн ТКО (+0,6% к 2022 году)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2022 год - 35,4 тыс. тонн, 2021 год - </w:t>
        <w:br/>
        <w:t xml:space="preserve">22,9 тыс. тонн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).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bidi="ru-RU"/>
        </w:rPr>
        <w:t xml:space="preserve">При сортировке отходов выделено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83 тонны вторсырья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(2022 год - 18 тонн,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2021 год - 25,2 тонн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в том числе: 50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тонн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картона, 30 тонн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пластика (бутылки, плёнка, канистры), 3 тонн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алюминия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Доля отсортированных отходов от общего количества отходов, прошедших обработку (сортировку), составила 0,2%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(2022 год - 0,1%).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2023 г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оду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заключен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8 сог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лашений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с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управляющими компаниям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в целях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модернизации 174 мест накопления ТКО. </w:t>
        <w:br/>
        <w:t xml:space="preserve">В 2023 году модернизировано 72 места накопления ТКО (41,4%). Работа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 модернизации мест накопления ТКО будет продолжена </w:t>
        <w:br/>
        <w:t xml:space="preserve">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2024 году.</w:t>
      </w:r>
      <w:r>
        <w:rPr>
          <w:sz w:val="28"/>
          <w:szCs w:val="28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46"/>
        <w:numPr>
          <w:ilvl w:val="1"/>
          <w:numId w:val="2"/>
        </w:numPr>
        <w:ind w:lef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/>
      <w:bookmarkStart w:id="52" w:name="_Toc52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End w:id="0"/>
      <w:r/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End w:id="0"/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Социальная сфера</w:t>
      </w:r>
      <w:bookmarkEnd w:id="52"/>
      <w:r>
        <w:rPr>
          <w:rFonts w:ascii="Liberation Sans" w:hAnsi="Liberation Sans" w:cs="Liberation Sans"/>
          <w:sz w:val="28"/>
          <w:szCs w:val="28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/>
      <w:bookmarkStart w:id="53" w:name="_Toc53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Образование</w:t>
      </w:r>
      <w:bookmarkEnd w:id="0"/>
      <w:r/>
      <w:bookmarkEnd w:id="53"/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widowControl w:val="off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В городе функционируют</w:t>
      </w:r>
      <w:r>
        <w:rPr>
          <w:rFonts w:ascii="Liberation Sans" w:hAnsi="Liberation Sans" w:cs="Liberation Sans"/>
          <w:sz w:val="28"/>
          <w:szCs w:val="28"/>
        </w:rPr>
        <w:t xml:space="preserve"> 18 общеобразовательных организаций и одно частное образовательное учреждение </w:t>
      </w:r>
      <w:r>
        <w:rPr>
          <w:rFonts w:ascii="Liberation Sans" w:hAnsi="Liberation Sans" w:cs="Liberation Sans"/>
          <w:sz w:val="28"/>
          <w:szCs w:val="28"/>
        </w:rPr>
        <w:t xml:space="preserve">«Православная гимназия имени свя</w:t>
      </w:r>
      <w:r>
        <w:rPr>
          <w:rFonts w:ascii="Liberation Sans" w:hAnsi="Liberation Sans" w:cs="Liberation Sans"/>
          <w:sz w:val="28"/>
          <w:szCs w:val="28"/>
        </w:rPr>
        <w:t xml:space="preserve">тителя </w:t>
      </w:r>
      <w:r>
        <w:rPr>
          <w:rFonts w:ascii="Liberation Sans" w:hAnsi="Liberation Sans" w:cs="Liberation Sans"/>
          <w:sz w:val="28"/>
          <w:szCs w:val="28"/>
        </w:rPr>
        <w:t xml:space="preserve">Филофея</w:t>
      </w:r>
      <w:r>
        <w:rPr>
          <w:rFonts w:ascii="Liberation Sans" w:hAnsi="Liberation Sans" w:cs="Liberation Sans"/>
          <w:sz w:val="28"/>
          <w:szCs w:val="28"/>
        </w:rPr>
        <w:t xml:space="preserve">, митрополита Тобольского» (далее – общеобразовательные организации, школы). </w:t>
      </w:r>
      <w:r>
        <w:rPr>
          <w:rFonts w:ascii="Liberation Sans" w:hAnsi="Liberation Sans" w:cs="Liberation Sans"/>
          <w:sz w:val="28"/>
          <w:szCs w:val="28"/>
        </w:rPr>
        <w:t xml:space="preserve">Общая численность обучающихся на начало 2023/2024 учебного года составила </w:t>
      </w:r>
      <w:r>
        <w:rPr>
          <w:rFonts w:ascii="Liberation Sans" w:hAnsi="Liberation Sans" w:cs="Liberation Sans"/>
          <w:sz w:val="28"/>
          <w:szCs w:val="28"/>
        </w:rPr>
        <w:br/>
        <w:t xml:space="preserve">17 499 человек. </w:t>
      </w:r>
      <w:r>
        <w:rPr>
          <w:rFonts w:ascii="Liberation Sans" w:hAnsi="Liberation Sans" w:cs="Liberation Sans"/>
          <w:sz w:val="28"/>
          <w:szCs w:val="28"/>
          <w14:ligatures w14:val="none"/>
        </w:rPr>
      </w:r>
      <w:r/>
    </w:p>
    <w:p>
      <w:pPr>
        <w:ind w:firstLine="709"/>
        <w:jc w:val="both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color w:val="000000"/>
          <w:sz w:val="36"/>
          <w:szCs w:val="36"/>
          <w:shd w:val="clear" w:color="auto" w:fill="ffffff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jc w:val="center"/>
        <w:spacing w:after="0" w:afterAutospacing="0" w:line="240" w:lineRule="auto"/>
      </w:pPr>
      <w:r>
        <w:rPr>
          <w:rStyle w:val="1171"/>
          <w:rFonts w:ascii="Liberation Sans" w:hAnsi="Liberation Sans" w:cs="Liberation Sans"/>
          <w:b w:val="0"/>
          <w:bCs w:val="0"/>
          <w:i/>
          <w:iCs/>
          <w:sz w:val="28"/>
          <w:szCs w:val="28"/>
        </w:rPr>
      </w:r>
      <w:r>
        <w:rPr>
          <w:rStyle w:val="1171"/>
          <w:rFonts w:ascii="Liberation Sans" w:hAnsi="Liberation Sans" w:cs="Liberation Sans"/>
          <w:b w:val="0"/>
          <w:bCs w:val="0"/>
          <w:i/>
          <w:iCs/>
          <w:sz w:val="28"/>
          <w:szCs w:val="28"/>
        </w:rPr>
        <w:drawing>
          <wp:inline distT="0" distB="0" distL="0" distR="0">
            <wp:extent cx="4867274" cy="2190749"/>
            <wp:effectExtent l="3175" t="3175" r="3175" b="3175"/>
            <wp:docPr id="40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  <w:r>
        <w:rPr>
          <w:rStyle w:val="1170"/>
        </w:rPr>
      </w:r>
      <w:r/>
    </w:p>
    <w:p>
      <w:pPr>
        <w:ind w:firstLine="709"/>
        <w:jc w:val="both"/>
        <w:spacing w:after="0" w:afterAutospacing="0" w:line="240" w:lineRule="auto"/>
        <w:rPr>
          <w:sz w:val="28"/>
          <w:szCs w:val="28"/>
        </w:rPr>
      </w:pPr>
      <w:r>
        <w:rPr>
          <w:rFonts w:ascii="Liberation Sans" w:hAnsi="Liberation Sans" w:cs="Liberation Sans"/>
          <w:bCs/>
          <w:sz w:val="36"/>
          <w:szCs w:val="36"/>
          <w:highlight w:val="none"/>
        </w:rPr>
      </w:r>
      <w:r>
        <w:rPr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bCs/>
          <w:sz w:val="28"/>
          <w:szCs w:val="28"/>
        </w:rPr>
        <w:t xml:space="preserve">Введены в эксплуатацию </w:t>
      </w:r>
      <w:r>
        <w:rPr>
          <w:rFonts w:ascii="Liberation Sans" w:hAnsi="Liberation Sans" w:cs="Liberation Sans"/>
          <w:sz w:val="28"/>
          <w:szCs w:val="28"/>
        </w:rPr>
        <w:t xml:space="preserve">ш</w:t>
      </w:r>
      <w:r>
        <w:rPr>
          <w:rFonts w:ascii="Liberation Sans" w:hAnsi="Liberation Sans" w:cs="Liberation Sans"/>
          <w:sz w:val="28"/>
          <w:szCs w:val="28"/>
        </w:rPr>
        <w:t xml:space="preserve">колы в </w:t>
      </w:r>
      <w:r>
        <w:rPr>
          <w:rFonts w:ascii="Liberation Sans" w:hAnsi="Liberation Sans" w:cs="Liberation Sans"/>
          <w:sz w:val="28"/>
          <w:szCs w:val="28"/>
        </w:rPr>
        <w:t xml:space="preserve">мкр</w:t>
      </w:r>
      <w:r>
        <w:rPr>
          <w:rFonts w:ascii="Liberation Sans" w:hAnsi="Liberation Sans" w:cs="Liberation Sans"/>
          <w:sz w:val="28"/>
          <w:szCs w:val="28"/>
        </w:rPr>
        <w:t xml:space="preserve">. Славянский</w:t>
      </w:r>
      <w:r>
        <w:rPr>
          <w:rFonts w:ascii="Liberation Sans" w:hAnsi="Liberation Sans" w:cs="Liberation Sans"/>
          <w:sz w:val="28"/>
          <w:szCs w:val="28"/>
        </w:rPr>
        <w:t xml:space="preserve"> и </w:t>
        <w:br/>
      </w:r>
      <w:r>
        <w:rPr>
          <w:rFonts w:ascii="Liberation Sans" w:hAnsi="Liberation Sans" w:cs="Liberation Sans"/>
          <w:sz w:val="28"/>
          <w:szCs w:val="28"/>
        </w:rPr>
        <w:t xml:space="preserve">мкр</w:t>
      </w:r>
      <w:r>
        <w:rPr>
          <w:rFonts w:ascii="Liberation Sans" w:hAnsi="Liberation Sans" w:cs="Liberation Sans"/>
          <w:sz w:val="28"/>
          <w:szCs w:val="28"/>
        </w:rPr>
        <w:t xml:space="preserve">. Тундровый</w:t>
      </w:r>
      <w:r>
        <w:rPr>
          <w:rFonts w:ascii="Liberation Sans" w:hAnsi="Liberation Sans" w:cs="Liberation Sans"/>
          <w:bCs/>
          <w:sz w:val="28"/>
          <w:szCs w:val="28"/>
        </w:rPr>
        <w:t xml:space="preserve">.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bCs/>
          <w:sz w:val="28"/>
          <w:szCs w:val="28"/>
          <w:shd w:val="clear" w:color="ffffff" w:themeColor="background1" w:fill="ffffff" w:themeFill="background1"/>
        </w:rPr>
        <w:t xml:space="preserve">В 2023 году отдельные общеобразовательные организации переименованы</w:t>
      </w:r>
      <w:r>
        <w:rPr>
          <w:rFonts w:ascii="Liberation Sans" w:hAnsi="Liberation Sans" w:cs="Liberation Sans"/>
          <w:bCs/>
          <w:sz w:val="28"/>
          <w:szCs w:val="28"/>
          <w:shd w:val="clear" w:color="ffffff" w:themeColor="background1" w:fill="ffffff" w:themeFill="background1"/>
        </w:rPr>
        <w:t xml:space="preserve">: МБОУ «СШ № 12» в МБОУ «Арктический лицей», МБОУ «СШ № 9» в МБОУ «СШ </w:t>
      </w:r>
      <w:r>
        <w:rPr>
          <w:rFonts w:ascii="Liberation Sans" w:hAnsi="Liberation Sans" w:cs="Liberation Sans"/>
          <w:bCs/>
          <w:sz w:val="28"/>
          <w:szCs w:val="28"/>
          <w:shd w:val="clear" w:color="ffffff" w:themeColor="background1" w:fill="ffffff" w:themeFill="background1"/>
        </w:rPr>
        <w:t xml:space="preserve">им. К.А. Литвинова</w:t>
      </w:r>
      <w:r>
        <w:rPr>
          <w:rFonts w:ascii="Liberation Sans" w:hAnsi="Liberation Sans" w:cs="Liberation Sans"/>
          <w:bCs/>
          <w:sz w:val="28"/>
          <w:szCs w:val="28"/>
          <w:shd w:val="clear" w:color="ffffff" w:themeColor="background1" w:fill="ffffff" w:themeFill="background1"/>
        </w:rPr>
        <w:t xml:space="preserve">», МАОУ «СШ «Земля родная» </w:t>
      </w:r>
      <w:r>
        <w:rPr>
          <w:rFonts w:ascii="Liberation Sans" w:hAnsi="Liberation Sans" w:cs="Liberation Sans"/>
          <w:bCs/>
          <w:sz w:val="28"/>
          <w:szCs w:val="28"/>
        </w:rPr>
        <w:t xml:space="preserve">в МАОУ «СШ «Перспектива».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bCs/>
          <w:sz w:val="28"/>
          <w:szCs w:val="28"/>
        </w:rPr>
      </w:r>
      <w:r>
        <w:rPr>
          <w:rFonts w:ascii="Liberation Sans" w:hAnsi="Liberation Sans" w:cs="Liberation Sans"/>
          <w:bCs/>
          <w:sz w:val="28"/>
          <w:szCs w:val="28"/>
        </w:rPr>
        <w:t xml:space="preserve">Образовательная деятельность </w:t>
      </w:r>
      <w:r>
        <w:rPr>
          <w:rFonts w:ascii="Liberation Sans" w:hAnsi="Liberation Sans" w:cs="Liberation Sans"/>
          <w:bCs/>
          <w:sz w:val="28"/>
          <w:szCs w:val="28"/>
        </w:rPr>
        <w:t xml:space="preserve">МБОУ «Арктический лицей» продолжена в новом здании в</w:t>
      </w:r>
      <w:r>
        <w:rPr>
          <w:rFonts w:ascii="Liberation Sans" w:hAnsi="Liberation Sans" w:cs="Liberation Sans"/>
          <w:sz w:val="28"/>
          <w:szCs w:val="28"/>
        </w:rPr>
        <w:t xml:space="preserve"> мкр. Славянский</w:t>
      </w:r>
      <w:r>
        <w:rPr>
          <w:rFonts w:ascii="Liberation Sans" w:hAnsi="Liberation Sans" w:cs="Liberation Sans"/>
          <w:bCs/>
          <w:sz w:val="28"/>
          <w:szCs w:val="28"/>
        </w:rPr>
        <w:t xml:space="preserve">. Старое здание передано МБОУ СШ № 11.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widowControl w:val="off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8"/>
          <w:szCs w:val="28"/>
        </w:rPr>
        <w:t xml:space="preserve">Во вторую смену </w:t>
      </w:r>
      <w:r>
        <w:rPr>
          <w:rFonts w:ascii="Liberation Sans" w:hAnsi="Liberation Sans" w:cs="Liberation Sans"/>
          <w:bCs/>
          <w:sz w:val="28"/>
          <w:szCs w:val="28"/>
        </w:rPr>
        <w:t xml:space="preserve">обучаются 5 137 человек или 29,8% от общей </w:t>
      </w:r>
      <w:r>
        <w:rPr>
          <w:rFonts w:ascii="Liberation Sans" w:hAnsi="Liberation Sans" w:cs="Liberation Sans"/>
          <w:bCs/>
          <w:sz w:val="28"/>
          <w:szCs w:val="28"/>
        </w:rPr>
        <w:t xml:space="preserve">численн</w:t>
      </w:r>
      <w:r>
        <w:rPr>
          <w:rFonts w:ascii="Liberation Sans" w:hAnsi="Liberation Sans" w:cs="Liberation Sans"/>
          <w:bCs/>
          <w:sz w:val="28"/>
          <w:szCs w:val="28"/>
        </w:rPr>
        <w:t xml:space="preserve">ости</w:t>
      </w:r>
      <w:r>
        <w:rPr>
          <w:rFonts w:ascii="Liberation Sans" w:hAnsi="Liberation Sans" w:cs="Liberation Sans"/>
          <w:bCs/>
          <w:sz w:val="28"/>
          <w:szCs w:val="28"/>
        </w:rPr>
        <w:t xml:space="preserve"> обучающихся в муниципальных общеобразовательных </w:t>
      </w:r>
      <w:r>
        <w:rPr>
          <w:rFonts w:ascii="Liberation Sans" w:hAnsi="Liberation Sans" w:cs="Liberation Sans"/>
          <w:bCs/>
          <w:sz w:val="28"/>
          <w:szCs w:val="28"/>
          <w:shd w:val="clear" w:color="ffffff" w:themeColor="background1" w:fill="ffffff" w:themeFill="background1"/>
        </w:rPr>
        <w:t xml:space="preserve">организациях </w:t>
      </w:r>
      <w:r>
        <w:rPr>
          <w:rFonts w:ascii="Liberation Sans" w:hAnsi="Liberation Sans" w:cs="Liberation Sans"/>
          <w:sz w:val="28"/>
          <w:szCs w:val="28"/>
        </w:rPr>
        <w:t xml:space="preserve">(2022/2023 учебный год - </w:t>
      </w:r>
      <w:r>
        <w:rPr>
          <w:rFonts w:ascii="Liberation Sans" w:hAnsi="Liberation Sans" w:cs="Liberation Sans"/>
          <w:bCs/>
          <w:sz w:val="28"/>
          <w:szCs w:val="28"/>
        </w:rPr>
        <w:t xml:space="preserve">4 979 </w:t>
      </w:r>
      <w:r>
        <w:rPr>
          <w:rFonts w:ascii="Liberation Sans" w:hAnsi="Liberation Sans" w:cs="Liberation Sans"/>
          <w:sz w:val="28"/>
          <w:szCs w:val="28"/>
        </w:rPr>
        <w:t xml:space="preserve">человек, 2021/2022 учебный год - 5 704 человека).</w:t>
      </w:r>
      <w:r>
        <w:rPr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Рост </w:t>
      </w:r>
      <w:r>
        <w:rPr>
          <w:rFonts w:ascii="Liberation Sans" w:hAnsi="Liberation Sans" w:cs="Liberation Sans"/>
          <w:sz w:val="28"/>
          <w:szCs w:val="28"/>
        </w:rPr>
        <w:t xml:space="preserve">связан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 увеличением </w:t>
      </w:r>
      <w:r>
        <w:rPr>
          <w:rFonts w:ascii="Liberation Sans" w:hAnsi="Liberation Sans" w:cs="Liberation Sans"/>
          <w:sz w:val="28"/>
          <w:szCs w:val="28"/>
        </w:rPr>
        <w:t xml:space="preserve">численности</w:t>
      </w:r>
      <w:r>
        <w:rPr>
          <w:rFonts w:ascii="Liberation Sans" w:hAnsi="Liberation Sans" w:cs="Liberation Sans"/>
          <w:sz w:val="28"/>
          <w:szCs w:val="28"/>
        </w:rPr>
        <w:t xml:space="preserve"> обучающихся </w:t>
      </w:r>
      <w:r>
        <w:rPr>
          <w:rFonts w:ascii="Liberation Sans" w:hAnsi="Liberation Sans" w:cs="Liberation Sans"/>
          <w:sz w:val="28"/>
          <w:szCs w:val="28"/>
        </w:rPr>
        <w:t xml:space="preserve">муниципальных общ</w:t>
      </w:r>
      <w:r>
        <w:rPr>
          <w:rFonts w:ascii="Liberation Sans" w:hAnsi="Liberation Sans" w:cs="Liberation Sans"/>
          <w:sz w:val="28"/>
          <w:szCs w:val="28"/>
        </w:rPr>
        <w:t xml:space="preserve">еобразовательных организаций</w:t>
      </w:r>
      <w:r>
        <w:rPr>
          <w:rFonts w:ascii="Liberation Sans" w:hAnsi="Liberation Sans" w:cs="Liberation Sans"/>
          <w:sz w:val="28"/>
          <w:szCs w:val="28"/>
        </w:rPr>
        <w:t xml:space="preserve">, </w:t>
      </w:r>
      <w:r>
        <w:rPr>
          <w:rFonts w:ascii="Liberation Sans" w:hAnsi="Liberation Sans" w:cs="Liberation Sans"/>
          <w:sz w:val="28"/>
          <w:szCs w:val="28"/>
        </w:rPr>
        <w:t xml:space="preserve">проведением ремонтных работ </w:t>
      </w:r>
      <w:r>
        <w:rPr>
          <w:rFonts w:ascii="Liberation Sans" w:hAnsi="Liberation Sans" w:cs="Liberation Sans"/>
          <w:sz w:val="28"/>
          <w:szCs w:val="28"/>
        </w:rPr>
        <w:t xml:space="preserve">в МБОУ «СШ им. Д.И. </w:t>
      </w:r>
      <w:r>
        <w:rPr>
          <w:rFonts w:ascii="Liberation Sans" w:hAnsi="Liberation Sans" w:cs="Liberation Sans"/>
          <w:sz w:val="28"/>
          <w:szCs w:val="28"/>
        </w:rPr>
        <w:t xml:space="preserve">Коротчаева</w:t>
      </w:r>
      <w:r>
        <w:rPr>
          <w:rFonts w:ascii="Liberation Sans" w:hAnsi="Liberation Sans" w:cs="Liberation Sans"/>
          <w:sz w:val="28"/>
          <w:szCs w:val="28"/>
        </w:rPr>
        <w:t xml:space="preserve">»</w:t>
      </w:r>
      <w:r>
        <w:rPr>
          <w:rFonts w:ascii="Liberation Sans" w:hAnsi="Liberation Sans" w:cs="Liberation Sans"/>
          <w:sz w:val="28"/>
          <w:szCs w:val="28"/>
        </w:rPr>
        <w:t xml:space="preserve">.</w:t>
      </w:r>
      <w:r>
        <w:rPr>
          <w:rFonts w:ascii="Liberation Sans" w:hAnsi="Liberation Sans" w:cs="Liberation Sans"/>
        </w:rPr>
      </w:r>
      <w:r/>
    </w:p>
    <w:p>
      <w:pPr>
        <w:ind w:firstLine="709"/>
        <w:jc w:val="both"/>
        <w:spacing w:after="0" w:afterAutospacing="0" w:line="24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p>
      <w:pPr>
        <w:ind w:firstLine="709"/>
        <w:jc w:val="both"/>
        <w:widowControl w:val="off"/>
      </w:pPr>
      <w:r>
        <w:rPr>
          <w:rFonts w:ascii="Liberation Sans" w:hAnsi="Liberation Sans" w:cs="Liberation Sans"/>
          <w:sz w:val="28"/>
          <w:szCs w:val="28"/>
        </w:rPr>
        <w:drawing>
          <wp:inline distT="0" distB="0" distL="0" distR="0">
            <wp:extent cx="4752974" cy="1781175"/>
            <wp:effectExtent l="0" t="0" r="0" b="0"/>
            <wp:docPr id="4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  <w:widowControl w:val="off"/>
        <w:rPr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  <w:widowControl w:val="off"/>
        <w:rPr>
          <w:rFonts w:ascii="Liberation Sans" w:hAnsi="Liberation Sans" w:cs="Liberation Sans"/>
          <w:sz w:val="28"/>
          <w:szCs w:val="28"/>
          <w14:ligatures w14:val="none"/>
        </w:rPr>
      </w:pPr>
      <w:r>
        <w:rPr>
          <w:rFonts w:ascii="Liberation Sans" w:hAnsi="Liberation Sans" w:cs="Liberation Sans"/>
          <w:sz w:val="28"/>
          <w:szCs w:val="28"/>
          <w:lang w:bidi="en-US"/>
        </w:rPr>
        <w:t xml:space="preserve">С 1 сентября 2023 года</w:t>
      </w:r>
      <w:r>
        <w:rPr>
          <w:rFonts w:ascii="Liberation Sans" w:hAnsi="Liberation Sans" w:cs="Liberation Sans"/>
          <w:sz w:val="28"/>
          <w:szCs w:val="28"/>
        </w:rPr>
        <w:t xml:space="preserve"> по </w:t>
      </w:r>
      <w:r>
        <w:rPr>
          <w:rFonts w:ascii="Liberation Sans" w:hAnsi="Liberation Sans" w:cs="Liberation Sans"/>
          <w:sz w:val="28"/>
          <w:szCs w:val="28"/>
          <w:lang w:bidi="en-US"/>
        </w:rPr>
        <w:t xml:space="preserve">обновленным </w:t>
      </w:r>
      <w:r>
        <w:rPr>
          <w:rFonts w:ascii="Liberation Sans" w:hAnsi="Liberation Sans" w:cs="Liberation Sans"/>
          <w:sz w:val="28"/>
          <w:szCs w:val="28"/>
        </w:rPr>
        <w:t xml:space="preserve">федеральным государственным образовательным стандартам (далее -</w:t>
      </w:r>
      <w:r>
        <w:rPr>
          <w:rFonts w:ascii="Liberation Sans" w:hAnsi="Liberation Sans" w:cs="Liberation Sans"/>
          <w:sz w:val="28"/>
          <w:szCs w:val="28"/>
          <w:lang w:bidi="en-US"/>
        </w:rPr>
        <w:t xml:space="preserve"> ФГОС) обучаются 1, 2, 5, 6, 10 классы. </w:t>
      </w:r>
      <w:r>
        <w:rPr>
          <w:rFonts w:ascii="Liberation Sans" w:hAnsi="Liberation Sans" w:cs="Liberation Sans"/>
          <w:sz w:val="28"/>
          <w:szCs w:val="28"/>
        </w:rPr>
        <w:t xml:space="preserve">Во всех общеобразовательных организациях создана благоприятная образовательная среда, соответствующая требованиям ФГОС:</w:t>
      </w:r>
      <w:r>
        <w:rPr>
          <w:rFonts w:ascii="Liberation Sans" w:hAnsi="Liberation Sans" w:cs="Liberation Sans"/>
          <w:sz w:val="28"/>
          <w:szCs w:val="28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</w:pPr>
      <w:r>
        <w:rPr>
          <w:rFonts w:ascii="Liberation Sans" w:hAnsi="Liberation Sans" w:cs="Liberation Sans"/>
          <w:sz w:val="28"/>
          <w:szCs w:val="28"/>
        </w:rPr>
        <w:t xml:space="preserve">- материально-технические условия реализации образовательной программы;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40"/>
        <w:ind w:firstLine="709"/>
        <w:jc w:val="both"/>
        <w:spacing w:after="0" w:afterAutospacing="0" w:line="240" w:lineRule="auto"/>
        <w:tabs>
          <w:tab w:val="left" w:pos="993" w:leader="none"/>
        </w:tabs>
      </w:pPr>
      <w:r>
        <w:rPr>
          <w:rFonts w:ascii="Liberation Sans" w:hAnsi="Liberation Sans" w:cs="Liberation Sans"/>
          <w:color w:val="auto"/>
          <w:sz w:val="28"/>
          <w:szCs w:val="28"/>
        </w:rPr>
        <w:t xml:space="preserve">- 100% обучающихся обеспечены учебниками, соответствующими федеральному перечню.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/>
    </w:p>
    <w:p>
      <w:pPr>
        <w:pStyle w:val="1140"/>
        <w:ind w:firstLine="708"/>
        <w:jc w:val="both"/>
        <w:spacing w:after="0" w:afterAutospacing="0" w:line="240" w:lineRule="auto"/>
      </w:pPr>
      <w:r>
        <w:rPr>
          <w:rFonts w:ascii="Liberation Sans" w:hAnsi="Liberation Sans" w:eastAsia="Liberation Sans" w:cs="Liberation Sans"/>
          <w:sz w:val="28"/>
          <w:szCs w:val="28"/>
        </w:rPr>
        <w:t xml:space="preserve">С сентября 2023 года в 17 школах, реализующих образовательные программы основного общего и среднего общего образования, введена Единая модель профессиональной ориентации (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профориентационный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 минимум), согласно выбранному уровню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профминимума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 (базовый уровень выбран в 6 школах, основной уровень - в 10 школах и в одной школе - продвинутый уровень).</w:t>
      </w:r>
      <w:r>
        <w:rPr>
          <w:rFonts w:ascii="Liberation Sans" w:hAnsi="Liberation Sans" w:cs="Liberation Sans"/>
          <w:color w:val="auto"/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2023 году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д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ля обучающихся 7-9 классов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реализовывался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профориентационн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ый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проект «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Профилум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»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(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онлайн-сервис карьерного развития школьников).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Проведена диагностика обуча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ющихся 10-11 классов с целью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выявления предпочтений и предрасположенностей для успешного построения карьеры.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Диагностикой охвачены 100%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обучающихся </w:t>
        <w:br/>
        <w:t xml:space="preserve">10-11 классов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Организация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предпрофильной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подготовки велась на базе двух официальных образовательных порталов: «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Проектория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» с демонстрацией цикла уроков, направленных на профориентацию обучающихся «Шоу профессий» и Всероссийского образовательного проекта в сфере информацион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ных технологий «Урок цифры». В рамках внеурочной деятельности и воспитательной работы реализуется цикл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профориентационных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занятий «Россия -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м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ои горизонты».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br/>
        <w:t xml:space="preserve">В 6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-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11 классах проведены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профориентационные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занятия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br/>
        <w:t xml:space="preserve">в соответствии с федеральной программой: «Открой своё будущее», «Мой профиль», «Система образования в Росси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и», «Пробую профессию в сфере науки и образования», «Россия промышленная»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br/>
        <w:t xml:space="preserve">и др.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Охват об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учающихся 5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-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11 классов составил 15 383 человека (100%)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(2021/2022 учебный год - 7 157 человек (76%)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</w:pPr>
      <w:r>
        <w:rPr>
          <w:rFonts w:ascii="Liberation Sans" w:hAnsi="Liberation Sans" w:cs="Liberation Sans" w:eastAsiaTheme="minorEastAsia"/>
          <w:sz w:val="28"/>
          <w:szCs w:val="28"/>
          <w:highlight w:val="none"/>
        </w:rPr>
        <w:t xml:space="preserve">Профильное обучение организовано в 17 образовательных организациях - 100% обучающихся 10 - 11 классов (1 370 человек) </w:t>
      </w:r>
      <w:r>
        <w:rPr>
          <w:rFonts w:ascii="Liberation Sans" w:hAnsi="Liberation Sans" w:cs="Liberation Sans" w:eastAsiaTheme="minorEastAsia"/>
          <w:sz w:val="28"/>
          <w:szCs w:val="28"/>
          <w:highlight w:val="none"/>
        </w:rPr>
        <w:br/>
        <w:t xml:space="preserve">в 59 классах по направлениям: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физико-математический, естественно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научный, социально-гуманитарный,</w:t>
      </w:r>
      <w:r>
        <w:rPr>
          <w:rFonts w:ascii="Liberation Sans" w:hAnsi="Liberation Sans" w:cs="Liberation Sans"/>
          <w:sz w:val="28"/>
          <w:szCs w:val="28"/>
        </w:rPr>
        <w:t xml:space="preserve"> химико-биологический, гуманитарный, информационно-технологический, инженерно-технический, социально-экономический профили (2022/2023 учебный год - 1 325 человек, 65 классов).</w:t>
      </w:r>
      <w:r>
        <w:rPr>
          <w:rFonts w:ascii="Liberation Sans" w:hAnsi="Liberation Sans" w:cs="Liberation Sans"/>
          <w:sz w:val="28"/>
          <w:szCs w:val="28"/>
          <w:highlight w:val="lightGray"/>
        </w:rPr>
      </w:r>
      <w:r/>
    </w:p>
    <w:p>
      <w:pPr>
        <w:pStyle w:val="1174"/>
        <w:ind w:firstLine="709"/>
        <w:jc w:val="both"/>
        <w:spacing w:before="0" w:beforeAutospacing="0" w:after="0" w:afterAutospacing="0" w:line="240" w:lineRule="auto"/>
      </w:pPr>
      <w:r>
        <w:rPr>
          <w:rFonts w:ascii="Liberation Sans" w:hAnsi="Liberation Sans" w:cs="Liberation Sans"/>
          <w:color w:val="000000"/>
          <w:sz w:val="28"/>
          <w:szCs w:val="28"/>
        </w:rPr>
        <w:t xml:space="preserve">В рамках реализации сетевой модели 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предпрофильного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/>
          <w:sz w:val="28"/>
          <w:szCs w:val="28"/>
        </w:rPr>
        <w:br/>
        <w:t xml:space="preserve">и профильного обучения в 15 муниципальных общеобразовательных организациях </w:t>
      </w:r>
      <w:r>
        <w:rPr>
          <w:rFonts w:ascii="Liberation Sans" w:hAnsi="Liberation Sans" w:cs="Liberation Sans"/>
          <w:sz w:val="28"/>
          <w:szCs w:val="28"/>
        </w:rPr>
        <w:t xml:space="preserve">функционирует</w:t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40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корпоративных профильных классов (класс-групп), 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в которых обучается 701 школьник, что составляет 51,0% от общего количества обучающихся 10 - 11 классов (2022/2023 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учебный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 год - 623 человека, 47,0% от общего количества обучающихся </w:t>
        <w:br/>
        <w:t xml:space="preserve">10 - 11 классов, на базе 13</w:t>
      </w:r>
      <w:r>
        <w:rPr>
          <w:rFonts w:ascii="Liberation Sans" w:hAnsi="Liberation Sans" w:cs="Liberation Sans"/>
          <w:sz w:val="28"/>
          <w:szCs w:val="28"/>
        </w:rPr>
        <w:t xml:space="preserve"> общеобразовательных организаций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).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30"/>
        <w:ind w:firstLine="709"/>
        <w:jc w:val="both"/>
        <w:spacing w:before="0" w:beforeAutospacing="0" w:after="0" w:afterAutospacing="0" w:line="240" w:lineRule="auto"/>
      </w:pPr>
      <w:r>
        <w:rPr>
          <w:rFonts w:ascii="Liberation Sans" w:hAnsi="Liberation Sans" w:cs="Liberation Sans"/>
          <w:color w:val="000000"/>
          <w:sz w:val="28"/>
          <w:szCs w:val="28"/>
        </w:rPr>
        <w:t xml:space="preserve">С 1 сентября 2023 года открыт новый корпоративный класс - кадетский казачий дипломатический класс (группа) в </w:t>
      </w:r>
      <w:r>
        <w:rPr>
          <w:rFonts w:ascii="Liberation Sans" w:hAnsi="Liberation Sans" w:cs="Liberation Sans"/>
          <w:sz w:val="28"/>
          <w:szCs w:val="28"/>
        </w:rPr>
        <w:t xml:space="preserve">МБОУ КСОШ имени Героя РФ В.И. </w:t>
      </w:r>
      <w:r>
        <w:rPr>
          <w:rFonts w:ascii="Liberation Sans" w:hAnsi="Liberation Sans" w:cs="Liberation Sans"/>
          <w:sz w:val="28"/>
          <w:szCs w:val="28"/>
        </w:rPr>
        <w:t xml:space="preserve">Шарпатова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.</w:t>
      </w:r>
      <w:r>
        <w:rPr>
          <w:rFonts w:ascii="Liberation Sans" w:hAnsi="Liberation Sans" w:cs="Liberation Sans"/>
          <w:b/>
          <w:sz w:val="28"/>
          <w:szCs w:val="28"/>
        </w:rPr>
      </w:r>
      <w:r/>
    </w:p>
    <w:p>
      <w:pPr>
        <w:pStyle w:val="1175"/>
        <w:ind w:firstLine="709"/>
        <w:jc w:val="both"/>
        <w:spacing w:before="0" w:beforeAutospacing="0" w:after="0" w:afterAutospacing="0" w:line="240" w:lineRule="auto"/>
        <w:shd w:val="clear" w:color="auto" w:fill="auto"/>
        <w:widowControl w:val="off"/>
        <w:rPr>
          <w:highlight w:val="none"/>
        </w:rPr>
      </w:pPr>
      <w:r>
        <w:rPr>
          <w:rFonts w:ascii="Liberation Sans" w:hAnsi="Liberation Sans" w:cs="Liberation Sans"/>
          <w:color w:val="000000"/>
          <w:sz w:val="28"/>
          <w:szCs w:val="28"/>
        </w:rPr>
        <w:t xml:space="preserve">В образовательных организациях города Новый Уренгой созданы условия д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ля обучения детей с ограниченными возможностями здоровья (далее - ОВЗ).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 </w:t>
      </w:r>
      <w:r>
        <w:rPr>
          <w:rStyle w:val="1170"/>
          <w:rFonts w:ascii="Liberation Sans" w:hAnsi="Liberation Sans" w:cs="Liberation Sans"/>
          <w:color w:val="000000"/>
          <w:sz w:val="28"/>
          <w:szCs w:val="28"/>
          <w:highlight w:val="none"/>
          <w:shd w:val="clear" w:color="auto" w:fill="auto"/>
        </w:rPr>
        <w:t xml:space="preserve">В </w:t>
      </w:r>
      <w:r>
        <w:rPr>
          <w:rStyle w:val="1170"/>
          <w:rFonts w:ascii="Liberation Sans" w:hAnsi="Liberation Sans" w:cs="Liberation Sans"/>
          <w:sz w:val="28"/>
          <w:szCs w:val="28"/>
          <w:highlight w:val="none"/>
          <w:shd w:val="clear" w:color="auto" w:fill="auto"/>
        </w:rPr>
        <w:t xml:space="preserve">202</w:t>
      </w:r>
      <w:r>
        <w:rPr>
          <w:rStyle w:val="1170"/>
          <w:rFonts w:ascii="Liberation Sans" w:hAnsi="Liberation Sans" w:cs="Liberation Sans"/>
          <w:sz w:val="28"/>
          <w:szCs w:val="28"/>
          <w:highlight w:val="none"/>
          <w:shd w:val="clear" w:color="auto" w:fill="auto"/>
        </w:rPr>
        <w:t xml:space="preserve">3</w:t>
      </w:r>
      <w:r>
        <w:rPr>
          <w:rStyle w:val="1170"/>
          <w:rFonts w:ascii="Liberation Sans" w:hAnsi="Liberation Sans" w:cs="Liberation Sans"/>
          <w:sz w:val="28"/>
          <w:szCs w:val="28"/>
          <w:highlight w:val="none"/>
          <w:shd w:val="clear" w:color="auto" w:fill="auto"/>
        </w:rPr>
        <w:t xml:space="preserve">/202</w:t>
      </w:r>
      <w:r>
        <w:rPr>
          <w:rStyle w:val="1170"/>
          <w:rFonts w:ascii="Liberation Sans" w:hAnsi="Liberation Sans" w:cs="Liberation Sans"/>
          <w:sz w:val="28"/>
          <w:szCs w:val="28"/>
          <w:highlight w:val="none"/>
          <w:shd w:val="clear" w:color="auto" w:fill="auto"/>
        </w:rPr>
        <w:t xml:space="preserve">4</w:t>
      </w:r>
      <w:r>
        <w:rPr>
          <w:rStyle w:val="1170"/>
          <w:rFonts w:ascii="Liberation Sans" w:hAnsi="Liberation Sans" w:cs="Liberation Sans"/>
          <w:sz w:val="28"/>
          <w:szCs w:val="28"/>
          <w:highlight w:val="none"/>
          <w:shd w:val="clear" w:color="auto" w:fill="auto"/>
        </w:rPr>
        <w:t xml:space="preserve"> у</w:t>
      </w:r>
      <w:r>
        <w:rPr>
          <w:rStyle w:val="1170"/>
          <w:rFonts w:ascii="Liberation Sans" w:hAnsi="Liberation Sans" w:cs="Liberation Sans"/>
          <w:sz w:val="28"/>
          <w:szCs w:val="28"/>
          <w:highlight w:val="none"/>
          <w:shd w:val="clear" w:color="auto" w:fill="auto"/>
        </w:rPr>
        <w:t xml:space="preserve">чебном </w:t>
      </w:r>
      <w:r>
        <w:rPr>
          <w:rStyle w:val="1170"/>
          <w:rFonts w:ascii="Liberation Sans" w:hAnsi="Liberation Sans" w:cs="Liberation Sans"/>
          <w:color w:val="000000"/>
          <w:sz w:val="28"/>
          <w:szCs w:val="28"/>
          <w:highlight w:val="none"/>
          <w:shd w:val="clear" w:color="auto" w:fill="auto"/>
        </w:rPr>
        <w:t xml:space="preserve">год</w:t>
      </w:r>
      <w:r>
        <w:rPr>
          <w:rStyle w:val="1170"/>
          <w:rFonts w:ascii="Liberation Sans" w:hAnsi="Liberation Sans" w:cs="Liberation Sans"/>
          <w:color w:val="000000"/>
          <w:sz w:val="28"/>
          <w:szCs w:val="28"/>
          <w:highlight w:val="none"/>
          <w:shd w:val="clear" w:color="auto" w:fill="ffffff"/>
        </w:rPr>
        <w:t xml:space="preserve">у </w:t>
      </w:r>
      <w:r>
        <w:rPr>
          <w:rStyle w:val="1170"/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в 18 школах </w:t>
      </w:r>
      <w:r>
        <w:rPr>
          <w:rStyle w:val="1170"/>
          <w:rFonts w:ascii="Liberation Sans" w:hAnsi="Liberation Sans" w:cs="Liberation Sans"/>
          <w:color w:val="000000"/>
          <w:sz w:val="28"/>
          <w:szCs w:val="28"/>
          <w:highlight w:val="none"/>
          <w:shd w:val="clear" w:color="auto" w:fill="ffffff"/>
        </w:rPr>
        <w:t xml:space="preserve">города обуча</w:t>
      </w:r>
      <w:r>
        <w:rPr>
          <w:rStyle w:val="1170"/>
          <w:rFonts w:ascii="Liberation Sans" w:hAnsi="Liberation Sans" w:cs="Liberation Sans"/>
          <w:color w:val="000000"/>
          <w:sz w:val="28"/>
          <w:szCs w:val="28"/>
          <w:highlight w:val="none"/>
          <w:shd w:val="clear" w:color="auto" w:fill="ffffff"/>
        </w:rPr>
        <w:t xml:space="preserve">ю</w:t>
      </w:r>
      <w:r>
        <w:rPr>
          <w:rStyle w:val="1170"/>
          <w:rFonts w:ascii="Liberation Sans" w:hAnsi="Liberation Sans" w:cs="Liberation Sans"/>
          <w:color w:val="000000"/>
          <w:sz w:val="28"/>
          <w:szCs w:val="28"/>
          <w:highlight w:val="none"/>
          <w:shd w:val="clear" w:color="auto" w:fill="ffffff"/>
        </w:rPr>
        <w:t xml:space="preserve">тся</w:t>
      </w:r>
      <w:r>
        <w:rPr>
          <w:rStyle w:val="1170"/>
          <w:rFonts w:ascii="Liberation Sans" w:hAnsi="Liberation Sans" w:cs="Liberation Sans"/>
          <w:color w:val="000000"/>
          <w:sz w:val="28"/>
          <w:szCs w:val="28"/>
          <w:highlight w:val="none"/>
          <w:shd w:val="clear" w:color="auto" w:fill="ffffff"/>
        </w:rPr>
        <w:t xml:space="preserve"> 512 детей с ОВЗ, из них 285 человек относятся к категории «дети-инвалиды». Для 94 детей с ОВЗ созданы условия для обучения на дому.</w:t>
      </w:r>
      <w:r>
        <w:rPr>
          <w:highlight w:val="none"/>
        </w:rPr>
      </w:r>
      <w:r/>
    </w:p>
    <w:p>
      <w:pPr>
        <w:pStyle w:val="1175"/>
        <w:ind w:firstLine="709"/>
        <w:jc w:val="both"/>
        <w:spacing w:before="0" w:beforeAutospacing="0" w:after="0" w:afterAutospacing="0" w:line="240" w:lineRule="auto"/>
        <w:widowControl w:val="off"/>
      </w:pPr>
      <w:r>
        <w:rPr>
          <w:rStyle w:val="1170"/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Общее образование в Центре дистанционного образования МБОУ «Арктический лицей» получают 29 детей-инвалидов (100% от потребности)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2022/2023 учебный год</w:t>
      </w:r>
      <w:r>
        <w:rPr>
          <w:rStyle w:val="1170"/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 - 30 детей,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2021/2022 учебный год - 26 детей</w:t>
      </w:r>
      <w:r>
        <w:rPr>
          <w:rStyle w:val="1170"/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) с разл</w:t>
      </w:r>
      <w:r>
        <w:rPr>
          <w:rStyle w:val="1170"/>
          <w:rFonts w:ascii="Liberation Sans" w:hAnsi="Liberation Sans" w:cs="Liberation Sans"/>
          <w:color w:val="000000"/>
          <w:sz w:val="28"/>
          <w:szCs w:val="28"/>
        </w:rPr>
        <w:t xml:space="preserve">ичными категориями заболеваний. </w:t>
      </w:r>
      <w:r>
        <w:rPr>
          <w:rStyle w:val="1170"/>
        </w:rPr>
      </w:r>
      <w:r/>
    </w:p>
    <w:p>
      <w:pPr>
        <w:pStyle w:val="1175"/>
        <w:ind w:firstLine="709"/>
        <w:jc w:val="both"/>
        <w:spacing w:before="0" w:beforeAutospacing="0" w:after="0" w:afterAutospacing="0" w:line="240" w:lineRule="auto"/>
        <w:widowControl w:val="off"/>
      </w:pPr>
      <w:r>
        <w:rPr>
          <w:rStyle w:val="1170"/>
          <w:rFonts w:ascii="Liberation Sans" w:hAnsi="Liberation Sans" w:cs="Liberation Sans"/>
          <w:color w:val="000000"/>
          <w:sz w:val="28"/>
          <w:szCs w:val="28"/>
        </w:rPr>
        <w:t xml:space="preserve">В 2023/2024 учебном году по </w:t>
      </w:r>
      <w:r>
        <w:rPr>
          <w:rStyle w:val="1170"/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адаптированным образовательным программам и адаптированным основным общеобразовательным программам </w:t>
      </w:r>
      <w:r>
        <w:rPr>
          <w:rStyle w:val="1170"/>
          <w:rFonts w:ascii="Liberation Sans" w:hAnsi="Liberation Sans" w:cs="Liberation Sans"/>
          <w:color w:val="000000"/>
          <w:sz w:val="28"/>
          <w:szCs w:val="28"/>
        </w:rPr>
        <w:t xml:space="preserve">обучаются 395 человек (2022/2023 - 321 человек).</w:t>
      </w:r>
      <w:r>
        <w:rPr>
          <w:rStyle w:val="1170"/>
        </w:rPr>
      </w:r>
      <w:r/>
    </w:p>
    <w:p>
      <w:pPr>
        <w:pStyle w:val="1176"/>
        <w:ind w:left="20" w:right="20" w:firstLine="709"/>
        <w:jc w:val="both"/>
        <w:spacing w:before="0" w:beforeAutospacing="0" w:after="0" w:afterAutospacing="0" w:line="240" w:lineRule="auto"/>
        <w:shd w:val="clear" w:color="auto" w:fill="ffffff"/>
        <w:widowControl w:val="off"/>
        <w:suppressLineNumbers w:val="0"/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По итогам 2022/2023 учебного года уровень образовательных достижений характеризуется следующими показателями:</w:t>
      </w:r>
      <w:r/>
    </w:p>
    <w:p>
      <w:pPr>
        <w:pStyle w:val="1177"/>
        <w:ind w:left="20" w:right="20" w:firstLine="709"/>
        <w:jc w:val="both"/>
        <w:spacing w:before="0" w:beforeAutospacing="0" w:after="0" w:afterAutospacing="0" w:line="240" w:lineRule="auto"/>
        <w:shd w:val="clear" w:color="auto" w:fill="ffffff"/>
        <w:widowControl w:val="off"/>
        <w:tabs>
          <w:tab w:val="left" w:pos="993" w:leader="none"/>
        </w:tabs>
        <w:rPr>
          <w:rFonts w:ascii="Liberation Sans" w:hAnsi="Liberation Sans" w:cs="Liberation Sans"/>
          <w:color w:val="000000"/>
          <w:sz w:val="28"/>
          <w:szCs w:val="28"/>
          <w:highlight w:val="white"/>
        </w:rPr>
        <w:suppressLineNumbers w:val="0"/>
      </w:pP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- </w:t>
      </w:r>
      <w:r>
        <w:rPr>
          <w:rFonts w:ascii="Liberation Sans" w:hAnsi="Liberation Sans" w:cs="Liberation Sans"/>
          <w:color w:val="000000" w:themeColor="text1"/>
          <w:sz w:val="28"/>
          <w:szCs w:val="28"/>
          <w:shd w:val="clear" w:color="auto" w:fill="ffffff"/>
        </w:rPr>
        <w:t xml:space="preserve">1 </w:t>
      </w:r>
      <w:r>
        <w:rPr>
          <w:rFonts w:ascii="Liberation Sans" w:hAnsi="Liberation Sans" w:cs="Liberation Sans"/>
          <w:sz w:val="28"/>
          <w:szCs w:val="28"/>
          <w:shd w:val="clear" w:color="auto" w:fill="ffffff"/>
        </w:rPr>
        <w:t xml:space="preserve">207 обучающихся 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(7,2%) завершили учебный год 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br/>
      </w:r>
      <w:r>
        <w:rPr>
          <w:rFonts w:ascii="Liberation Sans" w:hAnsi="Liberation Sans" w:cs="Liberation Sans"/>
          <w:color w:val="000000"/>
          <w:sz w:val="28"/>
          <w:szCs w:val="28"/>
          <w:highlight w:val="white"/>
          <w:shd w:val="clear" w:color="auto" w:fill="ffffff"/>
        </w:rPr>
        <w:t xml:space="preserve">на </w:t>
      </w:r>
      <w:r>
        <w:rPr>
          <w:rFonts w:ascii="Liberation Sans" w:hAnsi="Liberation Sans" w:cs="Liberation Sans"/>
          <w:color w:val="000000"/>
          <w:sz w:val="28"/>
          <w:szCs w:val="28"/>
          <w:highlight w:val="white"/>
          <w:shd w:val="clear" w:color="auto" w:fill="ffffff"/>
        </w:rPr>
        <w:t xml:space="preserve">«</w:t>
      </w:r>
      <w:r>
        <w:rPr>
          <w:rFonts w:ascii="Liberation Sans" w:hAnsi="Liberation Sans" w:cs="Liberation Sans"/>
          <w:color w:val="000000"/>
          <w:sz w:val="28"/>
          <w:szCs w:val="28"/>
          <w:highlight w:val="white"/>
          <w:shd w:val="clear" w:color="auto" w:fill="ffffff"/>
        </w:rPr>
        <w:t xml:space="preserve">отлично</w:t>
      </w:r>
      <w:r>
        <w:rPr>
          <w:rFonts w:ascii="Liberation Sans" w:hAnsi="Liberation Sans" w:cs="Liberation Sans"/>
          <w:color w:val="000000"/>
          <w:sz w:val="28"/>
          <w:szCs w:val="28"/>
          <w:highlight w:val="white"/>
          <w:shd w:val="clear" w:color="auto" w:fill="ffffff"/>
        </w:rPr>
        <w:t xml:space="preserve">»</w:t>
      </w:r>
      <w:r>
        <w:rPr>
          <w:rFonts w:ascii="Liberation Sans" w:hAnsi="Liberation Sans" w:cs="Liberation Sans"/>
          <w:color w:val="000000"/>
          <w:sz w:val="28"/>
          <w:szCs w:val="28"/>
          <w:highlight w:val="white"/>
          <w:shd w:val="clear" w:color="auto" w:fill="ffffff"/>
        </w:rPr>
        <w:t xml:space="preserve"> (2021/2022 учебный год - 1 159,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2020/2021 учебный год - 1 177</w:t>
      </w:r>
      <w:r>
        <w:rPr>
          <w:rFonts w:ascii="Liberation Sans" w:hAnsi="Liberation Sans" w:cs="Liberation Sans"/>
          <w:color w:val="000000"/>
          <w:sz w:val="28"/>
          <w:szCs w:val="28"/>
          <w:highlight w:val="white"/>
          <w:shd w:val="clear" w:color="auto" w:fill="ffffff"/>
        </w:rPr>
        <w:t xml:space="preserve">);</w:t>
      </w:r>
      <w:r>
        <w:rPr>
          <w:rFonts w:ascii="Liberation Sans" w:hAnsi="Liberation Sans" w:cs="Liberation Sans"/>
          <w:color w:val="000000"/>
          <w:sz w:val="28"/>
          <w:szCs w:val="28"/>
          <w:highlight w:val="white"/>
        </w:rPr>
      </w:r>
      <w:r/>
    </w:p>
    <w:p>
      <w:pPr>
        <w:pStyle w:val="1177"/>
        <w:ind w:left="20" w:right="20" w:firstLine="709"/>
        <w:jc w:val="both"/>
        <w:spacing w:before="0" w:beforeAutospacing="0" w:after="0" w:afterAutospacing="0" w:line="240" w:lineRule="auto"/>
        <w:shd w:val="clear" w:color="auto" w:fill="ffffff"/>
        <w:widowControl w:val="off"/>
        <w:tabs>
          <w:tab w:val="left" w:pos="993" w:leader="none"/>
        </w:tabs>
        <w:rPr>
          <w:rFonts w:ascii="Liberation Sans" w:hAnsi="Liberation Sans" w:cs="Liberation Sans"/>
          <w:color w:val="000000"/>
          <w:sz w:val="28"/>
          <w:szCs w:val="28"/>
          <w:highlight w:val="white"/>
        </w:rPr>
        <w:suppressLineNumbers w:val="0"/>
      </w:pPr>
      <w:r>
        <w:rPr>
          <w:rFonts w:ascii="Liberation Sans" w:hAnsi="Liberation Sans" w:cs="Liberation Sans"/>
          <w:color w:val="000000"/>
          <w:sz w:val="28"/>
          <w:szCs w:val="28"/>
          <w:highlight w:val="white"/>
          <w:shd w:val="clear" w:color="auto" w:fill="ffffff"/>
        </w:rPr>
      </w:r>
      <w:r>
        <w:rPr>
          <w:highlight w:val="white"/>
        </w:rPr>
        <w:t xml:space="preserve">-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  <w:shd w:val="clear" w:color="auto" w:fill="ffffff"/>
        </w:rPr>
        <w:t xml:space="preserve"> 5 </w:t>
      </w:r>
      <w:r>
        <w:rPr>
          <w:rFonts w:ascii="Liberation Sans" w:hAnsi="Liberation Sans" w:cs="Liberation Sans"/>
          <w:sz w:val="28"/>
          <w:szCs w:val="28"/>
          <w:highlight w:val="white"/>
          <w:shd w:val="clear" w:color="auto" w:fill="ffffff"/>
        </w:rPr>
        <w:t xml:space="preserve">776 обучающихся </w:t>
      </w:r>
      <w:r>
        <w:rPr>
          <w:rFonts w:ascii="Liberation Sans" w:hAnsi="Liberation Sans" w:cs="Liberation Sans"/>
          <w:color w:val="000000"/>
          <w:sz w:val="28"/>
          <w:szCs w:val="28"/>
          <w:highlight w:val="white"/>
          <w:shd w:val="clear" w:color="auto" w:fill="ffffff"/>
        </w:rPr>
        <w:t xml:space="preserve">(34,7%) закончили учебный год на </w:t>
      </w:r>
      <w:r>
        <w:rPr>
          <w:rFonts w:ascii="Liberation Sans" w:hAnsi="Liberation Sans" w:cs="Liberation Sans"/>
          <w:color w:val="000000"/>
          <w:sz w:val="28"/>
          <w:szCs w:val="28"/>
          <w:highlight w:val="white"/>
          <w:shd w:val="clear" w:color="auto" w:fill="ffffff"/>
        </w:rPr>
        <w:t xml:space="preserve">«</w:t>
      </w:r>
      <w:r>
        <w:rPr>
          <w:rFonts w:ascii="Liberation Sans" w:hAnsi="Liberation Sans" w:cs="Liberation Sans"/>
          <w:color w:val="000000"/>
          <w:sz w:val="28"/>
          <w:szCs w:val="28"/>
          <w:highlight w:val="white"/>
          <w:shd w:val="clear" w:color="auto" w:fill="ffffff"/>
        </w:rPr>
        <w:t xml:space="preserve">хорошо и отлично</w:t>
      </w:r>
      <w:r>
        <w:rPr>
          <w:rFonts w:ascii="Liberation Sans" w:hAnsi="Liberation Sans" w:cs="Liberation Sans"/>
          <w:color w:val="000000"/>
          <w:sz w:val="28"/>
          <w:szCs w:val="28"/>
          <w:highlight w:val="white"/>
          <w:shd w:val="clear" w:color="auto" w:fill="ffffff"/>
        </w:rPr>
        <w:t xml:space="preserve">»</w:t>
      </w:r>
      <w:r>
        <w:rPr>
          <w:rFonts w:ascii="Liberation Sans" w:hAnsi="Liberation Sans" w:cs="Liberation Sans"/>
          <w:color w:val="000000"/>
          <w:sz w:val="28"/>
          <w:szCs w:val="28"/>
          <w:highlight w:val="white"/>
          <w:shd w:val="clear" w:color="auto" w:fill="ffffff"/>
        </w:rPr>
        <w:t xml:space="preserve"> (</w:t>
      </w:r>
      <w:r>
        <w:rPr>
          <w:rFonts w:ascii="Liberation Sans" w:hAnsi="Liberation Sans" w:cs="Liberation Sans"/>
          <w:color w:val="000000"/>
          <w:sz w:val="28"/>
          <w:szCs w:val="28"/>
          <w:highlight w:val="white"/>
        </w:rPr>
        <w:t xml:space="preserve">2021/2022 учебный год - 5 724</w:t>
      </w:r>
      <w:r>
        <w:rPr>
          <w:rFonts w:ascii="Liberation Sans" w:hAnsi="Liberation Sans" w:cs="Liberation Sans"/>
          <w:color w:val="000000"/>
          <w:sz w:val="28"/>
          <w:szCs w:val="28"/>
          <w:highlight w:val="white"/>
          <w:shd w:val="clear" w:color="auto" w:fill="ffffff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2020/2021 учебный год - 5 660</w:t>
      </w:r>
      <w:r>
        <w:rPr>
          <w:rFonts w:ascii="Liberation Sans" w:hAnsi="Liberation Sans" w:cs="Liberation Sans"/>
          <w:color w:val="000000"/>
          <w:sz w:val="28"/>
          <w:szCs w:val="28"/>
          <w:highlight w:val="white"/>
          <w:shd w:val="clear" w:color="auto" w:fill="ffffff"/>
        </w:rPr>
        <w:t xml:space="preserve">);</w:t>
      </w:r>
      <w:r>
        <w:rPr>
          <w:rFonts w:ascii="Liberation Sans" w:hAnsi="Liberation Sans" w:cs="Liberation Sans"/>
          <w:color w:val="000000"/>
          <w:sz w:val="28"/>
          <w:szCs w:val="28"/>
          <w:highlight w:val="white"/>
        </w:rPr>
      </w:r>
      <w:r/>
    </w:p>
    <w:p>
      <w:pPr>
        <w:pStyle w:val="1177"/>
        <w:ind w:left="20" w:right="20" w:firstLine="709"/>
        <w:jc w:val="both"/>
        <w:spacing w:before="0" w:beforeAutospacing="0" w:after="0" w:afterAutospacing="0" w:line="240" w:lineRule="auto"/>
        <w:shd w:val="clear" w:color="auto" w:fill="ffffff"/>
        <w:widowControl w:val="off"/>
        <w:tabs>
          <w:tab w:val="left" w:pos="993" w:leader="none"/>
        </w:tabs>
        <w:rPr>
          <w:rFonts w:ascii="Liberation Sans" w:hAnsi="Liberation Sans" w:cs="Liberation Sans"/>
          <w:color w:val="000000"/>
          <w:sz w:val="28"/>
          <w:szCs w:val="28"/>
          <w:highlight w:val="white"/>
        </w:rPr>
        <w:suppressLineNumbers w:val="0"/>
      </w:pPr>
      <w:r>
        <w:rPr>
          <w:rFonts w:ascii="Liberation Sans" w:hAnsi="Liberation Sans" w:cs="Liberation Sans"/>
          <w:color w:val="000000"/>
          <w:sz w:val="28"/>
          <w:szCs w:val="28"/>
          <w:highlight w:val="white"/>
          <w:shd w:val="clear" w:color="auto" w:fill="ffffff"/>
        </w:rPr>
      </w:r>
      <w:r>
        <w:rPr>
          <w:highlight w:val="white"/>
        </w:rPr>
        <w:t xml:space="preserve">- </w:t>
      </w:r>
      <w:r>
        <w:rPr>
          <w:rFonts w:ascii="Liberation Sans" w:hAnsi="Liberation Sans" w:cs="Liberation Sans"/>
          <w:color w:val="000000"/>
          <w:sz w:val="28"/>
          <w:szCs w:val="28"/>
          <w:highlight w:val="white"/>
          <w:shd w:val="clear" w:color="auto" w:fill="ffffff"/>
        </w:rPr>
        <w:t xml:space="preserve">1 394 выпускника 9-х клас</w:t>
      </w:r>
      <w:r>
        <w:rPr>
          <w:rFonts w:ascii="Liberation Sans" w:hAnsi="Liberation Sans" w:cs="Liberation Sans"/>
          <w:color w:val="000000"/>
          <w:sz w:val="28"/>
          <w:szCs w:val="28"/>
          <w:highlight w:val="white"/>
          <w:shd w:val="clear" w:color="auto" w:fill="ffffff"/>
        </w:rPr>
        <w:t xml:space="preserve">сов (100%) успешно завершили обучение по образовательным программам основного общего образования.</w:t>
      </w:r>
      <w:r>
        <w:rPr>
          <w:rFonts w:ascii="Liberation Sans" w:hAnsi="Liberation Sans" w:cs="Liberation Sans"/>
          <w:color w:val="000000"/>
          <w:sz w:val="28"/>
          <w:szCs w:val="28"/>
          <w:highlight w:val="white"/>
        </w:rPr>
      </w:r>
      <w:r/>
    </w:p>
    <w:p>
      <w:pPr>
        <w:pStyle w:val="1177"/>
        <w:ind w:left="20" w:right="20" w:firstLine="709"/>
        <w:jc w:val="both"/>
        <w:spacing w:before="0" w:beforeAutospacing="0" w:after="0" w:afterAutospacing="0" w:line="240" w:lineRule="auto"/>
        <w:shd w:val="clear" w:color="auto" w:fill="ffffff"/>
        <w:widowControl w:val="off"/>
        <w:tabs>
          <w:tab w:val="left" w:pos="993" w:leader="none"/>
        </w:tabs>
        <w:rPr>
          <w:rFonts w:ascii="Liberation Sans" w:hAnsi="Liberation Sans" w:cs="Liberation Sans"/>
          <w:color w:val="000000"/>
          <w:sz w:val="28"/>
          <w:szCs w:val="28"/>
          <w:highlight w:val="white"/>
        </w:rPr>
        <w:suppressLineNumbers w:val="0"/>
      </w:pPr>
      <w:r>
        <w:rPr>
          <w:rFonts w:ascii="Liberation Sans" w:hAnsi="Liberation Sans" w:cs="Liberation Sans"/>
          <w:color w:val="000000"/>
          <w:sz w:val="28"/>
          <w:szCs w:val="28"/>
          <w:highlight w:val="white"/>
          <w:shd w:val="clear" w:color="auto" w:fill="ffffff"/>
        </w:rPr>
        <w:t xml:space="preserve">17 обучающихся по результатам промежуточной аттестации </w:t>
        <w:br/>
        <w:t xml:space="preserve">не были допущены к государственной итоговой аттестации и оставлены на повторное обучение;</w:t>
      </w:r>
      <w:r>
        <w:rPr>
          <w:rFonts w:ascii="Liberation Sans" w:hAnsi="Liberation Sans" w:cs="Liberation Sans"/>
          <w:color w:val="000000"/>
          <w:sz w:val="28"/>
          <w:szCs w:val="28"/>
          <w:highlight w:val="white"/>
        </w:rPr>
      </w:r>
      <w:r/>
    </w:p>
    <w:p>
      <w:pPr>
        <w:pStyle w:val="1177"/>
        <w:ind w:left="20" w:right="20" w:firstLine="709"/>
        <w:jc w:val="both"/>
        <w:spacing w:before="0" w:beforeAutospacing="0" w:after="0" w:afterAutospacing="0" w:line="240" w:lineRule="auto"/>
        <w:shd w:val="clear" w:color="auto" w:fill="ffffff"/>
        <w:widowControl w:val="off"/>
        <w:tabs>
          <w:tab w:val="left" w:pos="993" w:leader="none"/>
        </w:tabs>
        <w:rPr>
          <w:rFonts w:ascii="Liberation Sans" w:hAnsi="Liberation Sans" w:cs="Liberation Sans"/>
          <w:color w:val="000000" w:themeColor="text1"/>
          <w:sz w:val="28"/>
          <w:szCs w:val="28"/>
        </w:rPr>
        <w:suppressLineNumbers w:val="0"/>
      </w:pPr>
      <w:r>
        <w:rPr>
          <w:rFonts w:ascii="Liberation Sans" w:hAnsi="Liberation Sans" w:cs="Liberation Sans"/>
          <w:color w:val="000000"/>
          <w:sz w:val="28"/>
          <w:szCs w:val="28"/>
          <w:highlight w:val="white"/>
          <w:shd w:val="clear" w:color="auto" w:fill="ffffff"/>
        </w:rPr>
      </w:r>
      <w:r>
        <w:rPr>
          <w:highlight w:val="white"/>
        </w:rPr>
        <w:t xml:space="preserve">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58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 обучающихся 9-х классов сдали ОГЭ на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отлично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br/>
        <w:t xml:space="preserve">что составило 4,3% от общего числа участников, 502 обучающихся (36,9%) сдали выпускные экзамены на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хорошо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 и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«отлично» (2021/2022 учебный год - 58 человек (4,5%) и 864 человека (66,5%) соответственно, 2020/2021 учебный год - </w:t>
      </w:r>
      <w:r>
        <w:rPr>
          <w:rFonts w:ascii="Liberation Sans" w:hAnsi="Liberation Sans" w:cs="Liberation Sans"/>
          <w:sz w:val="28"/>
          <w:szCs w:val="28"/>
        </w:rPr>
        <w:t xml:space="preserve">85 человек (6,6%) и </w:t>
        <w:br/>
        <w:t xml:space="preserve">561 человек (43,2%) соответственно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);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1177"/>
        <w:ind w:left="20" w:right="20" w:firstLine="709"/>
        <w:jc w:val="both"/>
        <w:spacing w:before="0" w:beforeAutospacing="0" w:after="0" w:afterAutospacing="0" w:line="240" w:lineRule="auto"/>
        <w:shd w:val="clear" w:color="auto" w:fill="ffffff"/>
        <w:widowControl w:val="off"/>
        <w:tabs>
          <w:tab w:val="left" w:pos="993" w:leader="none"/>
        </w:tabs>
        <w:rPr>
          <w:rFonts w:ascii="Liberation Sans" w:hAnsi="Liberation Sans" w:cs="Liberation Sans"/>
          <w:color w:val="000000"/>
          <w:sz w:val="28"/>
          <w:szCs w:val="28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t xml:space="preserve">- </w:t>
      </w:r>
      <w:r>
        <w:rPr>
          <w:rFonts w:ascii="Liberation Sans" w:hAnsi="Liberation Sans" w:cs="Liberation Sans"/>
          <w:color w:val="000000" w:themeColor="text1"/>
          <w:sz w:val="28"/>
          <w:szCs w:val="28"/>
          <w:shd w:val="clear" w:color="auto" w:fill="ffffff"/>
        </w:rPr>
        <w:t xml:space="preserve">54 выпускника 9-х классов (3,9%) п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олучили аттестат особого 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ffffff" w:themeColor="background1" w:fill="ffffff" w:themeFill="background1"/>
        </w:rPr>
        <w:t xml:space="preserve">образца (с отличием) (2021/2022 учебный год - 72,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2020/2021 учебный год - 54)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;</w:t>
      </w:r>
      <w:r>
        <w:rPr>
          <w:rFonts w:ascii="Liberation Sans" w:hAnsi="Liberation Sans" w:cs="Liberation Sans"/>
          <w:color w:val="000000"/>
          <w:sz w:val="28"/>
          <w:szCs w:val="28"/>
        </w:rPr>
      </w:r>
      <w:r/>
    </w:p>
    <w:p>
      <w:pPr>
        <w:pStyle w:val="1177"/>
        <w:ind w:left="20" w:right="20" w:firstLine="709"/>
        <w:jc w:val="both"/>
        <w:spacing w:before="0" w:beforeAutospacing="0" w:after="0" w:afterAutospacing="0" w:line="240" w:lineRule="auto"/>
        <w:shd w:val="clear" w:color="auto" w:fill="ffffff"/>
        <w:widowControl w:val="off"/>
        <w:tabs>
          <w:tab w:val="left" w:pos="993" w:leader="none"/>
        </w:tabs>
        <w:rPr>
          <w:rFonts w:ascii="Liberation Sans" w:hAnsi="Liberation Sans" w:cs="Liberation Sans"/>
          <w:color w:val="000000"/>
          <w:sz w:val="28"/>
          <w:szCs w:val="28"/>
        </w:rPr>
        <w:suppressLineNumbers w:val="0"/>
      </w:pPr>
      <w:r>
        <w:rPr>
          <w:rFonts w:ascii="Liberation Sans" w:hAnsi="Liberation Sans" w:cs="Liberation Sans"/>
          <w:color w:val="000000"/>
          <w:sz w:val="28"/>
          <w:szCs w:val="28"/>
        </w:rPr>
      </w:r>
      <w:r>
        <w:t xml:space="preserve">-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 618 выпускников 11-х классов (100%) получили аттестат 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br/>
        <w:t xml:space="preserve">о среднем общем образовании (2021/2022 учебный год - 100%,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2020/2021 учебный год - 100%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). </w:t>
      </w:r>
      <w:r>
        <w:rPr>
          <w:rFonts w:ascii="Liberation Sans" w:hAnsi="Liberation Sans" w:cs="Liberation Sans"/>
          <w:sz w:val="28"/>
          <w:szCs w:val="28"/>
          <w:shd w:val="clear" w:color="auto" w:fill="ffffff"/>
        </w:rPr>
        <w:t xml:space="preserve">52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 выпускника награждены медалью «За особые успехи в учении» (2021/2022 учебный год - 49, </w:t>
      </w:r>
      <w:r>
        <w:rPr>
          <w:rFonts w:ascii="Liberation Sans" w:hAnsi="Liberation Sans" w:cs="Liberation Sans"/>
          <w:sz w:val="28"/>
          <w:szCs w:val="28"/>
        </w:rPr>
        <w:t xml:space="preserve">2020/2021 учебный год - 79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);</w:t>
      </w:r>
      <w:r>
        <w:rPr>
          <w:rFonts w:ascii="Liberation Sans" w:hAnsi="Liberation Sans" w:cs="Liberation Sans"/>
          <w:color w:val="000000"/>
          <w:sz w:val="28"/>
          <w:szCs w:val="28"/>
        </w:rPr>
      </w:r>
      <w:r/>
    </w:p>
    <w:p>
      <w:pPr>
        <w:pStyle w:val="1177"/>
        <w:ind w:left="20" w:right="20" w:firstLine="709"/>
        <w:jc w:val="both"/>
        <w:spacing w:before="0" w:beforeAutospacing="0" w:after="0" w:afterAutospacing="0" w:line="240" w:lineRule="auto"/>
        <w:shd w:val="clear" w:color="auto" w:fill="ffffff"/>
        <w:widowControl w:val="off"/>
        <w:tabs>
          <w:tab w:val="left" w:pos="993" w:leader="none"/>
        </w:tabs>
        <w:suppressLineNumbers w:val="0"/>
      </w:pP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</w:r>
      <w:r>
        <w:t xml:space="preserve">- 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63,0 балла - средний балл по результатам ЕГЭ (на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 0,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4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%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 выше уровня 2021/2022 учебного года). 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4 выпускника получили 100 баллов на ЕГЭ: 2 - по литературе, 1 - по русскому языку, 1 - по английскому языку (2021/2022 учебный год - 1, </w:t>
      </w:r>
      <w:r>
        <w:rPr>
          <w:rFonts w:ascii="Liberation Sans" w:hAnsi="Liberation Sans" w:cs="Liberation Sans"/>
          <w:sz w:val="28"/>
          <w:szCs w:val="28"/>
        </w:rPr>
        <w:t xml:space="preserve">2020/2021 </w:t>
      </w:r>
      <w:r>
        <w:rPr>
          <w:rFonts w:ascii="Liberation Sans" w:hAnsi="Liberation Sans" w:cs="Liberation Sans"/>
          <w:sz w:val="28"/>
          <w:szCs w:val="28"/>
          <w:shd w:val="clear" w:color="auto" w:fill="ffffff"/>
        </w:rPr>
        <w:t xml:space="preserve">учебный год</w:t>
      </w:r>
      <w:r>
        <w:rPr>
          <w:rFonts w:ascii="Liberation Sans" w:hAnsi="Liberation Sans" w:cs="Liberation Sans"/>
          <w:sz w:val="28"/>
          <w:szCs w:val="28"/>
        </w:rPr>
        <w:t xml:space="preserve"> - 7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).</w:t>
      </w:r>
      <w:r/>
    </w:p>
    <w:p>
      <w:pPr>
        <w:pStyle w:val="1130"/>
        <w:ind w:left="709" w:right="20"/>
        <w:jc w:val="both"/>
        <w:spacing w:before="0" w:beforeAutospacing="0" w:after="0" w:afterAutospacing="0"/>
        <w:widowControl w:val="off"/>
        <w:tabs>
          <w:tab w:val="left" w:pos="908" w:leader="none"/>
          <w:tab w:val="left" w:pos="993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highlight w:val="lightGray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79"/>
        <w:ind w:right="20"/>
        <w:jc w:val="center"/>
        <w:spacing w:before="0" w:beforeAutospacing="0" w:after="0" w:afterAutospacing="0"/>
        <w:tabs>
          <w:tab w:val="left" w:pos="993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drawing>
          <wp:inline distT="0" distB="0" distL="0" distR="0">
            <wp:extent cx="4959684" cy="1855921"/>
            <wp:effectExtent l="4762" t="4762" r="4762" b="4762"/>
            <wp:docPr id="4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1130"/>
        <w:ind w:left="709" w:right="20"/>
        <w:jc w:val="both"/>
        <w:spacing w:before="0" w:beforeAutospacing="0" w:after="0" w:afterAutospacing="0"/>
        <w:widowControl w:val="off"/>
        <w:tabs>
          <w:tab w:val="left" w:pos="908" w:leader="none"/>
          <w:tab w:val="left" w:pos="993" w:leader="none"/>
        </w:tabs>
        <w:rPr>
          <w:rFonts w:ascii="Liberation Sans" w:hAnsi="Liberation Sans" w:cs="Liberation Sans"/>
          <w:sz w:val="28"/>
          <w:szCs w:val="28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  <w14:ligatures w14:val="none"/>
        </w:rPr>
      </w:r>
      <w:r/>
    </w:p>
    <w:p>
      <w:pPr>
        <w:pStyle w:val="1130"/>
        <w:ind w:left="20" w:right="20" w:firstLine="720"/>
        <w:jc w:val="both"/>
        <w:spacing w:before="0" w:beforeAutospacing="0" w:after="0" w:afterAutospacing="0" w:line="240" w:lineRule="auto"/>
        <w:shd w:val="clear" w:color="auto" w:fill="ffffff"/>
        <w:widowControl w:val="off"/>
      </w:pP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С учетом пересдачи в дополнительный (сентябрьский) период общая успеваемость по русскому языку и 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математике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 и предметам выбора основного государственного экзамена составила 100%. Показатель качества 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обученности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 в 2022/2023 учебном году 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br/>
        <w:t xml:space="preserve">по обязательным предметам к уровню 2021/2022 учебного года 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br/>
        <w:t xml:space="preserve">по математике повысился </w:t>
      </w:r>
      <w:r>
        <w:rPr>
          <w:rFonts w:ascii="Liberation Sans" w:hAnsi="Liberation Sans" w:cs="Liberation Sans"/>
          <w:sz w:val="28"/>
          <w:szCs w:val="28"/>
        </w:rPr>
        <w:t xml:space="preserve">на 0,7% и составил 69,9%;</w:t>
      </w:r>
      <w:r>
        <w:rPr>
          <w:rFonts w:ascii="Liberation Sans" w:hAnsi="Liberation Sans" w:cs="Liberation Sans"/>
          <w:sz w:val="28"/>
          <w:szCs w:val="28"/>
          <w:shd w:val="clear" w:color="auto" w:fill="ffffff"/>
        </w:rPr>
        <w:t xml:space="preserve"> по русскому языку качество </w:t>
      </w:r>
      <w:r>
        <w:rPr>
          <w:rFonts w:ascii="Liberation Sans" w:hAnsi="Liberation Sans" w:cs="Liberation Sans"/>
          <w:sz w:val="28"/>
          <w:szCs w:val="28"/>
          <w:shd w:val="clear" w:color="auto" w:fill="ffffff"/>
        </w:rPr>
        <w:t xml:space="preserve">обученности</w:t>
      </w:r>
      <w:r>
        <w:rPr>
          <w:rFonts w:ascii="Liberation Sans" w:hAnsi="Liberation Sans" w:cs="Liberation Sans"/>
          <w:sz w:val="28"/>
          <w:szCs w:val="28"/>
          <w:shd w:val="clear" w:color="auto" w:fill="ffffff"/>
        </w:rPr>
        <w:t xml:space="preserve"> снизилось на 4,0% и составило 68,4%.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</w:r>
      <w:r/>
    </w:p>
    <w:p>
      <w:pPr>
        <w:pStyle w:val="1130"/>
        <w:ind w:left="20" w:right="20" w:firstLine="720"/>
        <w:jc w:val="both"/>
        <w:spacing w:before="0" w:beforeAutospacing="0" w:after="0" w:afterAutospacing="0" w:line="240" w:lineRule="auto"/>
        <w:shd w:val="clear" w:color="auto" w:fill="ffffff"/>
        <w:widowControl w:val="off"/>
      </w:pPr>
      <w:r>
        <w:rPr>
          <w:rFonts w:ascii="Liberation Sans" w:hAnsi="Liberation Sans" w:cs="Liberation Sans"/>
          <w:color w:val="000000"/>
          <w:sz w:val="28"/>
          <w:szCs w:val="28"/>
        </w:rPr>
        <w:t xml:space="preserve">В 2022/2023 учебном году во Всероссийской олимпиаде школьников приняли участие 6 378 обучающихся 4 - 11 классов: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школьный этап - 6 175 участников, из них - 1 345 победителей, </w:t>
        <w:br/>
        <w:t xml:space="preserve">2 532 призера; 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муниципальный этап - 2 605 участников 7 - 11 классов, </w:t>
        <w:br/>
        <w:t xml:space="preserve">из них - 97 победителей, 562 призера; региональный этап - </w:t>
        <w:br/>
        <w:t xml:space="preserve">228 участников, из них 9 победителей, 52 призера; заключительный этап - 7 участников, из них - 1 победитель, 4 призера.</w:t>
      </w:r>
      <w:r>
        <w:rPr>
          <w:rFonts w:ascii="Liberation Sans" w:hAnsi="Liberation Sans" w:cs="Liberation Sans"/>
          <w:color w:val="000000"/>
          <w:sz w:val="28"/>
          <w:szCs w:val="28"/>
          <w:highlight w:val="lightGray"/>
        </w:rPr>
      </w:r>
      <w:r/>
    </w:p>
    <w:p>
      <w:pPr>
        <w:pStyle w:val="1130"/>
        <w:ind w:left="20" w:firstLine="720"/>
        <w:jc w:val="both"/>
        <w:spacing w:before="0" w:beforeAutospacing="0" w:after="0" w:afterAutospacing="0" w:line="240" w:lineRule="auto"/>
        <w:shd w:val="clear" w:color="auto" w:fill="ffffff"/>
        <w:widowControl w:val="off"/>
      </w:pPr>
      <w:r>
        <w:rPr>
          <w:rFonts w:ascii="Liberation Sans" w:hAnsi="Liberation Sans" w:cs="Liberation Sans"/>
          <w:color w:val="000000"/>
          <w:sz w:val="28"/>
          <w:szCs w:val="28"/>
        </w:rPr>
        <w:t xml:space="preserve">В рамках регионального проекта «Современная школа» (национальный проект «Образование»).</w:t>
      </w:r>
      <w:r>
        <w:rPr>
          <w:rFonts w:ascii="Liberation Sans" w:hAnsi="Liberation Sans" w:cs="Liberation Sans"/>
          <w:color w:val="000000"/>
          <w:sz w:val="28"/>
          <w:szCs w:val="28"/>
          <w:highlight w:val="white"/>
          <w:shd w:val="clear" w:color="auto" w:fill="ffffff"/>
        </w:rPr>
      </w:r>
      <w:r/>
    </w:p>
    <w:p>
      <w:pPr>
        <w:ind w:firstLine="708"/>
        <w:jc w:val="both"/>
        <w:spacing w:after="0" w:afterAutospacing="0" w:line="240" w:lineRule="auto"/>
        <w:shd w:val="clear" w:color="ffffff" w:themeColor="background1" w:fill="ffffff" w:themeFill="background1"/>
        <w:rPr>
          <w:highlight w:val="none"/>
        </w:rPr>
      </w:pPr>
      <w:r>
        <w:rPr>
          <w:rFonts w:ascii="Liberation Sans" w:hAnsi="Liberation Sans" w:cs="Liberation Sans"/>
          <w:color w:val="000000"/>
          <w:sz w:val="28"/>
          <w:szCs w:val="28"/>
        </w:rPr>
        <w:t xml:space="preserve">В </w:t>
      </w:r>
      <w:r>
        <w:rPr>
          <w:rFonts w:ascii="Liberation Sans" w:hAnsi="Liberation Sans" w:cs="Liberation Sans"/>
          <w:bCs/>
          <w:sz w:val="28"/>
          <w:szCs w:val="28"/>
        </w:rPr>
        <w:t xml:space="preserve">МБОУС(К)Ш № 18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 продолжена реализация проекта «Профессия без границ». В 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VIII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 Региональном чемпионате по профессиональному мастерству среди лиц с ОВЗ «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Абилимпикс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» приняли участие </w:t>
        <w:br/>
        <w:t xml:space="preserve">13 учеников 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МБОУС(К)Ш № 18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, МБОУ «СШ № 1», МБОУ «СШ № 17», МБОУ «Арктический лицей», МБОУ СШ № 11, МБОУ «СШ 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br/>
        <w:t xml:space="preserve">им. К.А. Литвинова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» в компетенциях «Брошюровка и переплётное дело», «Поварское дело», «Вязание крючком», «Ди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  <w:shd w:val="clear" w:color="auto" w:fill="ffffff"/>
        </w:rPr>
        <w:t xml:space="preserve">зайн плаката», «Туризм».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 По итогам участия 5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обучающихся 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МБОУС(К)Ш № 18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стали победителями и призерами: в компетенции «Переплетное дело» -</w:t>
        <w:br/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1 победитель, 2 призера, в компетенции «Поварское дело» -</w:t>
        <w:br/>
        <w:t xml:space="preserve">1 победитель, 1 призер.</w:t>
      </w:r>
      <w:r>
        <w:rPr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rPr>
          <w:highlight w:val="none"/>
        </w:rPr>
      </w:pP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На базе МБОУ Гимназия продолжена работа платформ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ы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 онлайн-обучения «Открытая школа Арктики»: обучающиеся 10 - 11 классов изучают предметы «Индивидуальный проект», астрономия, ОБЖ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br/>
        <w:t xml:space="preserve">с применением электронного обучения и дистанционных образовательных технологий. </w:t>
      </w:r>
      <w:r>
        <w:rPr>
          <w:highlight w:val="none"/>
        </w:rPr>
      </w:r>
      <w:r/>
    </w:p>
    <w:p>
      <w:pPr>
        <w:contextualSpacing w:val="0"/>
        <w:ind w:firstLine="708"/>
        <w:jc w:val="both"/>
        <w:spacing w:after="0" w:afterAutospacing="0" w:line="240" w:lineRule="auto"/>
        <w:rPr>
          <w:highlight w:val="none"/>
        </w:rPr>
        <w:suppressLineNumbers w:val="0"/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 базе МАОУ СОШ № 3 продолжена работа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структурного подразделения по организации сетевого взаимодействия в рамках реализации общеобразовательных программ. Педагоги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br/>
        <w:t xml:space="preserve">5 обще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  <w:shd w:val="clear" w:color="ffffff" w:themeColor="background1" w:fill="ffffff" w:themeFill="background1"/>
        </w:rPr>
        <w:t xml:space="preserve">образовательных организаций (МБОУ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Гимназия, МАОУ «СШ </w:t>
      </w:r>
      <w:r>
        <w:rPr>
          <w:rFonts w:ascii="Liberation Sans" w:hAnsi="Liberation Sans" w:cs="Liberation Sans"/>
          <w:color w:val="000000"/>
          <w:spacing w:val="0"/>
          <w:sz w:val="28"/>
          <w:szCs w:val="28"/>
          <w:highlight w:val="none"/>
        </w:rPr>
        <w:t xml:space="preserve">«Перспектива», МАОУ СОШ № 3, МБОУ «СШ № 5», МБОУ </w:t>
      </w:r>
      <w:r>
        <w:rPr>
          <w:rFonts w:ascii="Liberation Sans" w:hAnsi="Liberation Sans" w:cs="Liberation Sans"/>
          <w:color w:val="000000"/>
          <w:spacing w:val="-6"/>
          <w:sz w:val="28"/>
          <w:szCs w:val="28"/>
          <w:highlight w:val="none"/>
        </w:rPr>
        <w:t xml:space="preserve">«Арктический лицей») реализуют программы</w:t>
      </w:r>
      <w:r>
        <w:rPr>
          <w:rFonts w:ascii="Liberation Sans" w:hAnsi="Liberation Sans" w:cs="Liberation Sans"/>
          <w:color w:val="000000"/>
          <w:spacing w:val="-6"/>
          <w:sz w:val="28"/>
          <w:szCs w:val="28"/>
          <w:highlight w:val="none"/>
        </w:rPr>
        <w:t xml:space="preserve"> для высокомотивированных</w:t>
      </w:r>
      <w:r>
        <w:rPr>
          <w:rFonts w:ascii="Liberation Sans" w:hAnsi="Liberation Sans" w:cs="Liberation Sans"/>
          <w:color w:val="000000"/>
          <w:spacing w:val="-6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/>
          <w:spacing w:val="0"/>
          <w:sz w:val="28"/>
          <w:szCs w:val="28"/>
          <w:highlight w:val="none"/>
        </w:rPr>
        <w:t xml:space="preserve">детей по физике, математике, химии, информатике и ИКТ, биологии, истории, обществознанию. Всего </w:t>
      </w:r>
      <w:r>
        <w:rPr>
          <w:rFonts w:ascii="Liberation Sans" w:hAnsi="Liberation Sans" w:cs="Liberation Sans"/>
          <w:color w:val="000000"/>
          <w:spacing w:val="0"/>
          <w:sz w:val="28"/>
          <w:szCs w:val="28"/>
          <w:highlight w:val="none"/>
        </w:rPr>
        <w:t xml:space="preserve">в 2023/20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24 учебном году 319 обучающихся осваивают общеобразовательные программы в сетевой форме (2022/2023 учебный год - 261).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ffffff"/>
        <w:rPr>
          <w:rFonts w:ascii="Liberation Sans" w:hAnsi="Liberation Sans" w:cs="Liberation Sans"/>
          <w:color w:val="000000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В 2023 году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в статусе «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билингвальная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 школа»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 осуществляли деятельность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МБОУ Гимназия,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 МАОУ «Прогимназия «Центр детства» (присоединилось к проекту в 2023 году).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По данной системе обуча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ю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тс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13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человек (2022/2023 учебный год - 43 человека). Для 9 обучающихся 10-х классов и педагога МБОУ Гимназии была организована недельная стажировка в ГАОУ «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Полилингвальный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 комплекс «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Адымнар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 - путь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br/>
        <w:t xml:space="preserve">к знаниям и согласию», г. Казань. 2 педагога прошли стажировку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в городе Катманду (Непал) по программе «Современные методики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билингвального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 обучения в межкультурном измерении Востока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и Запада: опыт Неп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ала».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rPr>
          <w:highlight w:val="none"/>
        </w:rPr>
      </w:pP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Для изучения предметной области «Технология»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направлены средства за счет учебных расходов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в расчете 1 000 руб. </w:t>
        <w:br/>
        <w:t xml:space="preserve">на 1 обучающегося.</w:t>
      </w:r>
      <w:r>
        <w:rPr>
          <w:highlight w:val="none"/>
        </w:rPr>
      </w:r>
      <w:r/>
    </w:p>
    <w:p>
      <w:pPr>
        <w:pStyle w:val="1180"/>
        <w:ind w:left="20" w:right="20" w:firstLine="720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color w:val="000000" w:themeColor="text1"/>
          <w:sz w:val="28"/>
          <w:szCs w:val="28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Продолжено поэтапное проведение работ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 обновлению архитектуры зданий, созданию современной</w:t>
      </w:r>
      <w:r>
        <w:rPr>
          <w:rFonts w:ascii="Liberation Sans" w:hAnsi="Liberation Sans" w:cs="Liberation Sans"/>
          <w:i/>
          <w:iCs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образовательной среды и благоустройству территорий. В 2023 году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без прекращения образовательного проц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есса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велись работы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 объектах МБОУ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«СШ № 1», МБОУ «СШ № 7», МБОУ «СШ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им. Д.И.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Коротчаева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», МБОУ «СШ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им. К.А. Литвинова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»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Срок выполнения работ - 2025 год.</w:t>
      </w:r>
      <w:r>
        <w:rPr>
          <w:rFonts w:ascii="Liberation Sans" w:hAnsi="Liberation Sans" w:cs="Liberation Sans"/>
          <w:color w:val="000000" w:themeColor="text1"/>
          <w:sz w:val="28"/>
          <w:szCs w:val="28"/>
          <w14:ligatures w14:val="none"/>
        </w:rPr>
      </w:r>
      <w:r/>
    </w:p>
    <w:p>
      <w:pPr>
        <w:pStyle w:val="1122"/>
        <w:ind w:left="0" w:firstLine="708"/>
        <w:jc w:val="both"/>
        <w:spacing w:after="0" w:afterAutospacing="0" w:line="240" w:lineRule="auto"/>
      </w:pPr>
      <w:r>
        <w:rPr>
          <w:rFonts w:ascii="Liberation Sans" w:hAnsi="Liberation Sans" w:cs="Liberation Sans"/>
          <w:color w:val="000000"/>
          <w:sz w:val="28"/>
          <w:szCs w:val="28"/>
        </w:rPr>
        <w:t xml:space="preserve">В рамках реализации мероприятия «Поддержка семей, имеющих детей» </w:t>
      </w:r>
      <w:r>
        <w:rPr>
          <w:rFonts w:ascii="Liberation Sans" w:hAnsi="Liberation Sans" w:cs="Liberation Sans"/>
          <w:sz w:val="28"/>
          <w:szCs w:val="28"/>
        </w:rPr>
        <w:t xml:space="preserve">в 26 образовательных организациях, </w:t>
      </w:r>
      <w:r>
        <w:rPr>
          <w:rFonts w:ascii="Liberation Sans" w:hAnsi="Liberation Sans" w:cs="Liberation Sans"/>
          <w:sz w:val="28"/>
          <w:szCs w:val="28"/>
        </w:rPr>
        <w:t xml:space="preserve">в Территориально-психолого-медико-педагогической комиссии, Службе сопровождения замещающих семей функционирует служба оказания услуг психолого-педагогической, методической </w:t>
      </w:r>
      <w:r>
        <w:rPr>
          <w:rFonts w:ascii="Liberation Sans" w:hAnsi="Liberation Sans" w:cs="Liberation Sans"/>
          <w:sz w:val="28"/>
          <w:szCs w:val="28"/>
        </w:rPr>
        <w:t xml:space="preserve">и консультативной помощи родителям (законным представителям) детей, а также гражданам, желающим принять на воспитание детей, оставшихся без попечения родителей. </w:t>
        <w:br/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</w:rPr>
        <w:t xml:space="preserve">В 2023 году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</w:rPr>
        <w:t xml:space="preserve">специалистами служб оказано 3 367 услуг,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в дистанционной форме - 933, выездных консультаций - 500.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</w:pPr>
      <w:r>
        <w:rPr>
          <w:rFonts w:ascii="Liberation Sans" w:hAnsi="Liberation Sans" w:cs="Liberation Sans"/>
          <w:sz w:val="28"/>
          <w:szCs w:val="28"/>
        </w:rPr>
        <w:t xml:space="preserve">В рамках Года педагога и наставник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проведена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рабо</w:t>
      </w:r>
      <w:r>
        <w:rPr>
          <w:rFonts w:ascii="Liberation Sans" w:hAnsi="Liberation Sans" w:cs="Liberation Sans"/>
          <w:sz w:val="28"/>
          <w:szCs w:val="28"/>
        </w:rPr>
        <w:t xml:space="preserve">та </w:t>
      </w:r>
      <w:r>
        <w:rPr>
          <w:rFonts w:ascii="Liberation Sans" w:hAnsi="Liberation Sans" w:cs="Liberation Sans"/>
          <w:sz w:val="28"/>
          <w:szCs w:val="28"/>
        </w:rPr>
        <w:br/>
        <w:t xml:space="preserve">по поддержке и развитию системы наставничества в образовательных организациях. </w:t>
      </w:r>
      <w:r>
        <w:rPr>
          <w:rFonts w:ascii="Liberation Sans" w:hAnsi="Liberation Sans" w:cs="Liberation Sans"/>
          <w:bCs/>
          <w:sz w:val="28"/>
          <w:szCs w:val="28"/>
        </w:rPr>
        <w:t xml:space="preserve">Во всех образовательных организациях действует модель 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наставничества,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разработаны положения о модели наставничества, утверждены приказы, закрепляющие пары «наставник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 -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наставляемый». Работа городской педагогической мастерской 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«Наставничество - тренд образовательной современности: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теория и практика»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организованной на базе МБОУ СШ № 16, посвящена систематизации практик наставничества, а также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их распространению. Наи</w:t>
      </w:r>
      <w:r>
        <w:rPr>
          <w:rFonts w:ascii="Liberation Sans" w:hAnsi="Liberation Sans" w:cs="Liberation Sans"/>
          <w:sz w:val="28"/>
          <w:szCs w:val="28"/>
        </w:rPr>
        <w:t xml:space="preserve">более эффективно институциональные модели наставничества действуют в МАОУ «СШ «Перспектива», МБОУ «СШ № 5», МБОУ «СШ № 17».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50"/>
        <w:ind w:firstLine="709"/>
        <w:spacing w:after="0" w:afterAutospacing="0" w:line="240" w:lineRule="auto"/>
        <w:rPr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Продолжена традиция сотрудничества с экспертами в области образования. 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В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 семинарах, проводимых экспертами, приняли участие 272 педагога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из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 14 образовательных организаций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. 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течение 2022/2023 учебного года в региональном тестировании на выявление профессиональных дефицитов</w:t>
      </w:r>
      <w:r>
        <w:rPr>
          <w:rFonts w:ascii="Liberation Sans" w:hAnsi="Liberation Sans" w:cs="Liberation Sans"/>
          <w:sz w:val="28"/>
          <w:szCs w:val="28"/>
        </w:rPr>
        <w:t xml:space="preserve"> приняли участие </w:t>
        <w:br/>
        <w:t xml:space="preserve">110 учителей (11%), в рамках реализации проекта «Школа </w:t>
      </w:r>
      <w:r>
        <w:rPr>
          <w:rFonts w:ascii="Liberation Sans" w:hAnsi="Liberation Sans" w:cs="Liberation Sans"/>
          <w:sz w:val="28"/>
          <w:szCs w:val="28"/>
        </w:rPr>
        <w:t xml:space="preserve">Минпросвещения</w:t>
      </w:r>
      <w:r>
        <w:rPr>
          <w:rFonts w:ascii="Liberation Sans" w:hAnsi="Liberation Sans" w:cs="Liberation Sans"/>
          <w:sz w:val="28"/>
          <w:szCs w:val="28"/>
        </w:rPr>
        <w:t xml:space="preserve"> России» </w:t>
      </w:r>
      <w:r>
        <w:rPr>
          <w:rFonts w:ascii="Liberation Sans" w:hAnsi="Liberation Sans" w:cs="Liberation Sans"/>
          <w:sz w:val="28"/>
          <w:szCs w:val="28"/>
        </w:rPr>
        <w:t xml:space="preserve">в процедуре самодиагностики на платформе </w:t>
      </w:r>
      <w:r>
        <w:rPr>
          <w:rFonts w:ascii="Liberation Sans" w:hAnsi="Liberation Sans" w:cs="Liberation Sans"/>
          <w:sz w:val="28"/>
          <w:szCs w:val="28"/>
        </w:rPr>
        <w:t xml:space="preserve">moodle.ЯНАО -</w:t>
      </w:r>
      <w:r>
        <w:rPr>
          <w:rFonts w:ascii="Liberation Sans" w:hAnsi="Liberation Sans" w:cs="Liberation Sans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515 человек (49%). </w:t>
      </w:r>
      <w:r>
        <w:rPr>
          <w:rFonts w:ascii="Liberation Sans" w:hAnsi="Liberation Sans" w:cs="Liberation Sans"/>
          <w:sz w:val="28"/>
          <w:szCs w:val="28"/>
        </w:rPr>
        <w:t xml:space="preserve">В курсовых мероприятиях </w:t>
        <w:br/>
        <w:t xml:space="preserve">в 2023 году приняли участие все категории педагогических работников, охвачено </w:t>
      </w:r>
      <w:r>
        <w:rPr>
          <w:rFonts w:ascii="Liberation Sans" w:hAnsi="Liberation Sans" w:eastAsia="Calibri" w:cs="Liberation Sans"/>
          <w:sz w:val="28"/>
          <w:szCs w:val="28"/>
        </w:rPr>
        <w:t xml:space="preserve">1 064 человека.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</w:pPr>
      <w:r>
        <w:rPr>
          <w:rFonts w:ascii="Liberation Sans" w:hAnsi="Liberation Sans" w:cs="Liberation Sans"/>
          <w:sz w:val="28"/>
          <w:szCs w:val="28"/>
          <w:shd w:val="clear" w:color="auto" w:fill="ffffff"/>
        </w:rPr>
        <w:t xml:space="preserve">27 педагогов приняли участие в </w:t>
      </w:r>
      <w:r>
        <w:rPr>
          <w:rFonts w:ascii="Liberation Sans" w:hAnsi="Liberation Sans" w:cs="Liberation Sans"/>
          <w:sz w:val="28"/>
          <w:szCs w:val="28"/>
        </w:rPr>
        <w:t xml:space="preserve">стажировочных</w:t>
      </w:r>
      <w:r>
        <w:rPr>
          <w:rFonts w:ascii="Liberation Sans" w:hAnsi="Liberation Sans" w:cs="Liberation Sans"/>
          <w:sz w:val="28"/>
          <w:szCs w:val="28"/>
        </w:rPr>
        <w:t xml:space="preserve"> программах: «Организация проектной деятельности в условиях общего </w:t>
      </w:r>
      <w:r>
        <w:rPr>
          <w:rFonts w:ascii="Liberation Sans" w:hAnsi="Liberation Sans" w:cs="Liberation Sans"/>
          <w:sz w:val="28"/>
          <w:szCs w:val="28"/>
        </w:rPr>
        <w:br/>
        <w:t xml:space="preserve">и дополнительного образования» (ВДЦ «Океан», Приморский край, г. Владивосток), «И</w:t>
      </w:r>
      <w:r>
        <w:rPr>
          <w:rFonts w:ascii="Liberation Sans" w:hAnsi="Liberation Sans" w:cs="Liberation Sans"/>
          <w:sz w:val="28"/>
          <w:szCs w:val="28"/>
        </w:rPr>
        <w:t xml:space="preserve">стория, литература и духовная культура Востока» (ФГБОУВПО «Санкт-Петербургский государственный университет»), «Китайский вектор: традиции и инновации внедрения восточного дискурса в российскую школу» (г. Пекин и другие города Китая), </w:t>
      </w:r>
      <w:r>
        <w:rPr>
          <w:rFonts w:ascii="Liberation Sans" w:hAnsi="Liberation Sans" w:cs="Liberation Sans"/>
          <w:sz w:val="28"/>
          <w:szCs w:val="28"/>
        </w:rPr>
        <w:t xml:space="preserve">учебно-тренировочные сборы по олимпиадной истории (г. Псков) и </w:t>
      </w:r>
      <w:r>
        <w:rPr>
          <w:rFonts w:ascii="Liberation Sans" w:hAnsi="Liberation Sans" w:cs="Liberation Sans"/>
          <w:sz w:val="28"/>
          <w:szCs w:val="28"/>
        </w:rPr>
        <w:t xml:space="preserve">стажировочные</w:t>
      </w:r>
      <w:r>
        <w:rPr>
          <w:rFonts w:ascii="Liberation Sans" w:hAnsi="Liberation Sans" w:cs="Liberation Sans"/>
          <w:sz w:val="28"/>
          <w:szCs w:val="28"/>
        </w:rPr>
        <w:t xml:space="preserve"> сессии на базе Образовательного центра «Сириус» </w:t>
        <w:br/>
        <w:t xml:space="preserve">по математике и химии и др.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sz w:val="28"/>
          <w:szCs w:val="28"/>
        </w:rPr>
        <w:t xml:space="preserve">В целях </w:t>
      </w:r>
      <w:r>
        <w:rPr>
          <w:rFonts w:ascii="Liberation Sans" w:hAnsi="Liberation Sans" w:cs="Liberation Sans"/>
          <w:sz w:val="28"/>
          <w:szCs w:val="28"/>
        </w:rPr>
        <w:t xml:space="preserve">выявления потенциально талантливых руководителей, распространения инновационного управленческого опыта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в январе 2023 года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проведен </w:t>
      </w:r>
      <w:r>
        <w:rPr>
          <w:rFonts w:ascii="Liberation Sans" w:hAnsi="Liberation Sans" w:cs="Liberation Sans"/>
          <w:sz w:val="28"/>
          <w:szCs w:val="28"/>
        </w:rPr>
        <w:t xml:space="preserve">муниципальный к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онкурс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</w:rPr>
        <w:t xml:space="preserve"> </w:t>
      </w:r>
      <w:r>
        <w:rPr>
          <w:rStyle w:val="1126"/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  <w:t xml:space="preserve">«Но</w:t>
      </w:r>
      <w:r>
        <w:rPr>
          <w:rStyle w:val="1126"/>
          <w:rFonts w:ascii="Liberation Sans" w:hAnsi="Liberation Sans" w:cs="Liberation Sans"/>
          <w:b w:val="0"/>
          <w:bCs w:val="0"/>
          <w:sz w:val="28"/>
          <w:szCs w:val="28"/>
        </w:rPr>
        <w:t xml:space="preserve">вый руководитель образования Нового»</w:t>
      </w:r>
      <w:r>
        <w:rPr>
          <w:rFonts w:ascii="Liberation Sans" w:hAnsi="Liberation Sans" w:cs="Liberation Sans"/>
          <w:sz w:val="28"/>
          <w:szCs w:val="28"/>
        </w:rPr>
        <w:t xml:space="preserve">. В конкурсе приняли участие 22 педагога </w:t>
        <w:br/>
        <w:t xml:space="preserve">из 22 о</w:t>
      </w:r>
      <w:r>
        <w:rPr>
          <w:rFonts w:ascii="Liberation Sans" w:hAnsi="Liberation Sans" w:cs="Liberation Sans"/>
          <w:sz w:val="28"/>
          <w:szCs w:val="28"/>
        </w:rPr>
        <w:t xml:space="preserve">бразовательных организаций</w:t>
      </w:r>
      <w:r>
        <w:rPr>
          <w:rFonts w:ascii="Liberation Sans" w:hAnsi="Liberation Sans" w:cs="Liberation Sans"/>
          <w:sz w:val="28"/>
          <w:szCs w:val="28"/>
        </w:rPr>
        <w:t xml:space="preserve">,</w:t>
      </w:r>
      <w:r>
        <w:rPr>
          <w:rFonts w:ascii="Liberation Sans" w:hAnsi="Liberation Sans" w:cs="Liberation Sans"/>
          <w:sz w:val="28"/>
          <w:szCs w:val="28"/>
        </w:rPr>
        <w:t xml:space="preserve"> 11</w:t>
      </w:r>
      <w:r>
        <w:rPr>
          <w:rFonts w:ascii="Liberation Sans" w:hAnsi="Liberation Sans" w:cs="Liberation Sans"/>
          <w:sz w:val="28"/>
          <w:szCs w:val="28"/>
        </w:rPr>
        <w:t xml:space="preserve"> стали победителями.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20" w:right="20" w:firstLine="720"/>
        <w:jc w:val="both"/>
        <w:spacing w:after="0" w:afterAutospacing="0" w:line="240" w:lineRule="auto"/>
        <w:widowControl w:val="off"/>
      </w:pPr>
      <w:r>
        <w:rPr>
          <w:rFonts w:ascii="Liberation Sans" w:hAnsi="Liberation Sans" w:cs="Liberation Sans"/>
          <w:sz w:val="28"/>
          <w:szCs w:val="28"/>
        </w:rPr>
        <w:t xml:space="preserve">В муниципальной системе образования работают 20,4% молодых педагогов в возрасте до 35 лет. Притоку молодых кадров способствует реализация региональных проектов «Новый учитель Ямала», </w:t>
      </w:r>
      <w:r>
        <w:rPr>
          <w:rFonts w:ascii="Liberation Sans" w:hAnsi="Liberation Sans" w:cs="Liberation Sans"/>
          <w:sz w:val="28"/>
          <w:szCs w:val="28"/>
        </w:rPr>
        <w:br/>
        <w:t xml:space="preserve">«Я - воспитатель Ямала». </w:t>
      </w:r>
      <w:r>
        <w:rPr>
          <w:rFonts w:ascii="Liberation Sans" w:hAnsi="Liberation Sans" w:cs="Liberation Sans"/>
          <w:sz w:val="28"/>
          <w:szCs w:val="28"/>
        </w:rPr>
        <w:t xml:space="preserve">В общеобразовательных организациях работают 78 педагогов, участвовавших в этих проектах, из которых </w:t>
        <w:br/>
        <w:t xml:space="preserve">10</w:t>
      </w:r>
      <w:r>
        <w:rPr>
          <w:rFonts w:ascii="Liberation Sans" w:hAnsi="Liberation Sans" w:cs="Liberation Sans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  <w:shd w:val="clear" w:color="auto" w:fill="ffffff" w:themeFill="background1"/>
        </w:rPr>
        <w:t xml:space="preserve">приступили </w:t>
      </w:r>
      <w:r>
        <w:rPr>
          <w:rFonts w:ascii="Liberation Sans" w:hAnsi="Liberation Sans" w:cs="Liberation Sans"/>
          <w:sz w:val="28"/>
          <w:szCs w:val="28"/>
          <w:shd w:val="clear" w:color="auto" w:fill="ffffff" w:themeFill="background1"/>
        </w:rPr>
        <w:t xml:space="preserve">к работе </w:t>
      </w:r>
      <w:r>
        <w:rPr>
          <w:rFonts w:ascii="Liberation Sans" w:hAnsi="Liberation Sans" w:cs="Liberation Sans"/>
          <w:sz w:val="28"/>
          <w:szCs w:val="28"/>
          <w:shd w:val="clear" w:color="auto" w:fill="ffffff" w:themeFill="background1"/>
        </w:rPr>
        <w:t xml:space="preserve">в сентябре 2023 года</w:t>
      </w:r>
      <w:r>
        <w:rPr>
          <w:rFonts w:ascii="Liberation Sans" w:hAnsi="Liberation Sans" w:cs="Liberation Sans"/>
          <w:sz w:val="28"/>
          <w:szCs w:val="28"/>
          <w:shd w:val="clear" w:color="auto" w:fill="ffffff" w:themeFill="background1"/>
        </w:rPr>
        <w:t xml:space="preserve">.</w:t>
      </w:r>
      <w:r>
        <w:rPr>
          <w:rFonts w:ascii="Liberation Sans" w:hAnsi="Liberation Sans" w:cs="Liberation Sans"/>
          <w:sz w:val="26"/>
          <w:szCs w:val="26"/>
        </w:rPr>
      </w:r>
      <w:r/>
    </w:p>
    <w:p>
      <w:pPr>
        <w:pStyle w:val="1122"/>
        <w:ind w:left="0" w:firstLine="709"/>
        <w:jc w:val="both"/>
        <w:spacing w:after="0" w:afterAutospacing="0" w:line="240" w:lineRule="auto"/>
        <w:shd w:val="clear" w:color="ffffff" w:themeColor="background1" w:fill="ffffff" w:themeFill="background1"/>
      </w:pPr>
      <w:r>
        <w:rPr>
          <w:rFonts w:ascii="Liberation Sans" w:hAnsi="Liberation Sans" w:cs="Liberation Sans"/>
          <w:color w:val="000000"/>
          <w:spacing w:val="4"/>
          <w:sz w:val="28"/>
          <w:szCs w:val="28"/>
          <w:lang w:eastAsia="en-US"/>
        </w:rPr>
        <w:t xml:space="preserve">В рамках регионального проекта «Успех каждого ребенка» (национальный проект «Образование»).</w:t>
      </w:r>
      <w:r>
        <w:rPr>
          <w:rFonts w:ascii="Liberation Sans" w:hAnsi="Liberation Sans" w:eastAsia="Liberation Serif" w:cs="Liberation Sans"/>
          <w:highlight w:val="lightGray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bCs/>
          <w:sz w:val="28"/>
          <w:szCs w:val="28"/>
        </w:rPr>
        <w:t xml:space="preserve">Действенным стимулом и показателем качественной подготовки обучающихся во Всероссийской олимпиаде школьников является </w:t>
      </w:r>
      <w:r>
        <w:rPr>
          <w:rFonts w:ascii="Liberation Sans" w:hAnsi="Liberation Sans" w:cs="Liberation Sans"/>
          <w:bCs/>
          <w:sz w:val="28"/>
          <w:szCs w:val="28"/>
        </w:rPr>
        <w:br/>
        <w:t xml:space="preserve">их участие в интенсивных профильных сменах, которые организуются </w:t>
      </w:r>
      <w:hyperlink r:id="rId59" w:tooltip="https://do.yanao.ru/about/suborg/504/" w:history="1">
        <w:r>
          <w:rPr>
            <w:rStyle w:val="1100"/>
            <w:rFonts w:ascii="Liberation Sans" w:hAnsi="Liberation Sans" w:cs="Liberation Sans"/>
            <w:bCs/>
            <w:color w:val="auto"/>
            <w:sz w:val="28"/>
            <w:szCs w:val="28"/>
            <w:u w:val="none"/>
          </w:rPr>
          <w:t xml:space="preserve">ГАУ ЯНАО «Центр выявления и поддержки одаренных детей в Ямало-Ненецком автономном округе»</w:t>
        </w:r>
      </w:hyperlink>
      <w:r>
        <w:rPr>
          <w:rFonts w:ascii="Liberation Sans" w:hAnsi="Liberation Sans" w:cs="Liberation Sans"/>
          <w:bCs/>
          <w:sz w:val="28"/>
          <w:szCs w:val="28"/>
        </w:rPr>
        <w:t xml:space="preserve">. В целях поддержки и развития физико-математического и IT-образования среди одаренных детей </w:t>
      </w:r>
      <w:r>
        <w:rPr>
          <w:rFonts w:ascii="Liberation Sans" w:hAnsi="Liberation Sans" w:cs="Liberation Sans"/>
          <w:bCs/>
          <w:sz w:val="28"/>
          <w:szCs w:val="28"/>
        </w:rPr>
        <w:br/>
        <w:t xml:space="preserve">54 обучающихся приняли участие в интенсивных профильных сменах по робототехнике, информационной безопасности, </w:t>
      </w:r>
      <w:r>
        <w:rPr>
          <w:rFonts w:ascii="Liberation Sans" w:hAnsi="Liberation Sans" w:cs="Liberation Sans"/>
          <w:bCs/>
          <w:sz w:val="28"/>
          <w:szCs w:val="28"/>
          <w:lang w:val="en-US"/>
        </w:rPr>
        <w:t xml:space="preserve">IT</w:t>
      </w:r>
      <w:r>
        <w:rPr>
          <w:rFonts w:ascii="Liberation Sans" w:hAnsi="Liberation Sans" w:cs="Liberation Sans"/>
          <w:bCs/>
          <w:sz w:val="28"/>
          <w:szCs w:val="28"/>
        </w:rPr>
        <w:t xml:space="preserve"> технологиям, спутниковому мониторингу, геофизике, биоинженерии, математике. География смен выходит далеко за пределы ЯНАО и включает города Тюмень, </w:t>
      </w:r>
      <w:r>
        <w:rPr>
          <w:rFonts w:ascii="Liberation Sans" w:hAnsi="Liberation Sans" w:cs="Liberation Sans"/>
          <w:bCs/>
          <w:sz w:val="28"/>
          <w:szCs w:val="28"/>
        </w:rPr>
        <w:t xml:space="preserve">Омск,</w:t>
      </w:r>
      <w:r>
        <w:rPr>
          <w:rFonts w:ascii="Liberation Sans" w:hAnsi="Liberation Sans" w:cs="Liberation Sans"/>
          <w:bCs/>
          <w:sz w:val="28"/>
          <w:szCs w:val="28"/>
        </w:rPr>
        <w:t xml:space="preserve"> Москв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 и М</w:t>
      </w:r>
      <w:r>
        <w:rPr>
          <w:rFonts w:ascii="Liberation Sans" w:hAnsi="Liberation Sans" w:cs="Liberation Sans"/>
          <w:bCs/>
          <w:sz w:val="28"/>
          <w:szCs w:val="28"/>
        </w:rPr>
        <w:t xml:space="preserve">осковскую область. 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bCs/>
          <w:sz w:val="28"/>
          <w:szCs w:val="28"/>
        </w:rPr>
        <w:t xml:space="preserve">С</w:t>
      </w:r>
      <w:r>
        <w:rPr>
          <w:rFonts w:ascii="Liberation Sans" w:hAnsi="Liberation Sans" w:cs="Liberation Sans"/>
          <w:sz w:val="28"/>
          <w:szCs w:val="28"/>
        </w:rPr>
        <w:t xml:space="preserve">тановится </w:t>
      </w:r>
      <w:r>
        <w:rPr>
          <w:rFonts w:ascii="Liberation Sans" w:hAnsi="Liberation Sans" w:cs="Liberation Sans"/>
          <w:sz w:val="28"/>
          <w:szCs w:val="28"/>
        </w:rPr>
        <w:t xml:space="preserve">традиционной практика организации профильных смен на базе муниципальных образовательных организаций. </w:t>
        <w:br/>
      </w:r>
      <w:r>
        <w:rPr>
          <w:rFonts w:ascii="Liberation Sans" w:hAnsi="Liberation Sans" w:cs="Liberation Sans"/>
          <w:sz w:val="28"/>
          <w:szCs w:val="28"/>
        </w:rPr>
        <w:t xml:space="preserve">17 </w:t>
      </w:r>
      <w:r>
        <w:rPr>
          <w:rFonts w:ascii="Liberation Sans" w:hAnsi="Liberation Sans" w:cs="Liberation Sans"/>
          <w:sz w:val="28"/>
          <w:szCs w:val="28"/>
        </w:rPr>
        <w:t xml:space="preserve">обучающихся</w:t>
      </w:r>
      <w:r>
        <w:rPr>
          <w:rFonts w:ascii="Liberation Sans" w:hAnsi="Liberation Sans" w:cs="Liberation Sans"/>
          <w:sz w:val="28"/>
          <w:szCs w:val="28"/>
        </w:rPr>
        <w:t xml:space="preserve"> приняли участие</w:t>
      </w:r>
      <w:r>
        <w:rPr>
          <w:rFonts w:ascii="Liberation Sans" w:hAnsi="Liberation Sans" w:cs="Liberation Sans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в интенсивной профильной смене «</w:t>
      </w:r>
      <w:r>
        <w:rPr>
          <w:rFonts w:ascii="Liberation Sans" w:hAnsi="Liberation Sans" w:cs="Liberation Sans"/>
          <w:sz w:val="28"/>
          <w:szCs w:val="28"/>
        </w:rPr>
        <w:t xml:space="preserve">Арктик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перативный спутниковый мониторинг», проведенной </w:t>
        <w:br/>
        <w:t xml:space="preserve">на базе МБОУ «СШ № 17»,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28 обучающихся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интенсивной профильной смене </w:t>
      </w:r>
      <w:r>
        <w:rPr>
          <w:rFonts w:ascii="Liberation Sans" w:hAnsi="Liberation Sans" w:cs="Liberation Sans"/>
          <w:sz w:val="28"/>
          <w:szCs w:val="28"/>
        </w:rPr>
        <w:t xml:space="preserve">«</w:t>
      </w:r>
      <w:r>
        <w:rPr>
          <w:rFonts w:ascii="Liberation Sans" w:hAnsi="Liberation Sans" w:cs="Liberation Sans"/>
          <w:sz w:val="28"/>
          <w:szCs w:val="28"/>
        </w:rPr>
        <w:t xml:space="preserve">АрктикУм</w:t>
      </w:r>
      <w:r>
        <w:rPr>
          <w:rFonts w:ascii="Liberation Sans" w:hAnsi="Liberation Sans" w:cs="Liberation Sans"/>
          <w:sz w:val="28"/>
          <w:szCs w:val="28"/>
        </w:rPr>
        <w:t xml:space="preserve"> - олимпиадная математика», проведенной на базе МАОУ СОШ № 3. </w:t>
      </w:r>
      <w:r>
        <w:rPr>
          <w:rFonts w:ascii="Liberation Sans" w:hAnsi="Liberation Sans" w:cs="Liberation Sans" w:eastAsiaTheme="minorEastAsia"/>
          <w:sz w:val="28"/>
          <w:szCs w:val="28"/>
        </w:rPr>
        <w:t xml:space="preserve">43 обучающихся</w:t>
      </w:r>
      <w:r>
        <w:rPr>
          <w:rFonts w:ascii="Liberation Sans" w:hAnsi="Liberation Sans" w:cs="Liberation Sans" w:eastAsiaTheme="minorEastAsia"/>
          <w:sz w:val="28"/>
          <w:szCs w:val="28"/>
        </w:rPr>
        <w:t xml:space="preserve"> </w:t>
      </w:r>
      <w:r>
        <w:rPr>
          <w:rFonts w:ascii="Liberation Sans" w:hAnsi="Liberation Sans" w:cs="Liberation Sans" w:eastAsiaTheme="minorEastAsia"/>
          <w:sz w:val="28"/>
          <w:szCs w:val="28"/>
        </w:rPr>
        <w:t xml:space="preserve">посетили</w:t>
      </w:r>
      <w:r>
        <w:rPr>
          <w:rFonts w:ascii="Liberation Sans" w:hAnsi="Liberation Sans" w:cs="Liberation Sans" w:eastAsiaTheme="minorEastAsia"/>
          <w:sz w:val="28"/>
          <w:szCs w:val="28"/>
        </w:rPr>
        <w:t xml:space="preserve"> профильные смены</w:t>
      </w:r>
      <w:r>
        <w:rPr>
          <w:rFonts w:ascii="Liberation Sans" w:hAnsi="Liberation Sans" w:cs="Liberation Sans"/>
          <w:sz w:val="28"/>
          <w:szCs w:val="28"/>
        </w:rPr>
        <w:t xml:space="preserve"> Образовательного центра «Сириус»</w:t>
      </w:r>
      <w:r>
        <w:rPr>
          <w:rFonts w:ascii="Liberation Sans" w:hAnsi="Liberation Sans" w:cs="Liberation Sans" w:eastAsiaTheme="minorEastAsia"/>
          <w:sz w:val="28"/>
          <w:szCs w:val="28"/>
        </w:rPr>
        <w:t xml:space="preserve">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21"/>
        <w:ind w:firstLine="709"/>
        <w:jc w:val="both"/>
        <w:spacing w:after="0" w:afterAutospacing="0" w:line="240" w:lineRule="auto"/>
      </w:pPr>
      <w:r>
        <w:rPr>
          <w:rFonts w:ascii="Liberation Sans" w:hAnsi="Liberation Sans" w:cs="Liberation Sans"/>
          <w:sz w:val="28"/>
          <w:szCs w:val="28"/>
          <w:lang w:val="ru-RU"/>
        </w:rPr>
        <w:t xml:space="preserve">На базе МАОУ СОШ № 3 в ноябре 2023 года состоялся финал Всероссийской междисциплинарной олимпиады школьников «Национальная технологическая олимпиада </w:t>
      </w:r>
      <w:r>
        <w:rPr>
          <w:rFonts w:ascii="Liberation Sans" w:hAnsi="Liberation Sans" w:cs="Liberation Sans"/>
          <w:sz w:val="28"/>
          <w:szCs w:val="28"/>
        </w:rPr>
        <w:t xml:space="preserve">Junior</w:t>
      </w:r>
      <w:r>
        <w:rPr>
          <w:rFonts w:ascii="Liberation Sans" w:hAnsi="Liberation Sans" w:cs="Liberation Sans"/>
          <w:sz w:val="28"/>
          <w:szCs w:val="28"/>
          <w:lang w:val="ru-RU"/>
        </w:rPr>
        <w:t xml:space="preserve">», в котором приняли участие </w:t>
      </w:r>
      <w:r>
        <w:rPr>
          <w:rFonts w:ascii="Liberation Sans" w:hAnsi="Liberation Sans" w:cs="Liberation Sans"/>
          <w:sz w:val="28"/>
          <w:szCs w:val="28"/>
          <w:shd w:val="clear" w:color="auto" w:fill="ffffff" w:themeFill="background1"/>
          <w:lang w:val="ru-RU"/>
        </w:rPr>
        <w:t xml:space="preserve">8 коман</w:t>
      </w:r>
      <w:r>
        <w:rPr>
          <w:rFonts w:ascii="Liberation Sans" w:hAnsi="Liberation Sans" w:cs="Liberation Sans"/>
          <w:sz w:val="28"/>
          <w:szCs w:val="28"/>
          <w:lang w:val="ru-RU"/>
        </w:rPr>
        <w:t xml:space="preserve">д (15 обучающихся из 3 общеобразовательных организаций).</w:t>
      </w:r>
      <w:r>
        <w:rPr>
          <w:rFonts w:ascii="Liberation Sans" w:hAnsi="Liberation Sans" w:cs="Liberation Sans"/>
          <w:sz w:val="28"/>
          <w:szCs w:val="28"/>
          <w:shd w:val="clear" w:color="auto" w:fill="ffffff" w:themeFill="background1"/>
          <w:lang w:val="ru-RU"/>
        </w:rPr>
        <w:t xml:space="preserve"> Победителями стали 3 команды (6 обучающихся) МАОУ СОШ № 3.</w:t>
      </w:r>
      <w:r>
        <w:rPr>
          <w:lang w:val="ru-RU"/>
        </w:rPr>
      </w:r>
      <w:r/>
    </w:p>
    <w:p>
      <w:pPr>
        <w:contextualSpacing w:val="0"/>
        <w:ind w:firstLine="709"/>
        <w:jc w:val="both"/>
        <w:spacing w:after="0" w:afterAutospacing="0" w:line="240" w:lineRule="auto"/>
        <w:rPr>
          <w:spacing w:val="-6"/>
        </w:rPr>
        <w:suppressLineNumbers w:val="0"/>
      </w:pPr>
      <w:r>
        <w:rPr>
          <w:rFonts w:ascii="Liberation Sans" w:hAnsi="Liberation Sans" w:cs="Liberation Sans"/>
          <w:sz w:val="28"/>
          <w:szCs w:val="28"/>
          <w:lang w:eastAsia="en-US"/>
        </w:rPr>
        <w:t xml:space="preserve">В 2023 году проведены серии командных интеллектуальных игр: л</w:t>
      </w:r>
      <w:r>
        <w:rPr>
          <w:rFonts w:ascii="Liberation Sans" w:hAnsi="Liberation Sans" w:cs="Liberation Sans"/>
          <w:sz w:val="28"/>
          <w:szCs w:val="28"/>
          <w:highlight w:val="none"/>
          <w:lang w:eastAsia="en-US"/>
        </w:rPr>
        <w:t xml:space="preserve">ингвистической направленности (135 участников, </w:t>
      </w:r>
      <w:r>
        <w:rPr>
          <w:rFonts w:ascii="Liberation Sans" w:hAnsi="Liberation Sans" w:cs="Liberation Sans"/>
          <w:sz w:val="28"/>
          <w:szCs w:val="28"/>
          <w:highlight w:val="none"/>
          <w:lang w:eastAsia="en-US"/>
        </w:rPr>
        <w:t xml:space="preserve">16 победителей), </w:t>
      </w:r>
      <w:r>
        <w:rPr>
          <w:rFonts w:ascii="Liberation Sans" w:hAnsi="Liberation Sans" w:cs="Liberation Sans"/>
          <w:spacing w:val="-6"/>
          <w:sz w:val="28"/>
          <w:szCs w:val="28"/>
          <w:highlight w:val="none"/>
          <w:lang w:eastAsia="en-US"/>
        </w:rPr>
        <w:t xml:space="preserve">естественно</w:t>
      </w:r>
      <w:r>
        <w:rPr>
          <w:rFonts w:ascii="Liberation Sans" w:hAnsi="Liberation Sans" w:cs="Liberation Sans"/>
          <w:spacing w:val="-6"/>
          <w:sz w:val="28"/>
          <w:szCs w:val="28"/>
          <w:highlight w:val="none"/>
          <w:lang w:eastAsia="en-US"/>
        </w:rPr>
        <w:t xml:space="preserve">-</w:t>
      </w:r>
      <w:r>
        <w:rPr>
          <w:rFonts w:ascii="Liberation Sans" w:hAnsi="Liberation Sans" w:cs="Liberation Sans"/>
          <w:spacing w:val="-6"/>
          <w:sz w:val="28"/>
          <w:szCs w:val="28"/>
          <w:highlight w:val="none"/>
          <w:lang w:eastAsia="en-US"/>
        </w:rPr>
        <w:t xml:space="preserve">научного и </w:t>
      </w:r>
      <w:r>
        <w:rPr>
          <w:rFonts w:ascii="Liberation Sans" w:hAnsi="Liberation Sans" w:cs="Liberation Sans"/>
          <w:spacing w:val="-6"/>
          <w:sz w:val="28"/>
          <w:szCs w:val="28"/>
          <w:highlight w:val="none"/>
          <w:lang w:val="en-US" w:eastAsia="en-US"/>
        </w:rPr>
        <w:t xml:space="preserve">IT</w:t>
      </w:r>
      <w:r>
        <w:rPr>
          <w:rFonts w:ascii="Liberation Sans" w:hAnsi="Liberation Sans" w:cs="Liberation Sans"/>
          <w:spacing w:val="-6"/>
          <w:sz w:val="28"/>
          <w:szCs w:val="28"/>
          <w:highlight w:val="none"/>
          <w:lang w:eastAsia="en-US"/>
        </w:rPr>
        <w:t xml:space="preserve">-направления </w:t>
      </w:r>
      <w:r>
        <w:rPr>
          <w:rFonts w:ascii="Liberation Sans" w:hAnsi="Liberation Sans" w:cs="Liberation Sans"/>
          <w:spacing w:val="-6"/>
          <w:sz w:val="28"/>
          <w:szCs w:val="28"/>
          <w:highlight w:val="none"/>
          <w:lang w:eastAsia="en-US"/>
        </w:rPr>
        <w:t xml:space="preserve">(255 участников, 27 победителей),</w:t>
      </w:r>
      <w:r>
        <w:rPr>
          <w:rFonts w:ascii="Liberation Sans" w:hAnsi="Liberation Sans" w:cs="Liberation Sans"/>
          <w:spacing w:val="-6"/>
          <w:sz w:val="28"/>
          <w:szCs w:val="28"/>
          <w:highlight w:val="none"/>
        </w:rPr>
        <w:t xml:space="preserve"> общественно-научной на</w:t>
      </w:r>
      <w:r>
        <w:rPr>
          <w:rFonts w:ascii="Liberation Sans" w:hAnsi="Liberation Sans" w:cs="Liberation Sans"/>
          <w:spacing w:val="-6"/>
          <w:sz w:val="28"/>
          <w:szCs w:val="28"/>
        </w:rPr>
        <w:t xml:space="preserve">правленности (99 участников, 9 победителей),</w:t>
      </w:r>
      <w:r>
        <w:rPr>
          <w:rFonts w:ascii="Liberation Sans" w:hAnsi="Liberation Sans" w:cs="Liberation Sans"/>
          <w:spacing w:val="-6"/>
          <w:sz w:val="28"/>
          <w:szCs w:val="28"/>
          <w:lang w:eastAsia="en-US"/>
        </w:rPr>
        <w:t xml:space="preserve"> по развитию функциональной грамотности (80 участников, 16 победителей).</w:t>
      </w:r>
      <w:r>
        <w:rPr>
          <w:spacing w:val="-6"/>
        </w:rPr>
      </w:r>
      <w:r/>
    </w:p>
    <w:p>
      <w:pPr>
        <w:ind w:firstLine="709"/>
        <w:jc w:val="both"/>
        <w:spacing w:after="0" w:afterAutospacing="0" w:line="240" w:lineRule="auto"/>
        <w:shd w:val="clear" w:color="ffffff" w:themeColor="background1" w:fill="ffffff" w:themeFill="background1"/>
        <w:tabs>
          <w:tab w:val="left" w:pos="6270" w:leader="none"/>
        </w:tabs>
      </w:pPr>
      <w:r>
        <w:rPr>
          <w:rFonts w:ascii="Liberation Sans" w:hAnsi="Liberation Sans" w:cs="Liberation Sans"/>
          <w:sz w:val="28"/>
          <w:szCs w:val="28"/>
          <w:lang w:eastAsia="en-US"/>
        </w:rPr>
        <w:t xml:space="preserve">В формате индивидуального участия состоялись городская литературно-историческая викторина, посвященная творчеству </w:t>
      </w:r>
      <w:r>
        <w:rPr>
          <w:rFonts w:ascii="Liberation Sans" w:hAnsi="Liberation Sans" w:cs="Liberation Sans"/>
          <w:sz w:val="28"/>
          <w:szCs w:val="28"/>
          <w:lang w:eastAsia="en-US"/>
        </w:rPr>
        <w:br/>
        <w:t xml:space="preserve">А.Н. Островского (12 участников, 1 победитель),</w:t>
      </w:r>
      <w:r>
        <w:rPr>
          <w:rFonts w:ascii="Liberation Sans" w:hAnsi="Liberation Sans" w:cs="Liberation Sans"/>
          <w:sz w:val="28"/>
          <w:szCs w:val="28"/>
          <w:lang w:eastAsia="en-US" w:bidi="en-US"/>
        </w:rPr>
        <w:t xml:space="preserve"> г</w:t>
      </w:r>
      <w:r>
        <w:rPr>
          <w:rFonts w:ascii="Liberation Sans" w:hAnsi="Liberation Sans" w:cs="Liberation Sans"/>
          <w:sz w:val="28"/>
          <w:szCs w:val="28"/>
          <w:lang w:eastAsia="en-US"/>
        </w:rPr>
        <w:t xml:space="preserve">ородской конкурс творческих проектных работ в образовательной области «Технология» (101 проектная работа, 20 победителей).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</w:pPr>
      <w:r>
        <w:rPr>
          <w:rFonts w:ascii="Liberation Sans" w:hAnsi="Liberation Sans" w:cs="Liberation Sans"/>
          <w:sz w:val="28"/>
          <w:szCs w:val="28"/>
        </w:rPr>
        <w:t xml:space="preserve">В рамках реализации проектов Губернатора ЯНАО по поддержке талантливых и одаренных детей 17 обучающихся 7 - 10 классов </w:t>
      </w:r>
      <w:r>
        <w:rPr>
          <w:rFonts w:ascii="Liberation Sans" w:hAnsi="Liberation Sans" w:cs="Liberation Sans"/>
          <w:sz w:val="28"/>
          <w:szCs w:val="28"/>
        </w:rPr>
        <w:br/>
        <w:t xml:space="preserve">(2022 г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од - 19)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из числа победителей и призеров предметных олимпиад различного уровня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получили сертификат 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ЯНАОлимп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 сумму 150,0 тыс. руб.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каждый.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Сертификаты можно использовать </w:t>
        <w:br/>
        <w:t xml:space="preserve">для обучения в ведущих центрах олимпиадного движения, олимпиадных школа</w:t>
      </w:r>
      <w:r>
        <w:rPr>
          <w:rFonts w:ascii="Liberation Sans" w:hAnsi="Liberation Sans" w:cs="Liberation Sans"/>
          <w:sz w:val="28"/>
          <w:szCs w:val="28"/>
        </w:rPr>
        <w:t xml:space="preserve">х, в том числе и на оплату транспортных расходов к месту обучения и обратно.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  <w:rPr>
          <w:highlight w:val="none"/>
        </w:rPr>
      </w:pPr>
      <w:r>
        <w:rPr>
          <w:rFonts w:ascii="Liberation Sans" w:hAnsi="Liberation Sans" w:cs="Liberation Sans"/>
          <w:iCs/>
          <w:sz w:val="28"/>
          <w:szCs w:val="28"/>
        </w:rPr>
        <w:t xml:space="preserve">По </w:t>
      </w:r>
      <w:r>
        <w:rPr>
          <w:rFonts w:ascii="Liberation Sans" w:hAnsi="Liberation Sans" w:cs="Liberation Sans"/>
          <w:sz w:val="28"/>
          <w:szCs w:val="28"/>
          <w:shd w:val="clear" w:color="auto" w:fill="ffffff"/>
        </w:rPr>
        <w:t xml:space="preserve">итогам конкурсного отбора участников проекта «Образовательный сертификат для </w:t>
      </w:r>
      <w:r>
        <w:rPr>
          <w:rFonts w:ascii="Liberation Sans" w:hAnsi="Liberation Sans" w:cs="Liberation Sans"/>
          <w:sz w:val="28"/>
          <w:szCs w:val="28"/>
        </w:rPr>
        <w:t xml:space="preserve">старшеклассников</w:t>
      </w:r>
      <w:r>
        <w:rPr>
          <w:rFonts w:ascii="Liberation Sans" w:hAnsi="Liberation Sans" w:cs="Liberation Sans"/>
          <w:sz w:val="28"/>
          <w:szCs w:val="28"/>
          <w:shd w:val="clear" w:color="auto" w:fill="ffffff"/>
        </w:rPr>
        <w:t xml:space="preserve"> 2023/2024»</w:t>
      </w:r>
      <w:r>
        <w:rPr>
          <w:rFonts w:ascii="Liberation Sans" w:hAnsi="Liberation Sans" w:cs="Liberation Sans"/>
          <w:sz w:val="28"/>
          <w:szCs w:val="28"/>
          <w:shd w:val="clear" w:color="auto" w:fill="ffffff"/>
        </w:rPr>
        <w:t xml:space="preserve"> </w:t>
      </w:r>
      <w:r>
        <w:rPr>
          <w:rFonts w:ascii="Liberation Sans" w:hAnsi="Liberation Sans" w:cs="Liberation Sans"/>
          <w:sz w:val="28"/>
          <w:szCs w:val="28"/>
          <w:shd w:val="clear" w:color="auto" w:fill="ffffff"/>
        </w:rPr>
        <w:br/>
        <w:t xml:space="preserve">78</w:t>
      </w:r>
      <w:r>
        <w:rPr>
          <w:rFonts w:ascii="Liberation Sans" w:hAnsi="Liberation Sans" w:cs="Liberation Sans"/>
          <w:sz w:val="28"/>
          <w:szCs w:val="28"/>
        </w:rPr>
        <w:t xml:space="preserve"> человек получили образовательные сертификаты на сумму </w:t>
        <w:br/>
        <w:t xml:space="preserve">81,0 тыс. руб. (2022 год - 102 человека). Благодаря сертификату</w:t>
      </w:r>
      <w:r>
        <w:rPr>
          <w:rFonts w:ascii="Liberation Sans" w:hAnsi="Liberation Sans" w:cs="Liberation Sans"/>
          <w:sz w:val="28"/>
          <w:szCs w:val="28"/>
          <w:shd w:val="clear" w:color="auto" w:fill="ffffff"/>
        </w:rPr>
        <w:t xml:space="preserve"> обучающиеся стали участниками образовательных программ лучших вузов России</w:t>
      </w:r>
      <w:r>
        <w:rPr>
          <w:rFonts w:ascii="Liberation Sans" w:hAnsi="Liberation Sans" w:cs="Liberation Sans"/>
          <w:sz w:val="28"/>
          <w:szCs w:val="28"/>
        </w:rPr>
        <w:t xml:space="preserve">, получили возможность обучаться в </w:t>
      </w:r>
      <w:r>
        <w:rPr>
          <w:rFonts w:ascii="Liberation Sans" w:hAnsi="Liberation Sans" w:cs="Liberation Sans"/>
          <w:iCs/>
          <w:sz w:val="28"/>
          <w:szCs w:val="28"/>
          <w:shd w:val="clear" w:color="auto" w:fill="ffffff"/>
        </w:rPr>
        <w:t xml:space="preserve">интенсивных профильных сменах, организованных с участием сильнейших преподавателей страны </w:t>
      </w:r>
      <w:r>
        <w:rPr>
          <w:rFonts w:ascii="Liberation Sans" w:hAnsi="Liberation Sans" w:cs="Liberation Sans"/>
          <w:iCs/>
          <w:sz w:val="28"/>
          <w:szCs w:val="28"/>
          <w:shd w:val="clear" w:color="auto" w:fill="ffffff"/>
        </w:rPr>
        <w:t xml:space="preserve">из профильных вузов.</w:t>
      </w:r>
      <w:r>
        <w:rPr>
          <w:rFonts w:ascii="Liberation Sans" w:hAnsi="Liberation Sans" w:cs="Liberation Sans"/>
          <w:sz w:val="28"/>
          <w:szCs w:val="28"/>
          <w:shd w:val="clear" w:color="auto" w:fill="ffffff"/>
        </w:rPr>
        <w:t xml:space="preserve"> В 2023 году в </w:t>
      </w:r>
      <w:r>
        <w:rPr>
          <w:rFonts w:ascii="Liberation Sans" w:hAnsi="Liberation Sans" w:cs="Liberation Sans"/>
          <w:sz w:val="28"/>
          <w:szCs w:val="28"/>
        </w:rPr>
        <w:t xml:space="preserve">количество</w:t>
      </w:r>
      <w:r>
        <w:rPr>
          <w:rFonts w:ascii="Liberation Sans" w:hAnsi="Liberation Sans" w:cs="Liberation Sans"/>
          <w:sz w:val="28"/>
          <w:szCs w:val="28"/>
          <w:shd w:val="clear" w:color="auto" w:fill="ffffff"/>
        </w:rPr>
        <w:t xml:space="preserve"> предметов для полу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чения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ffffff" w:themeColor="background1" w:fill="ffffff" w:themeFill="background1"/>
        </w:rPr>
        <w:t xml:space="preserve">образовательного сертификата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добавлено обществознание.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Абсолютным лидером обладателей образовательных сертификатов стал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МАОУ «СШ «Перспектива» - 24 сертификата.</w:t>
      </w:r>
      <w:r>
        <w:rPr>
          <w:highlight w:val="none"/>
        </w:rPr>
      </w:r>
      <w:r/>
    </w:p>
    <w:p>
      <w:pPr>
        <w:pStyle w:val="1121"/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auto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Обучающиеся 5 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11 классов приняли участие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во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  <w:lang w:val="ru-RU"/>
        </w:rPr>
        <w:t xml:space="preserve">Всероссийском конкурсе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shd w:val="clear" w:color="auto" w:fill="ffffff"/>
          <w:lang w:val="ru-RU"/>
        </w:rPr>
        <w:t xml:space="preserve">«Большая перемена». По итогам конкурса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2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 обучающихся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br/>
        <w:t xml:space="preserve">5 - 7 классов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shd w:val="clear" w:color="auto" w:fill="ffffff"/>
          <w:lang w:val="ru-RU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- победители,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6 обучающихся 8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 - 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10 классов – полуфиналисты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(2022 год -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1 победитель,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7 полуфиналистов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).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/>
    </w:p>
    <w:p>
      <w:pPr>
        <w:ind w:firstLine="708"/>
        <w:jc w:val="both"/>
        <w:spacing w:after="0" w:afterAutospacing="0" w:line="240" w:lineRule="auto"/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18 общеобразовательных организациях созданы шк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ольные спортивные клубы (далее - ШСК). Деятельностью ШСК охвачено </w:t>
        <w:br/>
        <w:t xml:space="preserve">4 239 обучающихся в возрасте от 7 до 18 лет (2022 год - </w:t>
        <w:br/>
        <w:t xml:space="preserve">4 143). Т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ренировочный процесс организован по 1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0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 видам спорта: волейбол, баскетбол, мини-футбол, шахматы, плавание, ОФП, гимнастика, легкая атлетика, лыжные гонки,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флорбол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. 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22"/>
        <w:ind w:left="0" w:firstLine="709"/>
        <w:jc w:val="both"/>
        <w:spacing w:after="0" w:afterAutospacing="0" w:line="240" w:lineRule="auto"/>
      </w:pPr>
      <w:r>
        <w:rPr>
          <w:rFonts w:ascii="Liberation Sans" w:hAnsi="Liberation Sans" w:cs="Liberation Sans"/>
          <w:sz w:val="28"/>
          <w:szCs w:val="28"/>
        </w:rPr>
        <w:t xml:space="preserve">В 2023 году продолжена реализация проекта «Школьный театр». В 18 общеобразовательных организациях работали 20 театральных объединений, в которых занимались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559 о</w:t>
      </w:r>
      <w:r>
        <w:rPr>
          <w:rFonts w:ascii="Liberation Sans" w:hAnsi="Liberation Sans" w:cs="Liberation Sans"/>
          <w:sz w:val="28"/>
          <w:szCs w:val="28"/>
        </w:rPr>
        <w:t xml:space="preserve">бучающихся (2022 год - </w:t>
        <w:br/>
        <w:t xml:space="preserve">656).</w:t>
      </w:r>
      <w:r>
        <w:rPr>
          <w:rFonts w:ascii="Liberation Sans" w:hAnsi="Liberation Sans" w:cs="Liberation Sans"/>
          <w:highlight w:val="green"/>
        </w:rPr>
      </w:r>
      <w:r/>
    </w:p>
    <w:p>
      <w:pPr>
        <w:ind w:firstLine="709"/>
        <w:jc w:val="both"/>
        <w:spacing w:after="0" w:afterAutospacing="0" w:line="240" w:lineRule="auto"/>
      </w:pPr>
      <w:r>
        <w:rPr>
          <w:rFonts w:ascii="Liberation Sans" w:hAnsi="Liberation Sans" w:cs="Liberation Sans"/>
          <w:bCs/>
          <w:sz w:val="28"/>
          <w:szCs w:val="28"/>
        </w:rPr>
        <w:t xml:space="preserve">В рамках регионального проекта </w:t>
      </w:r>
      <w:r>
        <w:rPr>
          <w:rFonts w:ascii="Liberation Sans" w:hAnsi="Liberation Sans" w:cs="Liberation Sans"/>
          <w:sz w:val="28"/>
          <w:szCs w:val="28"/>
        </w:rPr>
        <w:t xml:space="preserve">«</w:t>
      </w:r>
      <w:r>
        <w:rPr>
          <w:rFonts w:ascii="Liberation Sans" w:hAnsi="Liberation Sans" w:cs="Liberation Sans"/>
          <w:bCs/>
          <w:iCs/>
          <w:sz w:val="28"/>
          <w:szCs w:val="28"/>
        </w:rPr>
        <w:t xml:space="preserve">Социальная активность» </w:t>
      </w:r>
      <w:r>
        <w:rPr>
          <w:rFonts w:ascii="Liberation Sans" w:hAnsi="Liberation Sans" w:cs="Liberation Sans"/>
          <w:sz w:val="28"/>
          <w:szCs w:val="28"/>
        </w:rPr>
        <w:t xml:space="preserve">(национальный проект «Образование»).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  <w:shd w:val="clear" w:color="ffffff" w:themeColor="background1" w:fill="ffffff" w:themeFill="background1"/>
      </w:pPr>
      <w:r>
        <w:rPr>
          <w:rFonts w:ascii="Liberation Sans" w:hAnsi="Liberation Sans" w:eastAsia="Liberation Sans" w:cs="Liberation Sans"/>
          <w:sz w:val="28"/>
          <w:szCs w:val="28"/>
        </w:rPr>
        <w:t xml:space="preserve">На базе 21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образовательной организации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осуществляли деятельность 44 волонтерских отряда (2022 год - 43) с участием </w:t>
        <w:br/>
        <w:t xml:space="preserve">1 447 человек (2022 год - 1 897) по направлениям: ЗОЖ, социальное партнерство, гражданско-патриотическое, экологическое, событийное.</w:t>
      </w:r>
      <w:r>
        <w:rPr>
          <w:rFonts w:ascii="Liberation Sans" w:hAnsi="Liberation Sans" w:cs="Liberation Sans"/>
          <w:sz w:val="28"/>
          <w:szCs w:val="28"/>
          <w:highlight w:val="darkGray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Продолжена деятельность движе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ния «Волонтеры Победы», координаторами которого выступают МБОУ «Арктический лицей» и МБОУ Гимназия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движении состо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т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54 человека </w:t>
        <w:br/>
        <w:t xml:space="preserve">из 12 образовательных организаций.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рамках развития Всероссийского об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щественного движения «Волонтеры-медики» 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shd w:val="clear" w:color="ffffff" w:themeColor="background1" w:fill="ffffff" w:themeFill="background1"/>
        </w:rPr>
        <w:t xml:space="preserve">рганизова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shd w:val="clear" w:color="ffffff" w:themeColor="background1" w:fill="ffffff" w:themeFill="background1"/>
        </w:rPr>
        <w:t xml:space="preserve">на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shd w:val="clear" w:color="ffffff" w:themeColor="background1" w:fill="ffffff" w:themeFill="background1"/>
        </w:rPr>
        <w:t xml:space="preserve"> работ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shd w:val="clear" w:color="ffffff" w:themeColor="background1" w:fill="ffffff" w:themeFill="background1"/>
        </w:rPr>
        <w:t xml:space="preserve">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shd w:val="clear" w:color="ffffff" w:themeColor="background1" w:fill="ffffff" w:themeFill="background1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shd w:val="clear" w:color="ffffff" w:themeColor="background1" w:fill="ffffff" w:themeFill="background1"/>
        </w:rPr>
        <w:t xml:space="preserve">отрядов волонтеров-медиков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shd w:val="clear" w:color="ffffff" w:themeColor="background1" w:fill="ffffff" w:themeFill="background1"/>
        </w:rPr>
        <w:t xml:space="preserve">на территории 12 образовательных организаций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afterAutospacing="0" w:line="240" w:lineRule="auto"/>
        <w:shd w:val="clear" w:color="ffffff" w:themeColor="background1" w:fill="ffffff" w:themeFill="background1"/>
      </w:pPr>
      <w:r>
        <w:rPr>
          <w:rFonts w:ascii="Liberation Sans" w:hAnsi="Liberation Sans" w:eastAsia="Liberation Sans" w:cs="Liberation Sans"/>
          <w:sz w:val="28"/>
          <w:szCs w:val="28"/>
        </w:rPr>
        <w:t xml:space="preserve">В 2023 году продолжено развитие направления добровольчества</w:t>
      </w:r>
      <w:r>
        <w:rPr>
          <w:rFonts w:ascii="Liberation Sans" w:hAnsi="Liberation Sans" w:eastAsia="Liberation Sans" w:cs="Liberation Sans"/>
          <w:sz w:val="28"/>
          <w:szCs w:val="28"/>
          <w:shd w:val="clear" w:color="auto" w:fill="ffffff"/>
        </w:rPr>
        <w:t xml:space="preserve"> в рамках муниципального проекта «Медиативные технологии </w:t>
        <w:br/>
        <w:t xml:space="preserve">в образовательной среде»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.</w:t>
      </w:r>
      <w:r>
        <w:rPr>
          <w:rFonts w:ascii="Liberation Sans" w:hAnsi="Liberation Sans" w:eastAsia="Liberation Sans" w:cs="Liberation Sans"/>
          <w:sz w:val="28"/>
          <w:szCs w:val="28"/>
          <w:shd w:val="clear" w:color="ffffff" w:themeColor="background1" w:fill="ffffff" w:themeFill="background1"/>
          <w:lang w:eastAsia="en-US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shd w:val="clear" w:color="auto" w:fill="ffffff"/>
          <w:lang w:eastAsia="en-US"/>
        </w:rPr>
        <w:t xml:space="preserve">В рамках проекта в </w:t>
      </w:r>
      <w:r>
        <w:rPr>
          <w:rFonts w:ascii="Liberation Sans" w:hAnsi="Liberation Sans" w:eastAsia="Liberation Sans" w:cs="Liberation Sans"/>
          <w:sz w:val="28"/>
          <w:szCs w:val="28"/>
          <w:lang w:eastAsia="en-US"/>
        </w:rPr>
        <w:t xml:space="preserve">МБОУ «СШ им. Д.И. </w:t>
      </w:r>
      <w:r>
        <w:rPr>
          <w:rFonts w:ascii="Liberation Sans" w:hAnsi="Liberation Sans" w:eastAsia="Liberation Sans" w:cs="Liberation Sans"/>
          <w:sz w:val="28"/>
          <w:szCs w:val="28"/>
          <w:lang w:eastAsia="en-US"/>
        </w:rPr>
        <w:t xml:space="preserve">Коротчаева</w:t>
      </w:r>
      <w:r>
        <w:rPr>
          <w:rFonts w:ascii="Liberation Sans" w:hAnsi="Liberation Sans" w:eastAsia="Liberation Sans" w:cs="Liberation Sans"/>
          <w:sz w:val="28"/>
          <w:szCs w:val="28"/>
          <w:lang w:eastAsia="en-US"/>
        </w:rPr>
        <w:t xml:space="preserve">»</w:t>
      </w:r>
      <w:r>
        <w:rPr>
          <w:rFonts w:ascii="Liberation Sans" w:hAnsi="Liberation Sans" w:eastAsia="Liberation Sans" w:cs="Liberation Sans"/>
          <w:sz w:val="28"/>
          <w:szCs w:val="28"/>
          <w:shd w:val="clear" w:color="ffffff" w:themeColor="background1" w:fill="ffffff" w:themeFill="background1"/>
          <w:lang w:eastAsia="en-US"/>
        </w:rPr>
        <w:t xml:space="preserve">, МБОУ СШ № 11 и </w:t>
      </w:r>
      <w:r>
        <w:rPr>
          <w:rFonts w:ascii="Liberation Sans" w:hAnsi="Liberation Sans" w:eastAsia="Liberation Sans" w:cs="Liberation Sans"/>
          <w:sz w:val="28"/>
          <w:szCs w:val="28"/>
          <w:lang w:eastAsia="en-US"/>
        </w:rPr>
        <w:t xml:space="preserve">МБОУС(К)Ш № 18</w:t>
      </w:r>
      <w:r>
        <w:rPr>
          <w:rFonts w:ascii="Liberation Sans" w:hAnsi="Liberation Sans" w:eastAsia="Liberation Sans" w:cs="Liberation Sans"/>
          <w:sz w:val="28"/>
          <w:szCs w:val="28"/>
          <w:shd w:val="clear" w:color="auto" w:fill="ffffff"/>
          <w:lang w:eastAsia="en-US"/>
        </w:rPr>
        <w:t xml:space="preserve"> реализуются примирительные программы (разрешено 33 конфликтных </w:t>
      </w:r>
      <w:r>
        <w:rPr>
          <w:rFonts w:ascii="Liberation Sans" w:hAnsi="Liberation Sans" w:eastAsia="Liberation Sans" w:cs="Liberation Sans"/>
          <w:sz w:val="28"/>
          <w:szCs w:val="28"/>
          <w:shd w:val="clear" w:color="auto" w:fill="ffffff"/>
          <w:lang w:eastAsia="en-US"/>
        </w:rPr>
        <w:t xml:space="preserve">ситуации). Для обучающихся проводятся тематические классные часы «Учимся др</w:t>
      </w:r>
      <w:r>
        <w:rPr>
          <w:rFonts w:ascii="Liberation Sans" w:hAnsi="Liberation Sans" w:eastAsia="Liberation Sans" w:cs="Liberation Sans"/>
          <w:sz w:val="28"/>
          <w:szCs w:val="28"/>
          <w:shd w:val="clear" w:color="auto" w:fill="ffffff"/>
          <w:lang w:eastAsia="en-US"/>
        </w:rPr>
        <w:t xml:space="preserve">ужить», «Ты и я, такие разные», «Что такое толерантность», занятия в рамках внеурочной деятельности «Юный медиатор». Осуществляется индивидуальное консультирование родителей (законных представителей), педагогов</w:t>
      </w:r>
      <w:r>
        <w:rPr>
          <w:rFonts w:ascii="Liberation Sans" w:hAnsi="Liberation Sans" w:eastAsia="Liberation Sans" w:cs="Liberation Sans"/>
          <w:sz w:val="28"/>
          <w:szCs w:val="28"/>
          <w:shd w:val="clear" w:color="auto" w:fill="ffffff"/>
          <w:lang w:eastAsia="en-US"/>
        </w:rPr>
        <w:t xml:space="preserve"> по вопросам разрешения конфликтных ситуаций.</w:t>
      </w:r>
      <w:r>
        <w:rPr>
          <w:rFonts w:ascii="Liberation Sans" w:hAnsi="Liberation Sans" w:cs="Liberation Sans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shd w:val="clear" w:color="auto" w:fill="ffffff"/>
        </w:rPr>
        <w:t xml:space="preserve">Проведено 31 информационно-просветительское и обучающее мероприятие. Охват - 658 обучающихся (2022 год - 634</w:t>
      </w:r>
      <w:r>
        <w:rPr>
          <w:rFonts w:ascii="Liberation Sans" w:hAnsi="Liberation Sans" w:cs="Liberation Sans"/>
          <w:sz w:val="28"/>
          <w:szCs w:val="28"/>
          <w:shd w:val="clear" w:color="auto" w:fill="ffffff"/>
        </w:rPr>
        <w:t xml:space="preserve">).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709" w:leader="none"/>
        </w:tabs>
      </w:pPr>
      <w:r>
        <w:rPr>
          <w:rFonts w:ascii="Liberation Sans" w:hAnsi="Liberation Sans" w:eastAsia="Liberation Sans" w:cs="Liberation Sans"/>
          <w:sz w:val="28"/>
          <w:szCs w:val="28"/>
        </w:rPr>
        <w:t xml:space="preserve">Команда волонтеров «НИКА» МБОУ «СШ № 8» стала победителем регионального этапа конкурса социальных проектов «Общее дело - ПРО. Проекты. Развитие. Общество».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709" w:leader="none"/>
        </w:tabs>
        <w:rPr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</w:rPr>
        <w:t xml:space="preserve">20 ноября 2023 года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проведен слет «ПРО-форум» «Общее дело» для обучающихся на территории МБОУ «СШ № 8». Учас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тие п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риняли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br/>
        <w:t xml:space="preserve">13 команд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(98 человек)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из 12 общеобразовательных организац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ий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highlight w:val="none"/>
        </w:rPr>
      </w:r>
      <w:r/>
    </w:p>
    <w:p>
      <w:pPr>
        <w:pStyle w:val="1122"/>
        <w:ind w:left="0" w:firstLine="709"/>
        <w:jc w:val="both"/>
        <w:spacing w:after="0" w:afterAutospacing="0" w:line="240" w:lineRule="auto"/>
        <w:tabs>
          <w:tab w:val="left" w:pos="284" w:leader="none"/>
          <w:tab w:val="left" w:pos="851" w:leader="none"/>
        </w:tabs>
        <w:outlineLvl w:val="1"/>
      </w:pPr>
      <w:r>
        <w:rPr>
          <w:highlight w:val="none"/>
        </w:rPr>
      </w:r>
      <w:bookmarkStart w:id="54" w:name="_Toc54"/>
      <w:r>
        <w:rPr>
          <w:rFonts w:ascii="Liberation Sans" w:hAnsi="Liberation Sans" w:cs="Liberation Sans"/>
          <w:color w:val="000000"/>
          <w:spacing w:val="4"/>
          <w:sz w:val="28"/>
          <w:szCs w:val="28"/>
          <w:highlight w:val="none"/>
          <w:lang w:eastAsia="en-US"/>
        </w:rPr>
        <w:t xml:space="preserve">В рамках регионального проекта «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  <w:lang w:eastAsia="en-US"/>
        </w:rPr>
        <w:t xml:space="preserve">Патриотическое воспитание</w:t>
      </w:r>
      <w:r>
        <w:rPr>
          <w:rFonts w:ascii="Liberation Sans" w:hAnsi="Liberation Sans" w:cs="Liberation Sans"/>
          <w:color w:val="000000"/>
          <w:spacing w:val="4"/>
          <w:sz w:val="28"/>
          <w:szCs w:val="28"/>
          <w:lang w:eastAsia="en-US"/>
        </w:rPr>
        <w:t xml:space="preserve">» (национальный проект «Образование»).</w:t>
      </w:r>
      <w:r>
        <w:rPr>
          <w:rFonts w:ascii="Liberation Sans" w:hAnsi="Liberation Sans" w:cs="Liberation Sans" w:eastAsiaTheme="minorHAnsi"/>
          <w:b/>
          <w:sz w:val="28"/>
          <w:szCs w:val="28"/>
          <w:lang w:eastAsia="en-US"/>
        </w:rPr>
        <w:t xml:space="preserve"> </w:t>
      </w:r>
      <w:bookmarkEnd w:id="54"/>
      <w:r/>
      <w:r/>
    </w:p>
    <w:p>
      <w:pPr>
        <w:pStyle w:val="1150"/>
        <w:ind w:firstLine="709"/>
        <w:spacing w:after="0" w:afterAutospacing="0" w:line="240" w:lineRule="auto"/>
        <w:shd w:val="clear" w:color="ffffff" w:themeColor="background1" w:fill="ffffff" w:themeFill="background1"/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В МБОУ КСОШ имени Героя РФ В.И.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Шарпатова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 осуществляет деятельность поисковый отряд «Дивизион».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10 учеников школы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в мае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br/>
        <w:t xml:space="preserve">2023 года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 приняли участие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 в выездной Межрегиональной поисковой экспедиции «Бельский плацдарм» в рамках Всеро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ссийской акции «Вахта памяти 2023».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 В ходе раскопок найдены останки 25 без вести пропавших бойцов Красной Армии, которые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перезахоронены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br/>
        <w:t xml:space="preserve">на воинском захоронении в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деревне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Демяхи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Тверской области.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</w:r>
      <w:r/>
    </w:p>
    <w:p>
      <w:pPr>
        <w:contextualSpacing/>
        <w:ind w:firstLine="708"/>
        <w:jc w:val="both"/>
        <w:spacing w:after="0" w:afterAutospacing="0" w:line="240" w:lineRule="auto"/>
        <w:shd w:val="clear" w:color="ffffff" w:themeColor="background1" w:fill="ffffff" w:themeFill="background1"/>
        <w:rPr>
          <w:highlight w:val="none"/>
        </w:rPr>
        <w:outlineLvl w:val="3"/>
      </w:pPr>
      <w:r/>
      <w:bookmarkStart w:id="55" w:name="_Toc55"/>
      <w:r>
        <w:rPr>
          <w:rFonts w:ascii="Liberation Sans" w:hAnsi="Liberation Sans" w:eastAsia="Liberation Sans" w:cs="Liberation Sans"/>
          <w:bCs/>
          <w:sz w:val="28"/>
          <w:szCs w:val="28"/>
        </w:rPr>
        <w:t xml:space="preserve">В феврале 2023 года на территории города проходил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месячник оборонно-массовой и спортивной работы, посвященный Дню защитника </w:t>
      </w:r>
      <w:r>
        <w:rPr>
          <w:rFonts w:ascii="Liberation Sans" w:hAnsi="Liberation Sans" w:eastAsia="Liberation Sans" w:cs="Liberation Sans"/>
          <w:sz w:val="28"/>
          <w:szCs w:val="28"/>
          <w:shd w:val="clear" w:color="ffffff" w:themeColor="background1" w:fill="ffffff" w:themeFill="background1"/>
        </w:rPr>
        <w:t xml:space="preserve">Отечества. В рамках месячника в 18 обще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ffffff" w:themeColor="background1" w:fill="ffffff" w:themeFill="background1"/>
        </w:rPr>
        <w:t xml:space="preserve">образовательных организациях проведено более 35 тематических мероприятий с общим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охватом 15 152 человека. </w:t>
      </w:r>
      <w:bookmarkEnd w:id="55"/>
      <w:r>
        <w:rPr>
          <w:highlight w:val="none"/>
        </w:rPr>
      </w:r>
      <w:r/>
    </w:p>
    <w:p>
      <w:pPr>
        <w:contextualSpacing/>
        <w:ind w:firstLine="708"/>
        <w:jc w:val="both"/>
        <w:spacing w:after="0" w:afterAutospacing="0" w:line="240" w:lineRule="auto"/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течение 2023 года организованы городские социально значимые акции «Посылка солдату», «Дети Уренгоя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–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детям Волновахи».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 акции приняли участие 34 образовательные организации, собрано 836 посылок, написано более 2 500 пис</w:t>
      </w:r>
      <w:r>
        <w:rPr>
          <w:rFonts w:ascii="Liberation Sans" w:hAnsi="Liberation Sans" w:cs="Liberation Sans"/>
          <w:sz w:val="28"/>
          <w:szCs w:val="28"/>
        </w:rPr>
        <w:t xml:space="preserve">ем в рамках акций.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50"/>
        <w:ind w:firstLine="709"/>
        <w:spacing w:after="0" w:afterAutospacing="0" w:line="240" w:lineRule="auto"/>
        <w:rPr>
          <w:highlight w:val="none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Тематическими уроками, классными часами, приуроченными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br/>
        <w:t xml:space="preserve">к государственным и национальным праздникам Российской Федерации, памятным датам и событиям российской истории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 охвачены все обучающиеся общеобразовательных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организаций (100%).</w:t>
      </w:r>
      <w:r>
        <w:rPr>
          <w:highlight w:val="none"/>
        </w:rPr>
      </w:r>
      <w:r/>
    </w:p>
    <w:p>
      <w:pPr>
        <w:pStyle w:val="1150"/>
        <w:ind w:firstLine="709"/>
        <w:spacing w:after="0" w:afterAutospacing="0" w:line="240" w:lineRule="auto"/>
        <w:shd w:val="clear" w:color="ffffff" w:themeColor="background1" w:fill="ffffff" w:themeFill="background1"/>
        <w:rPr>
          <w:highlight w:val="none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В мае 2023 года подведены итоги </w:t>
      </w:r>
      <w:r>
        <w:rPr>
          <w:rFonts w:ascii="Liberation Sans" w:hAnsi="Liberation Sans" w:eastAsia="Liberation Sans" w:cs="Liberation Sans"/>
          <w:color w:val="auto"/>
          <w:sz w:val="28"/>
          <w:szCs w:val="28"/>
        </w:rPr>
        <w:t xml:space="preserve">VII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 сезона регионального сетевого проекта «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ЮнАрктика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», в котором приняли участие 23 класс-команды с охватом 549 человек. Класс-команда «Полярная звезда» МБОУ «СШ № 1» отпра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вилась в культурно-познавательную поездку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br/>
        <w:t xml:space="preserve">в г. Казань, а класс-команда «Хранители воинской славы» МБОУ СШ № 16 посетила г. Москв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у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 В ноябре 2023 года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юнармейцы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br/>
        <w:t xml:space="preserve">из 14 общеобразовательных организаций приняли участие в выставке макетов победителей и призеров всех сезонов сетевого окружного проекта «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ЮнАрктика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», приуроченного к открытию МБОУ «Арктический лицей». Всего было представлено 38 макетов. Охват - 524 человек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br/>
        <w:tab/>
        <w:t xml:space="preserve">С февраля по май 2023 года на базе Центра патриотического воспитания «Ямал -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п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атриот» МБУ «Молодежный ресурсный центр» проведены 5-дневные учебные сборы с 288 обучающимися (юношами) 10-х классов общеобразовательных организаций.</w:t>
      </w:r>
      <w:r>
        <w:rPr>
          <w:highlight w:val="none"/>
        </w:rPr>
      </w:r>
      <w:r/>
    </w:p>
    <w:p>
      <w:pPr>
        <w:pStyle w:val="1150"/>
        <w:ind w:firstLine="709"/>
        <w:spacing w:after="0" w:afterAutospacing="0" w:line="240" w:lineRule="auto"/>
      </w:pP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26 обучающихся из 13 общеобразовател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ьных организаций приняли участие в городском мероприятии «Реконструкция событий Великой Отечественной войны 1941 - 1945 годов». В рамках реконструкции организована выставка тематических стенгазет, изготовленных обучающимися - представителями отрядов «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Юнармия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», патриотических объединений.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</w:r>
      <w:r/>
    </w:p>
    <w:p>
      <w:pPr>
        <w:pStyle w:val="1150"/>
        <w:ind w:firstLine="709"/>
        <w:spacing w:after="0" w:afterAutospacing="0" w:line="240" w:lineRule="auto"/>
      </w:pP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В целях патриотического воспитания граждан, повышения престижа военной службы, формирования у обучающихся уважительного отношения к защитникам Отечества, чувства верности культуре своей Родины, подготовки допризывной молодёжи к воинской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shd w:val="clear" w:color="ffffff" w:themeColor="background1" w:fill="ffffff" w:themeFill="background1"/>
          <w:lang w:val="ru-RU"/>
        </w:rPr>
        <w:t xml:space="preserve">службе 18 февраля 2023 года на базе МБОУ КСОШ имени Героя РФ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В.И.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Шарпатова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проведена городская игра «Боец» среди обучающихся 10 - 11 классов общеобразовательных организаций (15 команд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br/>
        <w:t xml:space="preserve">из 15 общеобразовательных организаций, 60 участников).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</w:r>
      <w:r/>
    </w:p>
    <w:p>
      <w:pPr>
        <w:ind w:firstLine="567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sz w:val="28"/>
          <w:szCs w:val="28"/>
        </w:rPr>
        <w:t xml:space="preserve">19 педагогов ОБЖ из 16 общеобразовательных организаций прошли обучение по дополнительной профессиональной программе повышения квалификации </w:t>
      </w:r>
      <w:r>
        <w:rPr>
          <w:rFonts w:ascii="Liberation Sans" w:hAnsi="Liberation Sans" w:eastAsia="Liberation Sans" w:cs="Liberation Sans"/>
          <w:sz w:val="28"/>
          <w:szCs w:val="28"/>
          <w:highlight w:val="white"/>
        </w:rPr>
        <w:t xml:space="preserve">по теме: «Методика начальной военной подготовки».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contextualSpacing w:val="0"/>
        <w:ind w:firstLine="567"/>
        <w:jc w:val="both"/>
        <w:spacing w:after="0" w:afterAutospacing="0" w:line="240" w:lineRule="auto"/>
        <w:rPr>
          <w:spacing w:val="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uppressLineNumbers w:val="0"/>
      </w:pPr>
      <w:r>
        <w:rPr>
          <w:rFonts w:ascii="Liberation Sans" w:hAnsi="Liberation Sans" w:cs="Liberation Sans"/>
          <w:spacing w:val="0"/>
          <w:sz w:val="28"/>
          <w:szCs w:val="28"/>
        </w:rPr>
      </w:r>
      <w:r>
        <w:rPr>
          <w:rFonts w:ascii="Liberation Sans" w:hAnsi="Liberation Sans" w:eastAsia="Liberation Sans" w:cs="Liberation Sans"/>
          <w:spacing w:val="0"/>
          <w:sz w:val="28"/>
          <w:szCs w:val="28"/>
        </w:rPr>
        <w:t xml:space="preserve">В декабре 2023 года в МБОУ СШ № 11 прошла встреча </w:t>
        <w:br/>
        <w:t xml:space="preserve">с Героем РФ </w:t>
      </w:r>
      <w:r>
        <w:rPr>
          <w:rFonts w:ascii="Liberation Sans" w:hAnsi="Liberation Sans" w:eastAsia="Liberation Sans" w:cs="Liberation Sans"/>
          <w:spacing w:val="0"/>
          <w:sz w:val="28"/>
          <w:szCs w:val="28"/>
        </w:rPr>
        <w:t xml:space="preserve">Клуповым</w:t>
      </w:r>
      <w:r>
        <w:rPr>
          <w:rFonts w:ascii="Liberation Sans" w:hAnsi="Liberation Sans" w:eastAsia="Liberation Sans" w:cs="Liberation Sans"/>
          <w:spacing w:val="0"/>
          <w:sz w:val="28"/>
          <w:szCs w:val="28"/>
        </w:rPr>
        <w:t xml:space="preserve"> Р.М., </w:t>
      </w:r>
      <w:r>
        <w:rPr>
          <w:rStyle w:val="1173"/>
          <w:rFonts w:ascii="Liberation Sans" w:hAnsi="Liberation Sans" w:eastAsia="Liberation Sans" w:cs="Liberation Sans"/>
          <w:color w:val="auto"/>
          <w:spacing w:val="0"/>
          <w:sz w:val="28"/>
          <w:szCs w:val="28"/>
          <w:shd w:val="clear" w:color="auto" w:fill="auto"/>
          <w:lang w:bidi="ru-RU"/>
        </w:rPr>
        <w:t xml:space="preserve">участником боевых действий </w:t>
        <w:br/>
        <w:t xml:space="preserve">на территории Чеченской республики в период первой чеченской войны. Охват - 32 человека.</w:t>
      </w:r>
      <w:r>
        <w:rPr>
          <w:spacing w:val="0"/>
        </w:rPr>
      </w:r>
      <w:r/>
    </w:p>
    <w:p>
      <w:pPr>
        <w:pStyle w:val="1122"/>
        <w:ind w:left="0" w:firstLine="709"/>
        <w:jc w:val="both"/>
        <w:spacing w:after="0" w:afterAutospacing="0" w:line="240" w:lineRule="auto"/>
      </w:pPr>
      <w:r>
        <w:rPr>
          <w:rFonts w:ascii="Liberation Sans" w:hAnsi="Liberation Sans" w:eastAsia="Liberation Sans" w:cs="Liberation Sans"/>
          <w:bCs/>
          <w:sz w:val="28"/>
          <w:szCs w:val="28"/>
        </w:rPr>
        <w:t xml:space="preserve">В целях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противодействия попыткам фальсификации истории России и пересмотра итогов Великой Отечественной войны, </w:t>
      </w:r>
      <w:r>
        <w:rPr>
          <w:rFonts w:ascii="Liberation Sans" w:hAnsi="Liberation Sans" w:eastAsia="Liberation Sans" w:cs="Liberation Sans"/>
          <w:sz w:val="28"/>
          <w:szCs w:val="28"/>
        </w:rPr>
        <w:br/>
        <w:t xml:space="preserve">а также позиционирования героических поступков, событий </w:t>
      </w:r>
      <w:r>
        <w:rPr>
          <w:rFonts w:ascii="Liberation Sans" w:hAnsi="Liberation Sans" w:eastAsia="Liberation Sans" w:cs="Liberation Sans"/>
          <w:sz w:val="28"/>
          <w:szCs w:val="28"/>
        </w:rPr>
        <w:br/>
        <w:t xml:space="preserve">и достижений российского народа во всех муниципальных общеобразовательных организациях проведена серия уроков, лекций, собраний. Охват - 16 836 человек.</w:t>
      </w:r>
      <w:r>
        <w:rPr>
          <w:rFonts w:ascii="Liberation Sans" w:hAnsi="Liberation Sans" w:cs="Liberation Sans"/>
          <w:sz w:val="28"/>
          <w:szCs w:val="28"/>
          <w:highlight w:val="darkGray"/>
        </w:rPr>
      </w:r>
      <w:r/>
    </w:p>
    <w:p>
      <w:pPr>
        <w:ind w:firstLine="709"/>
        <w:jc w:val="both"/>
        <w:spacing w:after="0" w:afterAutospacing="0" w:line="240" w:lineRule="auto"/>
      </w:pPr>
      <w:r>
        <w:rPr>
          <w:rFonts w:ascii="Liberation Sans" w:hAnsi="Liberation Sans" w:cs="Liberation Sans"/>
          <w:bCs/>
          <w:sz w:val="28"/>
          <w:szCs w:val="28"/>
        </w:rPr>
        <w:t xml:space="preserve">В рамках регионального проекта </w:t>
      </w:r>
      <w:r>
        <w:rPr>
          <w:rFonts w:ascii="Liberation Sans" w:hAnsi="Liberation Sans" w:cs="Liberation Sans"/>
          <w:sz w:val="28"/>
          <w:szCs w:val="28"/>
        </w:rPr>
        <w:t xml:space="preserve">«Цифровая образовательная среда»</w:t>
      </w:r>
      <w:r>
        <w:rPr>
          <w:rFonts w:ascii="Liberation Sans" w:hAnsi="Liberation Sans" w:cs="Liberation Sans"/>
          <w:bCs/>
          <w:iCs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(национальный проект «Образование»).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30"/>
        <w:ind w:firstLine="708"/>
        <w:jc w:val="both"/>
        <w:spacing w:before="0" w:beforeAutospacing="0" w:after="0" w:afterAutospacing="0" w:line="240" w:lineRule="auto"/>
        <w:shd w:val="clear" w:color="ffffff" w:themeColor="background1" w:fill="ffffff" w:themeFill="background1"/>
      </w:pPr>
      <w:r>
        <w:rPr>
          <w:rFonts w:ascii="Liberation Sans" w:hAnsi="Liberation Sans" w:cs="Liberation Sans"/>
          <w:sz w:val="28"/>
          <w:szCs w:val="28"/>
        </w:rPr>
        <w:t xml:space="preserve">В 2023 году общеобразовательными организациями</w:t>
      </w:r>
      <w:r>
        <w:rPr>
          <w:rFonts w:ascii="Liberation Sans" w:hAnsi="Liberation Sans" w:cs="Liberation Sans"/>
          <w:sz w:val="28"/>
          <w:szCs w:val="28"/>
        </w:rPr>
        <w:t xml:space="preserve"> (100</w:t>
      </w:r>
      <w:r>
        <w:rPr>
          <w:rFonts w:ascii="Liberation Sans" w:hAnsi="Liberation Sans" w:cs="Liberation Sans"/>
          <w:sz w:val="28"/>
          <w:szCs w:val="28"/>
        </w:rPr>
        <w:t xml:space="preserve">%) получен доступ к федеральной государственной информационной системе «Моя школа» (далее - ФГИС «Моя школа») для пользователей с ролью «Педагогический работник». ФГИС «Моя школа» - это единая витрина данных для учителя, ученика и родителя в части доступа </w:t>
      </w:r>
      <w:r>
        <w:rPr>
          <w:rFonts w:ascii="Liberation Sans" w:hAnsi="Liberation Sans" w:cs="Liberation Sans"/>
          <w:sz w:val="28"/>
          <w:szCs w:val="28"/>
        </w:rPr>
        <w:br/>
        <w:t xml:space="preserve">к верифицированному цифровому образовательному </w:t>
      </w:r>
      <w:r>
        <w:rPr>
          <w:rFonts w:ascii="Liberation Sans" w:hAnsi="Liberation Sans" w:cs="Liberation Sans"/>
          <w:sz w:val="28"/>
          <w:szCs w:val="28"/>
        </w:rPr>
        <w:t xml:space="preserve">и воспитательному контенту. Ведется работа по регистрации в системе </w:t>
      </w:r>
      <w:r>
        <w:rPr>
          <w:rFonts w:ascii="Liberation Sans" w:hAnsi="Liberation Sans" w:cs="Liberation Sans"/>
          <w:sz w:val="28"/>
          <w:szCs w:val="28"/>
        </w:rPr>
        <w:t xml:space="preserve">участников образовательных отношений. Переход на работу в штатном режиме планируется с 1 сентября 2024 года.</w:t>
      </w:r>
      <w:r>
        <w:rPr>
          <w:rFonts w:ascii="Liberation Sans" w:hAnsi="Liberation Sans" w:cs="Liberation Sans"/>
          <w:sz w:val="28"/>
          <w:szCs w:val="28"/>
          <w:highlight w:val="lightGray"/>
        </w:rPr>
      </w:r>
      <w:r/>
    </w:p>
    <w:p>
      <w:pPr>
        <w:pStyle w:val="1180"/>
        <w:contextualSpacing w:val="0"/>
        <w:ind w:left="20" w:firstLine="720"/>
        <w:jc w:val="both"/>
        <w:spacing w:after="0" w:afterAutospacing="0" w:line="240" w:lineRule="auto"/>
        <w:shd w:val="clear" w:color="auto" w:fill="auto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spacing w:val="0"/>
          <w:sz w:val="28"/>
          <w:szCs w:val="28"/>
        </w:rPr>
        <w:t xml:space="preserve">Для осуществления безоп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асной коммуникации участников образовательного процесса все 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образо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вательные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 ор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ганизации зарегистрированы на информационно-коммуникационной образовательной платформе «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Сферум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» отечественного 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производства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.</w:t>
      </w:r>
      <w:r>
        <w:rPr>
          <w:spacing w:val="0"/>
          <w:highlight w:val="none"/>
        </w:rPr>
      </w:r>
      <w:r/>
    </w:p>
    <w:p>
      <w:pPr>
        <w:pStyle w:val="1130"/>
        <w:contextualSpacing w:val="0"/>
        <w:ind w:firstLine="708"/>
        <w:jc w:val="both"/>
        <w:spacing w:before="0" w:beforeAutospacing="0" w:after="0" w:afterAutospacing="0" w:line="240" w:lineRule="auto"/>
        <w:shd w:val="clear" w:color="ffffff" w:themeColor="background1" w:fill="ffffff" w:themeFill="background1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18 общеобразовательных организаций используют площадку ГКУ «Ресурсы Ямала» для размещения официальных сайтов организаций.</w:t>
      </w:r>
      <w:r>
        <w:rPr>
          <w:spacing w:val="0"/>
          <w:highlight w:val="none"/>
        </w:rPr>
      </w:r>
      <w:r/>
    </w:p>
    <w:p>
      <w:pPr>
        <w:pStyle w:val="1180"/>
        <w:contextualSpacing w:val="0"/>
        <w:ind w:left="20" w:firstLine="720"/>
        <w:jc w:val="both"/>
        <w:spacing w:after="0" w:afterAutospacing="0" w:line="240" w:lineRule="auto"/>
        <w:shd w:val="clear" w:color="auto" w:fill="auto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В рамках </w:t>
      </w:r>
      <w:r>
        <w:rPr>
          <w:rFonts w:ascii="Liberation Sans" w:hAnsi="Liberation Sans" w:cs="Liberation Sans"/>
          <w:bCs/>
          <w:spacing w:val="0"/>
          <w:sz w:val="28"/>
          <w:szCs w:val="28"/>
          <w:highlight w:val="none"/>
        </w:rPr>
        <w:t xml:space="preserve">регионального 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проекта «Информационная инфраструктура» (национальный проект «Цифровая экономика»</w:t>
      </w:r>
      <w:r>
        <w:rPr>
          <w:rFonts w:ascii="Liberation Sans" w:hAnsi="Liberation Sans" w:cs="Liberation Sans"/>
          <w:color w:val="auto"/>
          <w:spacing w:val="0"/>
          <w:sz w:val="28"/>
          <w:szCs w:val="28"/>
          <w:highlight w:val="none"/>
        </w:rPr>
        <w:t xml:space="preserve">).</w:t>
      </w:r>
      <w:r>
        <w:rPr>
          <w:spacing w:val="0"/>
          <w:highlight w:val="none"/>
        </w:rPr>
      </w:r>
      <w:r/>
    </w:p>
    <w:p>
      <w:pPr>
        <w:pStyle w:val="1180"/>
        <w:contextualSpacing w:val="0"/>
        <w:ind w:left="20" w:firstLine="720"/>
        <w:jc w:val="both"/>
        <w:spacing w:after="0" w:afterAutospacing="0" w:line="240" w:lineRule="auto"/>
        <w:shd w:val="clear" w:color="auto" w:fill="auto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Вс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е 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образовательные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 организации обеспечены доступом 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br/>
        <w:t xml:space="preserve">к высокоскоростному интернету посредством подключения к единой сети передачи данных с контент-филь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трацией и обеспечения 100% покрытия беспроводной сетью Интернет. В учебных классах установлены 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точки 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  <w:lang w:val="en-US"/>
        </w:rPr>
        <w:t xml:space="preserve">Wi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  <w:lang w:val="en-US"/>
        </w:rPr>
        <w:t xml:space="preserve">F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  <w:lang w:val="en-US"/>
        </w:rPr>
        <w:t xml:space="preserve">i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 на входных группах установлены видеокамеры.</w:t>
      </w:r>
      <w:r>
        <w:rPr>
          <w:spacing w:val="0"/>
          <w:highlight w:val="none"/>
        </w:rPr>
      </w:r>
      <w:r/>
    </w:p>
    <w:p>
      <w:pPr>
        <w:ind w:firstLine="709"/>
        <w:jc w:val="both"/>
        <w:spacing w:after="0" w:afterAutospacing="0" w:line="240" w:lineRule="auto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рамках регионального проекта «Безопасность дорожного движения» (национальный проект «Безопасные и к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ачественные автомобильные дороги»).</w:t>
      </w:r>
      <w:r>
        <w:rPr>
          <w:rFonts w:ascii="Liberation Sans" w:hAnsi="Liberation Sans" w:eastAsia="Calibri" w:cs="Liberation Sans"/>
          <w:color w:val="000000"/>
          <w:sz w:val="28"/>
          <w:szCs w:val="28"/>
          <w:highlight w:val="green"/>
        </w:rPr>
      </w:r>
      <w:r/>
    </w:p>
    <w:p>
      <w:pPr>
        <w:ind w:firstLine="709"/>
        <w:jc w:val="both"/>
        <w:spacing w:after="0" w:afterAutospacing="0" w:line="240" w:lineRule="auto"/>
      </w:pPr>
      <w:r>
        <w:rPr>
          <w:rFonts w:ascii="Liberation Sans" w:hAnsi="Liberation Sans" w:eastAsia="Calibri" w:cs="Liberation Sans"/>
          <w:color w:val="000000"/>
          <w:sz w:val="28"/>
          <w:szCs w:val="28"/>
        </w:rPr>
        <w:t xml:space="preserve">С начала 2023/2024 учебного года в целях профилактики детского дорожно-транспортного травматизма:</w:t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</w:pPr>
      <w:r>
        <w:rPr>
          <w:rFonts w:ascii="Liberation Sans" w:hAnsi="Liberation Sans" w:eastAsia="Calibri" w:cs="Liberation Sans"/>
          <w:color w:val="000000"/>
          <w:sz w:val="28"/>
          <w:szCs w:val="28"/>
        </w:rPr>
        <w:t xml:space="preserve">- проведено 64 интеллектуально-развивающих игры по ПДД «Викторина» среди начальных классов общеобразовательных организаций. Охват - более </w:t>
      </w:r>
      <w:r>
        <w:rPr>
          <w:rFonts w:ascii="Liberation Sans" w:hAnsi="Liberation Sans" w:eastAsia="Calibri" w:cs="Liberation Sans"/>
          <w:color w:val="000000"/>
          <w:sz w:val="28"/>
          <w:szCs w:val="28"/>
        </w:rPr>
        <w:t xml:space="preserve">1,5 тыс. детей;</w:t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</w:pPr>
      <w:r>
        <w:rPr>
          <w:rFonts w:ascii="Liberation Sans" w:hAnsi="Liberation Sans" w:eastAsia="Calibri" w:cs="Liberation Sans"/>
          <w:color w:val="000000"/>
          <w:sz w:val="28"/>
          <w:szCs w:val="28"/>
        </w:rPr>
        <w:t xml:space="preserve">- проведены «Уроки ПДД» на темы: «Безопасность пешеходов», «Безопасность пассажиров», «Использование наушников и других </w:t>
      </w:r>
      <w:r>
        <w:rPr>
          <w:rFonts w:ascii="Liberation Sans" w:hAnsi="Liberation Sans" w:eastAsia="Calibri"/>
          <w:sz w:val="28"/>
          <w:szCs w:val="28"/>
        </w:rPr>
        <w:t xml:space="preserve">гаджетов при переходе проезжей части», «Первая помощь при ДТП» </w:t>
      </w:r>
      <w:r>
        <w:rPr>
          <w:rFonts w:ascii="Liberation Sans" w:hAnsi="Liberation Sans" w:eastAsia="Calibri"/>
          <w:sz w:val="28"/>
          <w:szCs w:val="28"/>
        </w:rPr>
        <w:br/>
        <w:t xml:space="preserve">в общеобразовательных организациях. Охват - более 700 детей.</w:t>
      </w:r>
      <w:r>
        <w:rPr>
          <w:rFonts w:ascii="Liberation Sans" w:hAnsi="Liberation Sans" w:eastAsia="Calibri"/>
        </w:rPr>
      </w:r>
      <w:r/>
    </w:p>
    <w:p>
      <w:pPr>
        <w:contextualSpacing/>
        <w:ind w:firstLine="708"/>
        <w:jc w:val="both"/>
        <w:spacing w:after="0" w:afterAutospacing="0" w:line="240" w:lineRule="auto"/>
        <w:widowControl w:val="off"/>
        <w:rPr>
          <w:rFonts w:ascii="Liberation Sans" w:hAnsi="Liberation Sans" w:cs="Liberation Sans"/>
          <w:color w:val="000000"/>
          <w:sz w:val="28"/>
          <w:szCs w:val="28"/>
          <w14:ligatures w14:val="none"/>
        </w:rPr>
      </w:pPr>
      <w:r>
        <w:rPr>
          <w:rFonts w:ascii="Liberation Sans" w:hAnsi="Liberation Sans" w:cs="Liberation Sans"/>
          <w:bCs/>
          <w:color w:val="000000"/>
          <w:sz w:val="28"/>
          <w:szCs w:val="28"/>
        </w:rPr>
        <w:t xml:space="preserve">В 49 </w:t>
      </w:r>
      <w:r>
        <w:rPr>
          <w:rFonts w:ascii="Liberation Sans" w:hAnsi="Liberation Sans" w:cs="Liberation Sans"/>
          <w:bCs/>
          <w:color w:val="000000"/>
          <w:sz w:val="28"/>
          <w:szCs w:val="28"/>
        </w:rPr>
        <w:t xml:space="preserve">образовательных организациях</w:t>
      </w:r>
      <w:r>
        <w:rPr>
          <w:rFonts w:ascii="Liberation Sans" w:hAnsi="Liberation Sans" w:cs="Liberation Sans"/>
          <w:bCs/>
          <w:color w:val="000000"/>
          <w:sz w:val="28"/>
          <w:szCs w:val="28"/>
        </w:rPr>
        <w:t xml:space="preserve"> проведены демонстрации ви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деороликов социальной рекламы по безопасности дорожного движения. </w:t>
      </w:r>
      <w:r>
        <w:rPr>
          <w:rFonts w:ascii="Liberation Sans" w:hAnsi="Liberation Sans" w:cs="Liberation Sans"/>
          <w:color w:val="000000"/>
          <w:sz w:val="28"/>
          <w:szCs w:val="28"/>
          <w14:ligatures w14:val="none"/>
        </w:rPr>
      </w:r>
      <w:r/>
    </w:p>
    <w:p>
      <w:pPr>
        <w:contextualSpacing/>
        <w:ind w:firstLine="708"/>
        <w:jc w:val="both"/>
        <w:spacing w:after="0" w:afterAutospacing="0" w:line="240" w:lineRule="auto"/>
        <w:widowControl w:val="off"/>
        <w:rPr>
          <w:rFonts w:ascii="Liberation Sans" w:hAnsi="Liberation Sans" w:cs="Liberation Sans"/>
          <w:color w:val="000000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000000"/>
          <w:sz w:val="28"/>
          <w:szCs w:val="28"/>
        </w:rPr>
        <w:t xml:space="preserve">Общая укомплектованность 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общеобразовательных организаци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й 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педагогическими кадрами составила 95,0% (2022 год - 96,4%, </w:t>
        <w:br/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2021 год - 96,3%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). 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В 2022/2023 учебном году доля аттестованных педагогов в обще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образовательных организациях составила 59,5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%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 (2022 год (уточн.) -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67,88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%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2021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 год (уточн.) - 65,66%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  <w14:ligatures w14:val="none"/>
        </w:rPr>
      </w:r>
      <w:r/>
    </w:p>
    <w:p>
      <w:pPr>
        <w:contextualSpacing/>
        <w:ind w:firstLine="708"/>
        <w:jc w:val="both"/>
        <w:spacing w:after="0" w:afterAutospacing="0" w:line="240" w:lineRule="auto"/>
        <w:widowControl w:val="off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Обучающиеся обеспечены безопасным и качественным питание</w:t>
      </w:r>
      <w:r>
        <w:rPr>
          <w:rFonts w:ascii="Liberation Sans" w:hAnsi="Liberation Sans" w:cs="Liberation Sans"/>
          <w:sz w:val="28"/>
          <w:szCs w:val="28"/>
        </w:rPr>
        <w:t xml:space="preserve">м в соответствии с СанПиН по возрастным и физиологическим потребностям в пищевых веществах и энергии, рекомендуемой массой порций блюд.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20"/>
        <w:jc w:val="both"/>
        <w:spacing w:after="0" w:afterAutospacing="0" w:line="240" w:lineRule="auto"/>
      </w:pPr>
      <w:r>
        <w:rPr>
          <w:rFonts w:ascii="Liberation Sans" w:hAnsi="Liberation Sans" w:cs="Liberation Sans"/>
          <w:bCs/>
          <w:sz w:val="28"/>
          <w:szCs w:val="28"/>
        </w:rPr>
        <w:t xml:space="preserve">Охват обучающихся горячим питанием составил 95,8% </w:t>
        <w:br/>
        <w:t xml:space="preserve">(2022 год - 93,9%, 2021 год - 87,9%).</w:t>
      </w:r>
      <w:r/>
    </w:p>
    <w:p>
      <w:pPr>
        <w:pStyle w:val="1130"/>
        <w:ind w:firstLine="709"/>
        <w:jc w:val="both"/>
        <w:spacing w:before="0" w:beforeAutospacing="0" w:after="0" w:afterAutospacing="0" w:line="240" w:lineRule="auto"/>
        <w:shd w:val="clear" w:color="auto" w:fill="ffffff"/>
      </w:pPr>
      <w:r>
        <w:rPr>
          <w:rFonts w:ascii="Liberation Sans" w:hAnsi="Liberation Sans" w:cs="Liberation Sans"/>
          <w:sz w:val="28"/>
          <w:szCs w:val="28"/>
        </w:rPr>
        <w:t xml:space="preserve">В 2023 году </w:t>
      </w:r>
      <w:r>
        <w:rPr>
          <w:rFonts w:ascii="Liberation Sans" w:hAnsi="Liberation Sans" w:cs="Liberation Sans"/>
          <w:sz w:val="28"/>
          <w:szCs w:val="28"/>
        </w:rPr>
        <w:t xml:space="preserve">в 9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общеобразовательных организациях</w:t>
      </w:r>
      <w:r>
        <w:rPr>
          <w:rFonts w:ascii="Liberation Sans" w:hAnsi="Liberation Sans" w:cs="Liberation Sans"/>
          <w:sz w:val="28"/>
          <w:szCs w:val="28"/>
        </w:rPr>
        <w:t xml:space="preserve"> произведена замена устаревшего технологического и холодильного оборудования</w:t>
      </w:r>
      <w:r>
        <w:rPr>
          <w:rFonts w:ascii="Liberation Sans" w:hAnsi="Liberation Sans" w:cs="Liberation Sans"/>
          <w:sz w:val="28"/>
          <w:szCs w:val="28"/>
        </w:rPr>
        <w:t xml:space="preserve">. 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Liberation Sans" w:cs="Liberation Sans"/>
          <w:sz w:val="28"/>
          <w:szCs w:val="28"/>
        </w:rPr>
      </w:pPr>
      <w:r>
        <w:rPr>
          <w:rFonts w:ascii="Liberation Sans" w:hAnsi="Liberation Sans" w:eastAsia="Liberation Sans" w:cs="Liberation Sans"/>
          <w:bCs/>
          <w:sz w:val="28"/>
          <w:szCs w:val="28"/>
        </w:rPr>
        <w:t xml:space="preserve">В целях обеспечения антитеррористиче</w:t>
      </w:r>
      <w:r>
        <w:rPr>
          <w:rFonts w:ascii="Liberation Sans" w:hAnsi="Liberation Sans" w:eastAsia="Liberation Sans" w:cs="Liberation Sans"/>
          <w:bCs/>
          <w:sz w:val="28"/>
          <w:szCs w:val="28"/>
        </w:rPr>
        <w:t xml:space="preserve">ской безопасности</w:t>
      </w:r>
      <w:r>
        <w:rPr>
          <w:rFonts w:ascii="Liberation Sans" w:hAnsi="Liberation Sans" w:eastAsia="Liberation Sans" w:cs="Liberation Sans"/>
          <w:bCs/>
          <w:sz w:val="28"/>
          <w:szCs w:val="28"/>
        </w:rPr>
        <w:t xml:space="preserve">, </w:t>
      </w:r>
      <w:r>
        <w:rPr>
          <w:rFonts w:ascii="Liberation Sans" w:hAnsi="Liberation Sans" w:eastAsia="Liberation Sans" w:cs="Liberation Sans"/>
          <w:bCs/>
          <w:sz w:val="28"/>
          <w:szCs w:val="28"/>
          <w:highlight w:val="none"/>
        </w:rPr>
        <w:t xml:space="preserve">своевременного информирования</w:t>
      </w:r>
      <w:r>
        <w:rPr>
          <w:rFonts w:ascii="Liberation Sans" w:hAnsi="Liberation Sans" w:eastAsia="Liberation Sans" w:cs="Liberation Sans"/>
          <w:bCs/>
          <w:sz w:val="28"/>
          <w:szCs w:val="28"/>
          <w:highlight w:val="none"/>
        </w:rPr>
        <w:t xml:space="preserve"> об угрозе или возникновении чрезвычайных ситуаций</w:t>
      </w:r>
      <w:r>
        <w:rPr>
          <w:rFonts w:ascii="Liberation Sans" w:hAnsi="Liberation Sans" w:eastAsia="Liberation Sans" w:cs="Liberation Sans"/>
          <w:bCs/>
          <w:sz w:val="28"/>
          <w:szCs w:val="28"/>
        </w:rPr>
        <w:t xml:space="preserve">:</w:t>
      </w:r>
      <w:r>
        <w:rPr>
          <w:rFonts w:ascii="Liberation Sans" w:hAnsi="Liberation Sans" w:eastAsia="Liberation Sans" w:cs="Liberation Sans"/>
          <w:sz w:val="28"/>
          <w:szCs w:val="28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bCs/>
          <w:sz w:val="28"/>
          <w:szCs w:val="28"/>
        </w:rPr>
        <w:t xml:space="preserve">-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н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а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11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объектах (МБОУ «СШ № 1», МАОУ «СШ «Перспектива», МАОУ СОШ № 4,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 МБОУ «СШ № 7», МБОУ «СШ № 8»,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МБОУ СШ № 11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, МБОУ КСОШ имени Героя РФ В.И.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Шарпатова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, МБОУ СШ № 16, МБОУ «СШ № 17», МБОУС(К)Ш № 18 и МБОУ Гимназия)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 проведены работы по установке системы охранной сигнализации;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Liberation Sans" w:cs="Liberation Sans"/>
          <w:sz w:val="28"/>
          <w:szCs w:val="28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-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в </w:t>
      </w:r>
      <w:r>
        <w:rPr>
          <w:rFonts w:ascii="Liberation Sans" w:hAnsi="Liberation Sans" w:cs="Liberation Sans"/>
          <w:sz w:val="28"/>
          <w:szCs w:val="28"/>
        </w:rPr>
        <w:t xml:space="preserve">МАОУ СОШ № 4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 проведена замена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периметрального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 ограждения территории и установка системы контроля и управления доступом на калитки;</w:t>
      </w:r>
      <w:r>
        <w:rPr>
          <w:rFonts w:ascii="Liberation Sans" w:hAnsi="Liberation Sans" w:eastAsia="Liberation Sans" w:cs="Liberation Sans"/>
          <w:sz w:val="28"/>
          <w:szCs w:val="28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Liberation Sans" w:cs="Liberation Sans"/>
          <w:sz w:val="28"/>
          <w:szCs w:val="28"/>
        </w:rPr>
      </w:pPr>
      <w:r>
        <w:rPr>
          <w:rFonts w:ascii="Liberation Sans" w:hAnsi="Liberation Sans" w:eastAsia="Liberation Sans" w:cs="Liberation Sans"/>
          <w:sz w:val="28"/>
          <w:szCs w:val="28"/>
        </w:rPr>
        <w:t xml:space="preserve">-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на 3 объектах (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МАОУ СОШ № 4, МБОУ «СШ № 8», МБОУ Гимназия)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установлена автономная система экстренного оповещения работников, обучающихся и иных лиц, находящихся на объекте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(территории), о потенциальной угрозе возникновения или </w:t>
        <w:br/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о возникновении чрезвычайной ситуации, отдельную от системы АПС и СОУЭ.</w:t>
      </w:r>
      <w:r>
        <w:rPr>
          <w:rFonts w:ascii="Liberation Sans" w:hAnsi="Liberation Sans" w:eastAsia="Liberation Sans" w:cs="Liberation Sans"/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eastAsia="Liberation Sans" w:cs="Liberation Sans"/>
          <w:sz w:val="28"/>
          <w:szCs w:val="28"/>
        </w:rPr>
      </w:pPr>
      <w:r>
        <w:rPr>
          <w:rFonts w:ascii="Liberation Sans" w:hAnsi="Liberation Sans" w:eastAsia="Liberation Sans" w:cs="Liberation Sans"/>
          <w:sz w:val="28"/>
          <w:szCs w:val="28"/>
        </w:rPr>
        <w:t xml:space="preserve">В отчетном периоде уровень профессиональной деятельности </w:t>
      </w:r>
      <w:r>
        <w:rPr>
          <w:rFonts w:ascii="Liberation Sans" w:hAnsi="Liberation Sans" w:eastAsia="Liberation Sans" w:cs="Liberation Sans"/>
          <w:sz w:val="28"/>
          <w:szCs w:val="28"/>
        </w:rPr>
        <w:br/>
        <w:t xml:space="preserve">в общем образовании отмечен высокими наградами:</w:t>
      </w:r>
      <w:r>
        <w:rPr>
          <w:rFonts w:ascii="Liberation Sans" w:hAnsi="Liberation Sans" w:eastAsia="Liberation Sans" w:cs="Liberation Sans"/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</w:rPr>
        <w:t xml:space="preserve">- </w:t>
      </w:r>
      <w:r>
        <w:rPr>
          <w:rFonts w:ascii="Liberation Sans" w:hAnsi="Liberation Sans" w:cs="Liberation Sans"/>
          <w:sz w:val="28"/>
          <w:szCs w:val="28"/>
        </w:rPr>
        <w:t xml:space="preserve">Яшкин Роберт, ученик МБОУ Гимназия, - победитель заключительного этапа Всероссийской олимпиады школьников </w:t>
      </w:r>
      <w:r>
        <w:rPr>
          <w:rFonts w:ascii="Liberation Sans" w:hAnsi="Liberation Sans" w:cs="Liberation Sans"/>
          <w:sz w:val="28"/>
          <w:szCs w:val="28"/>
        </w:rPr>
        <w:br/>
        <w:t xml:space="preserve">(далее - 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СОШ) по информатике, призер заключительного этапа ВСОШ по экономике и русскому языку, </w:t>
      </w:r>
      <w:r>
        <w:rPr>
          <w:rFonts w:ascii="Liberation Sans" w:hAnsi="Liberation Sans" w:eastAsia="Arial" w:cs="Liberation Sans"/>
          <w:color w:val="000000"/>
          <w:sz w:val="28"/>
          <w:szCs w:val="28"/>
          <w:highlight w:val="none"/>
        </w:rPr>
        <w:t xml:space="preserve">победитель заключительного этапа олимпиады </w:t>
      </w:r>
      <w:r>
        <w:rPr>
          <w:rFonts w:ascii="Liberation Sans" w:hAnsi="Liberation Sans" w:eastAsia="Arial" w:cs="Liberation Sans"/>
          <w:color w:val="000000"/>
          <w:sz w:val="28"/>
          <w:szCs w:val="28"/>
          <w:highlight w:val="none"/>
        </w:rPr>
        <w:t xml:space="preserve">«Фи</w:t>
      </w:r>
      <w:r>
        <w:rPr>
          <w:rFonts w:ascii="Liberation Sans" w:hAnsi="Liberation Sans" w:eastAsia="Arial" w:cs="Liberation Sans"/>
          <w:color w:val="000000"/>
          <w:sz w:val="28"/>
          <w:szCs w:val="28"/>
          <w:highlight w:val="none"/>
        </w:rPr>
        <w:t xml:space="preserve">зтех»</w:t>
      </w:r>
      <w:r>
        <w:rPr>
          <w:rFonts w:ascii="Liberation Sans" w:hAnsi="Liberation Sans" w:eastAsia="Arial" w:cs="Liberation Sans"/>
          <w:color w:val="000000"/>
          <w:sz w:val="28"/>
          <w:szCs w:val="28"/>
          <w:highlight w:val="none"/>
        </w:rPr>
        <w:t xml:space="preserve"> по физике и математике</w:t>
      </w:r>
      <w:r>
        <w:rPr>
          <w:rFonts w:ascii="Liberation Sans" w:hAnsi="Liberation Sans" w:eastAsia="Arial" w:cs="Liberation Sans"/>
          <w:color w:val="000000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тавкин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Матвей, ученик МБОУ Гимназия, - призер заключительного этапа ВСОШ по экономике;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Малежик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Кристина, ученица МБОУ Гимназия, - призер заключительного этапа ВСОШ по физической культуре;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highlight w:val="none"/>
        </w:rPr>
        <w:t xml:space="preserve">- 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Захарова Александра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ученица МАОУ СОШ № 4, 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Мечков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 Денис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ученик МБОУ «СШ им. Д.И.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Коротчаева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», - победители 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Всероссийского конкурса «Большая перемена» среди обучающихся 5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 - 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7 классов 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br/>
        <w:t xml:space="preserve">и международного слета «Планета 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б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ольших 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еремен»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sz w:val="28"/>
          <w:szCs w:val="28"/>
          <w:lang w:val="ru-RU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 w:themeFill="background1"/>
          <w:lang w:val="ru-RU"/>
        </w:rPr>
        <w:t xml:space="preserve">Верзунов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 w:themeFill="background1"/>
          <w:lang w:val="ru-RU"/>
        </w:rPr>
        <w:t xml:space="preserve"> Кирилл и Стариков Никита (команда «Символьная матрица»),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 w:themeFill="background1"/>
          <w:lang w:val="ru-RU"/>
        </w:rPr>
        <w:t xml:space="preserve">Нажипов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 w:themeFill="background1"/>
          <w:lang w:val="ru-RU"/>
        </w:rPr>
        <w:t xml:space="preserve"> Руслан и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 w:themeFill="background1"/>
          <w:lang w:val="ru-RU"/>
        </w:rPr>
        <w:t xml:space="preserve">Пасика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 w:themeFill="background1"/>
          <w:lang w:val="ru-RU"/>
        </w:rPr>
        <w:t xml:space="preserve"> Денис (команда «Тяжел</w:t>
      </w:r>
      <w:r>
        <w:rPr>
          <w:rFonts w:ascii="Liberation Sans" w:hAnsi="Liberation Sans" w:cs="Liberation Sans"/>
          <w:sz w:val="28"/>
          <w:szCs w:val="28"/>
          <w:shd w:val="clear" w:color="auto" w:fill="ffffff" w:themeFill="background1"/>
          <w:lang w:val="ru-RU"/>
        </w:rPr>
        <w:t xml:space="preserve">о_1»), </w:t>
      </w:r>
      <w:r>
        <w:rPr>
          <w:rFonts w:ascii="Liberation Sans" w:hAnsi="Liberation Sans" w:cs="Liberation Sans"/>
          <w:sz w:val="28"/>
          <w:szCs w:val="28"/>
          <w:shd w:val="clear" w:color="auto" w:fill="ffffff" w:themeFill="background1"/>
          <w:lang w:val="ru-RU"/>
        </w:rPr>
        <w:t xml:space="preserve">Ишбулдина</w:t>
      </w:r>
      <w:r>
        <w:rPr>
          <w:rFonts w:ascii="Liberation Sans" w:hAnsi="Liberation Sans" w:cs="Liberation Sans"/>
          <w:sz w:val="28"/>
          <w:szCs w:val="28"/>
          <w:shd w:val="clear" w:color="auto" w:fill="ffffff" w:themeFill="background1"/>
          <w:lang w:val="ru-RU"/>
        </w:rPr>
        <w:t xml:space="preserve"> Азалия и Худякова Алиса (команда «Тяжело_2»)</w:t>
      </w:r>
      <w:r>
        <w:rPr>
          <w:rFonts w:ascii="Liberation Sans" w:hAnsi="Liberation Sans" w:cs="Liberation Sans"/>
          <w:sz w:val="28"/>
          <w:szCs w:val="28"/>
          <w:lang w:val="ru-RU"/>
        </w:rPr>
        <w:t xml:space="preserve">, ученики МАОУ СОШ № 3, – победители финального этапа Всероссийской междисциплинарной олимпиады школьников «Национальная технологическая олимпиада </w:t>
      </w:r>
      <w:r>
        <w:rPr>
          <w:rFonts w:ascii="Liberation Sans" w:hAnsi="Liberation Sans" w:cs="Liberation Sans"/>
          <w:sz w:val="28"/>
          <w:szCs w:val="28"/>
        </w:rPr>
        <w:t xml:space="preserve">Junior</w:t>
      </w:r>
      <w:r>
        <w:rPr>
          <w:rFonts w:ascii="Liberation Sans" w:hAnsi="Liberation Sans" w:cs="Liberation Sans"/>
          <w:sz w:val="28"/>
          <w:szCs w:val="28"/>
          <w:lang w:val="ru-RU"/>
        </w:rPr>
        <w:t xml:space="preserve">»;</w:t>
      </w:r>
      <w:r>
        <w:rPr>
          <w:rFonts w:ascii="Liberation Sans" w:hAnsi="Liberation Sans" w:cs="Liberation Sans"/>
          <w:sz w:val="28"/>
          <w:szCs w:val="28"/>
          <w:lang w:val="ru-RU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</w:pPr>
      <w:r>
        <w:rPr>
          <w:rFonts w:ascii="Liberation Sans" w:hAnsi="Liberation Sans" w:cs="Liberation Sans"/>
          <w:sz w:val="28"/>
          <w:szCs w:val="28"/>
          <w:lang w:val="ru-RU"/>
        </w:rPr>
      </w:r>
      <w:r>
        <w:t xml:space="preserve">- </w:t>
      </w:r>
      <w:r>
        <w:rPr>
          <w:rFonts w:ascii="Liberation Sans" w:hAnsi="Liberation Sans" w:cs="Liberation Sans" w:eastAsiaTheme="minorEastAsia"/>
          <w:sz w:val="28"/>
          <w:szCs w:val="28"/>
        </w:rPr>
        <w:t xml:space="preserve">Джимакаев</w:t>
      </w:r>
      <w:r>
        <w:rPr>
          <w:rFonts w:ascii="Liberation Sans" w:hAnsi="Liberation Sans" w:cs="Liberation Sans" w:eastAsiaTheme="minorEastAsia"/>
          <w:sz w:val="28"/>
          <w:szCs w:val="28"/>
        </w:rPr>
        <w:t xml:space="preserve"> </w:t>
      </w:r>
      <w:r>
        <w:rPr>
          <w:rFonts w:ascii="Liberation Sans" w:hAnsi="Liberation Sans" w:cs="Liberation Sans" w:eastAsiaTheme="minorEastAsia"/>
          <w:sz w:val="28"/>
          <w:szCs w:val="28"/>
        </w:rPr>
        <w:t xml:space="preserve">Юсуп</w:t>
      </w:r>
      <w:r>
        <w:rPr>
          <w:rFonts w:ascii="Liberation Sans" w:hAnsi="Liberation Sans" w:cs="Liberation Sans" w:eastAsiaTheme="minorEastAsia"/>
          <w:sz w:val="28"/>
          <w:szCs w:val="28"/>
        </w:rPr>
        <w:t xml:space="preserve">, ученик МАОУ «СШ «Перспектива», - призер заключительного всероссийского этапа конкурса научно-технологических проектов «Большие вызовы»;</w:t>
      </w:r>
      <w:r>
        <w:t xml:space="preserve"> </w:t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highlight w:val="none"/>
        </w:rPr>
      </w:pPr>
      <w:r>
        <w:t xml:space="preserve">- </w:t>
      </w:r>
      <w:r>
        <w:rPr>
          <w:rFonts w:ascii="Liberation Sans" w:hAnsi="Liberation Sans" w:cs="Liberation Sans" w:eastAsiaTheme="minorEastAsia"/>
          <w:sz w:val="28"/>
          <w:szCs w:val="28"/>
        </w:rPr>
        <w:t xml:space="preserve">Беккер Николай, ученик МБОУ «СШ № 17», </w:t>
      </w:r>
      <w:r>
        <w:rPr>
          <w:rFonts w:ascii="Liberation Sans" w:hAnsi="Liberation Sans" w:cs="Liberation Sans" w:eastAsiaTheme="minorEastAsia"/>
          <w:sz w:val="28"/>
          <w:szCs w:val="28"/>
        </w:rPr>
        <w:t xml:space="preserve">Гембицкий</w:t>
      </w:r>
      <w:r>
        <w:rPr>
          <w:rFonts w:ascii="Liberation Sans" w:hAnsi="Liberation Sans" w:cs="Liberation Sans" w:eastAsiaTheme="minorEastAsia"/>
          <w:sz w:val="28"/>
          <w:szCs w:val="28"/>
        </w:rPr>
        <w:t xml:space="preserve"> Егор, ученик МАОУ СОШ № 3, Григорьев Максим, ученик МАОУ «СШ «Перспектива», </w:t>
      </w:r>
      <w:r>
        <w:rPr>
          <w:rFonts w:ascii="Liberation Sans" w:hAnsi="Liberation Sans" w:cs="Liberation Sans" w:eastAsiaTheme="minorEastAsia"/>
          <w:sz w:val="28"/>
          <w:szCs w:val="28"/>
        </w:rPr>
        <w:t xml:space="preserve">Джимакаев</w:t>
      </w:r>
      <w:r>
        <w:rPr>
          <w:rFonts w:ascii="Liberation Sans" w:hAnsi="Liberation Sans" w:cs="Liberation Sans" w:eastAsiaTheme="minorEastAsia"/>
          <w:sz w:val="28"/>
          <w:szCs w:val="28"/>
        </w:rPr>
        <w:t xml:space="preserve"> </w:t>
      </w:r>
      <w:r>
        <w:rPr>
          <w:rFonts w:ascii="Liberation Sans" w:hAnsi="Liberation Sans" w:cs="Liberation Sans" w:eastAsiaTheme="minorEastAsia"/>
          <w:sz w:val="28"/>
          <w:szCs w:val="28"/>
        </w:rPr>
        <w:t xml:space="preserve">Юсуп</w:t>
      </w:r>
      <w:r>
        <w:rPr>
          <w:rFonts w:ascii="Liberation Sans" w:hAnsi="Liberation Sans" w:cs="Liberation Sans" w:eastAsiaTheme="minorEastAsia"/>
          <w:sz w:val="28"/>
          <w:szCs w:val="28"/>
        </w:rPr>
        <w:t xml:space="preserve">, ученик МАО</w:t>
      </w:r>
      <w:r>
        <w:rPr>
          <w:rFonts w:ascii="Liberation Sans" w:hAnsi="Liberation Sans" w:cs="Liberation Sans" w:eastAsiaTheme="minorEastAsia"/>
          <w:sz w:val="28"/>
          <w:szCs w:val="28"/>
          <w:highlight w:val="none"/>
        </w:rPr>
        <w:t xml:space="preserve">У «СШ «Перспектива», </w:t>
      </w:r>
      <w:r>
        <w:rPr>
          <w:rFonts w:ascii="Liberation Sans" w:hAnsi="Liberation Sans" w:cs="Liberation Sans" w:eastAsiaTheme="minorEastAsia"/>
          <w:sz w:val="28"/>
          <w:szCs w:val="28"/>
          <w:highlight w:val="none"/>
        </w:rPr>
        <w:t xml:space="preserve">Нуржанова</w:t>
      </w:r>
      <w:r>
        <w:rPr>
          <w:rFonts w:ascii="Liberation Sans" w:hAnsi="Liberation Sans" w:cs="Liberation Sans" w:eastAsiaTheme="minorEastAsia"/>
          <w:sz w:val="28"/>
          <w:szCs w:val="28"/>
          <w:highlight w:val="none"/>
        </w:rPr>
        <w:t xml:space="preserve"> Дарья, ученица МАОУ СОШ № 4, </w:t>
      </w:r>
      <w:r>
        <w:rPr>
          <w:rFonts w:ascii="Liberation Sans" w:hAnsi="Liberation Sans" w:cs="Liberation Sans" w:eastAsiaTheme="minorEastAsia"/>
          <w:sz w:val="28"/>
          <w:szCs w:val="28"/>
          <w:highlight w:val="none"/>
        </w:rPr>
        <w:t xml:space="preserve">Шитикова</w:t>
      </w:r>
      <w:r>
        <w:rPr>
          <w:rFonts w:ascii="Liberation Sans" w:hAnsi="Liberation Sans" w:cs="Liberation Sans" w:eastAsiaTheme="minorEastAsia"/>
          <w:sz w:val="28"/>
          <w:szCs w:val="28"/>
          <w:highlight w:val="none"/>
        </w:rPr>
        <w:t xml:space="preserve"> Виктория</w:t>
      </w:r>
      <w:r>
        <w:rPr>
          <w:rFonts w:ascii="Liberation Sans" w:hAnsi="Liberation Sans" w:cs="Liberation Sans" w:eastAsiaTheme="minorEastAsia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 w:eastAsiaTheme="minorEastAsia"/>
          <w:sz w:val="28"/>
          <w:szCs w:val="28"/>
          <w:highlight w:val="none"/>
        </w:rPr>
        <w:t xml:space="preserve">ученица МАОУ СОШ № 4, - победители регионального этапа конкурса научно-технологических проектов «Большие вызовы»;</w:t>
      </w:r>
      <w:r>
        <w:rPr>
          <w:highlight w:val="none"/>
        </w:rPr>
        <w:t xml:space="preserve"> 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highlight w:val="none"/>
        </w:rPr>
      </w:pPr>
      <w:r>
        <w:rPr>
          <w:highlight w:val="none"/>
        </w:rPr>
        <w:t xml:space="preserve">-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Иваненко Артем, </w:t>
      </w:r>
      <w:r>
        <w:rPr>
          <w:rFonts w:ascii="Liberation Sans" w:hAnsi="Liberation Sans" w:cs="Liberation Sans" w:eastAsiaTheme="minorEastAsia"/>
          <w:sz w:val="28"/>
          <w:szCs w:val="28"/>
          <w:highlight w:val="none"/>
        </w:rPr>
        <w:t xml:space="preserve">ученик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МАОУ «Прогимназия «Центр детства»; Мишин Сергей, </w:t>
      </w:r>
      <w:r>
        <w:rPr>
          <w:rFonts w:ascii="Liberation Sans" w:hAnsi="Liberation Sans" w:cs="Liberation Sans" w:eastAsiaTheme="minorEastAsia"/>
          <w:sz w:val="28"/>
          <w:szCs w:val="28"/>
          <w:highlight w:val="none"/>
        </w:rPr>
        <w:t xml:space="preserve">ученик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МБОУ СШ № 11;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Либерт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 Софья, </w:t>
      </w:r>
      <w:r>
        <w:rPr>
          <w:rFonts w:ascii="Liberation Sans" w:hAnsi="Liberation Sans" w:cs="Liberation Sans" w:eastAsiaTheme="minorEastAsia"/>
          <w:sz w:val="28"/>
          <w:szCs w:val="28"/>
          <w:highlight w:val="none"/>
        </w:rPr>
        <w:t xml:space="preserve">ученица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МБОУ «СШ № 17», - призеры II межрегиональн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ого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чемпионат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 «Юный мастер - 2023»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;</w:t>
      </w:r>
      <w:r>
        <w:rPr>
          <w:highlight w:val="none"/>
        </w:rPr>
        <w:t xml:space="preserve"> 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highlight w:val="none"/>
        </w:rPr>
      </w:pPr>
      <w:r>
        <w:rPr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ученики 3а класса МБОУ «СШ № 5» - победители региональной смены программы «Содружество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рлят России»;</w:t>
      </w:r>
      <w:r>
        <w:rPr>
          <w:highlight w:val="none"/>
        </w:rPr>
        <w:t xml:space="preserve"> 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highlight w:val="none"/>
        </w:rPr>
      </w:pPr>
      <w:r>
        <w:rPr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ученики МБОУ «СШ № 1» - победители регионального конкурса «Экскурсионно-образовательный маршрут «#Мой Ямал»;</w:t>
      </w:r>
      <w:r>
        <w:rPr>
          <w:highlight w:val="none"/>
        </w:rPr>
        <w:t xml:space="preserve"> 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Новосад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Н.А., заместитель директора по УВР МАОУ</w:t>
      </w:r>
      <w:r>
        <w:rPr>
          <w:rFonts w:ascii="Liberation Sans" w:hAnsi="Liberation Sans" w:cs="Liberation Sans"/>
          <w:sz w:val="28"/>
          <w:szCs w:val="28"/>
        </w:rPr>
        <w:t xml:space="preserve"> СОШ № 3, - обладатель медали ордена «За заслуги перед Отечеством» II степени;</w:t>
      </w:r>
      <w:r>
        <w:rPr>
          <w:rFonts w:ascii="Liberation Sans" w:hAnsi="Liberation Sans" w:cs="Liberation Sans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eastAsia="Liberation Serif" w:cs="Liberation Sans"/>
          <w:sz w:val="28"/>
          <w:szCs w:val="28"/>
          <w:highlight w:val="none"/>
        </w:rPr>
      </w:pPr>
      <w:r>
        <w:t xml:space="preserve">- </w:t>
      </w:r>
      <w:r>
        <w:rPr>
          <w:rFonts w:ascii="Liberation Sans" w:hAnsi="Liberation Sans" w:cs="Liberation Sans"/>
          <w:sz w:val="28"/>
          <w:szCs w:val="28"/>
        </w:rPr>
        <w:t xml:space="preserve">Воронюк</w:t>
      </w:r>
      <w:r>
        <w:rPr>
          <w:rFonts w:ascii="Liberation Sans" w:hAnsi="Liberation Sans" w:cs="Liberation Sans"/>
          <w:sz w:val="28"/>
          <w:szCs w:val="28"/>
        </w:rPr>
        <w:t xml:space="preserve"> Е.В., учитель физики МАОУ «СШ «</w:t>
      </w:r>
      <w:r>
        <w:rPr>
          <w:rFonts w:ascii="Liberation Sans" w:hAnsi="Liberation Sans" w:cs="Liberation Sans" w:eastAsiaTheme="minorEastAsia"/>
          <w:sz w:val="28"/>
          <w:szCs w:val="28"/>
        </w:rPr>
        <w:t xml:space="preserve">Перспектива</w:t>
      </w:r>
      <w:r>
        <w:rPr>
          <w:rFonts w:ascii="Liberation Sans" w:hAnsi="Liberation Sans" w:cs="Liberation Sans"/>
          <w:sz w:val="28"/>
          <w:szCs w:val="28"/>
        </w:rPr>
        <w:t xml:space="preserve">», Ларионова Л.И., учитель химии МБОУ Гимназия, Ковальчук Л.А.</w:t>
      </w:r>
      <w:r>
        <w:rPr>
          <w:rFonts w:ascii="Liberation Sans" w:hAnsi="Liberation Sans" w:eastAsia="Liberation Serif" w:cs="Liberation Sans"/>
          <w:sz w:val="28"/>
          <w:szCs w:val="28"/>
        </w:rPr>
        <w:t xml:space="preserve">, </w:t>
      </w:r>
      <w:r>
        <w:rPr>
          <w:rFonts w:ascii="Liberation Sans" w:hAnsi="Liberation Sans" w:cs="Liberation Sans"/>
          <w:sz w:val="28"/>
          <w:szCs w:val="28"/>
        </w:rPr>
        <w:t xml:space="preserve">учитель истории и обществознания МБОУ СШ № 11</w:t>
      </w:r>
      <w:r>
        <w:rPr>
          <w:rFonts w:ascii="Liberation Sans" w:hAnsi="Liberation Sans" w:eastAsia="Liberation Serif" w:cs="Liberation Sans"/>
          <w:sz w:val="28"/>
          <w:szCs w:val="28"/>
        </w:rPr>
        <w:t xml:space="preserve">, – обладатели высокого звания «Заслуженный учитель Российской Федерации»;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</w:rPr>
      </w:pPr>
      <w:r>
        <w:rPr>
          <w:rFonts w:ascii="Liberation Sans" w:hAnsi="Liberation Sans" w:eastAsia="Liberation Serif" w:cs="Liberation Sans"/>
          <w:sz w:val="28"/>
          <w:szCs w:val="28"/>
        </w:rPr>
      </w:r>
      <w:r>
        <w:t xml:space="preserve">- </w:t>
      </w:r>
      <w:r>
        <w:rPr>
          <w:rFonts w:ascii="Liberation Sans" w:hAnsi="Liberation Sans" w:cs="Liberation Sans"/>
          <w:sz w:val="28"/>
          <w:szCs w:val="28"/>
        </w:rPr>
        <w:t xml:space="preserve">Свирида</w:t>
      </w:r>
      <w:r>
        <w:rPr>
          <w:rFonts w:ascii="Liberation Sans" w:hAnsi="Liberation Sans" w:cs="Liberation Sans"/>
          <w:sz w:val="28"/>
          <w:szCs w:val="28"/>
        </w:rPr>
        <w:t xml:space="preserve"> Г.В., учитель истории и обществознания МБОУ Гимназия, </w:t>
      </w:r>
      <w:r>
        <w:rPr>
          <w:rFonts w:ascii="Liberation Sans" w:hAnsi="Liberation Sans" w:cs="Liberation Sans"/>
          <w:sz w:val="28"/>
          <w:szCs w:val="28"/>
        </w:rPr>
        <w:t xml:space="preserve">Живодерова</w:t>
      </w:r>
      <w:r>
        <w:rPr>
          <w:rFonts w:ascii="Liberation Sans" w:hAnsi="Liberation Sans" w:cs="Liberation Sans"/>
          <w:sz w:val="28"/>
          <w:szCs w:val="28"/>
        </w:rPr>
        <w:t xml:space="preserve"> М.В., учитель физической культуры МБОУ Гимназия, </w:t>
      </w:r>
      <w:r>
        <w:rPr>
          <w:rFonts w:ascii="Liberation Sans" w:hAnsi="Liberation Sans" w:cs="Liberation Sans"/>
          <w:sz w:val="28"/>
          <w:szCs w:val="28"/>
        </w:rPr>
        <w:t xml:space="preserve">Варисова</w:t>
      </w:r>
      <w:r>
        <w:rPr>
          <w:rFonts w:ascii="Liberation Sans" w:hAnsi="Liberation Sans" w:cs="Liberation Sans"/>
          <w:sz w:val="28"/>
          <w:szCs w:val="28"/>
        </w:rPr>
        <w:t xml:space="preserve"> Д.М., заместитель директора по УВР МБОУ «СШ № 8», - обладатели почетного звания «Заслуженный работник образования ЯНАО»;</w:t>
      </w:r>
      <w:r>
        <w:rPr>
          <w:rFonts w:ascii="Liberation Sans" w:hAnsi="Liberation Sans" w:cs="Liberation Sans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color w:val="auto"/>
          <w:sz w:val="28"/>
          <w:szCs w:val="28"/>
          <w:lang w:val="ru-RU"/>
        </w:rPr>
      </w:pPr>
      <w:r>
        <w:t xml:space="preserve">- 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Анчугова Е.Г., учитель физики МАОУ «СШ «</w:t>
      </w:r>
      <w:r>
        <w:rPr>
          <w:rFonts w:ascii="Liberation Sans" w:hAnsi="Liberation Sans" w:cs="Liberation Sans" w:eastAsiaTheme="minorEastAsia"/>
          <w:sz w:val="28"/>
          <w:szCs w:val="28"/>
          <w:lang w:val="ru-RU"/>
        </w:rPr>
        <w:t xml:space="preserve">Перспектива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», Михалева Т.А., учитель истории и обществознания МБОУ Гимназия, – обладатели премии Министерства просвещения РФ за достижения 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br/>
        <w:t xml:space="preserve">в педагогической деятельности;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color w:val="auto"/>
          <w:sz w:val="28"/>
          <w:szCs w:val="28"/>
          <w:lang w:val="ru-RU"/>
        </w:rPr>
      </w:pPr>
      <w:r>
        <w:rPr>
          <w:rFonts w:ascii="Liberation Sans" w:hAnsi="Liberation Sans" w:cs="Liberation Sans"/>
          <w:color w:val="auto"/>
          <w:sz w:val="28"/>
          <w:szCs w:val="28"/>
          <w:lang w:val="ru-RU"/>
        </w:rPr>
      </w:r>
      <w:r>
        <w:t xml:space="preserve">- 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Тхор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 Л.К., учитель начальных классов МАОУ «СШ «Перспектива», - победитель Всероссийского конкурса «Лучшие практики наставничества». Практика наставничества «Преемственность поколений» включена во Всероссийский банк </w:t>
        <w:br/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«Топ-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50 лучших практик наставничества»;</w:t>
      </w:r>
      <w: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color w:val="auto"/>
          <w:sz w:val="28"/>
          <w:szCs w:val="28"/>
          <w:lang w:val="ru-RU"/>
        </w:rPr>
      </w:pPr>
      <w:r>
        <w:t xml:space="preserve">- 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Ракшаева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 Л.Ц., учитель истории и обществознания МБОУ Гимназия, - победитель всероссийского конкурса «История в школе: традиции и инновации»;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</w:pPr>
      <w:r>
        <w:rPr>
          <w:rFonts w:ascii="Liberation Sans" w:hAnsi="Liberation Sans" w:cs="Liberation Sans"/>
          <w:color w:val="auto"/>
          <w:sz w:val="28"/>
          <w:szCs w:val="28"/>
          <w:lang w:val="ru-RU"/>
        </w:rPr>
      </w:r>
      <w: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Савельев В.С., учитель русского языка и литературы МАОУ «СШ «</w:t>
      </w:r>
      <w:r>
        <w:rPr>
          <w:rFonts w:ascii="Liberation Sans" w:hAnsi="Liberation Sans" w:cs="Liberation Sans" w:eastAsiaTheme="minorEastAsia"/>
          <w:sz w:val="28"/>
          <w:szCs w:val="28"/>
          <w:lang w:val="ru-RU"/>
        </w:rPr>
        <w:t xml:space="preserve">Перспектива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», - победитель Окружного конкурса педагогического мастерства - 2023 в номинации «Учитель года Ямала»;</w:t>
      </w:r>
      <w:r>
        <w:t xml:space="preserve"> </w:t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</w:pPr>
      <w:r>
        <w:t xml:space="preserve">- 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Анчугова Е.Г., учитель физики МАОУ «СШ «</w:t>
      </w:r>
      <w:r>
        <w:rPr>
          <w:rFonts w:ascii="Liberation Sans" w:hAnsi="Liberation Sans" w:cs="Liberation Sans" w:eastAsiaTheme="minorEastAsia"/>
          <w:sz w:val="28"/>
          <w:szCs w:val="28"/>
          <w:lang w:val="ru-RU"/>
        </w:rPr>
        <w:t xml:space="preserve">Перспектива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», Михалева Т.А., учитель истории и обществознания МБОУ Гимназия, 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Чамалетдинова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 А.М., учитель русского языка и литературы МБОУ «СШ им. Д.И. 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Коротчаева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», 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Суковатицина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 Л.В., учитель русского языка 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br/>
        <w:t xml:space="preserve">и литературы МБОУ Гимназия, 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Баймурзова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 Д.М., учитель истории 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br/>
        <w:t xml:space="preserve">и обществознания МАОУ «СШ «</w:t>
      </w:r>
      <w:r>
        <w:rPr>
          <w:rFonts w:ascii="Liberation Sans" w:hAnsi="Liberation Sans" w:cs="Liberation Sans" w:eastAsiaTheme="minorEastAsia"/>
          <w:sz w:val="28"/>
          <w:szCs w:val="28"/>
          <w:lang w:val="ru-RU"/>
        </w:rPr>
        <w:t xml:space="preserve">Перспектива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», Сафина Э.З., учитель начальных классов МБОУ «СШ № 5», Манько Г.В., учитель технологии МБОУ СШ № 16, 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Гудько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 Ю.С., учитель математики МАОУ СОШ № 3, Бабенко Н.Н., учитель начальных классов МАОУ СОШ № 4, - победители конкурса на присуждение премий лучшим учителям образовательных организаций ЯНАО за достижения в педагогической деятельности;</w:t>
      </w:r>
      <w:r>
        <w:t xml:space="preserve"> </w:t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</w:pPr>
      <w:r>
        <w:t xml:space="preserve">-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Барах В.В., учитель информатики МАОУ СОШ № 3, - победитель конкурса на получение гранта Губернатора Ямало-Ненецкого автономного округа высококвалифицированным педагогическим работникам физико-математического и IT-профиля</w:t>
      </w:r>
      <w:r>
        <w:rPr>
          <w:rFonts w:ascii="Liberation Sans" w:hAnsi="Liberation Sans" w:cs="Liberation Sans"/>
          <w:sz w:val="28"/>
          <w:szCs w:val="28"/>
          <w:lang w:val="ru-RU"/>
        </w:rPr>
        <w:t xml:space="preserve">;</w:t>
      </w:r>
      <w:r>
        <w:t xml:space="preserve"> </w:t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color w:val="auto"/>
          <w:sz w:val="28"/>
          <w:szCs w:val="28"/>
          <w:lang w:val="ru-RU"/>
        </w:rPr>
      </w:pPr>
      <w: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Сердюков А.И., учитель технологи МАОУ СОШ № 3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 (проект «Кружок по подготовке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FPV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 пилотов «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FPV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lab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»); </w:t>
      </w:r>
      <w:r>
        <w:rPr>
          <w:rStyle w:val="1170"/>
          <w:rFonts w:ascii="Liberation Sans" w:hAnsi="Liberation Sans" w:cs="Liberation Sans"/>
          <w:color w:val="auto"/>
          <w:sz w:val="28"/>
          <w:szCs w:val="28"/>
          <w:shd w:val="clear" w:color="auto" w:fill="ffffff"/>
          <w:lang w:val="ru-RU"/>
        </w:rPr>
        <w:t xml:space="preserve">Шунаев</w:t>
      </w:r>
      <w:r>
        <w:rPr>
          <w:rStyle w:val="1170"/>
          <w:rFonts w:ascii="Liberation Sans" w:hAnsi="Liberation Sans" w:cs="Liberation Sans"/>
          <w:color w:val="auto"/>
          <w:sz w:val="28"/>
          <w:szCs w:val="28"/>
          <w:shd w:val="clear" w:color="auto" w:fill="ffffff"/>
          <w:lang w:val="ru-RU"/>
        </w:rPr>
        <w:t xml:space="preserve"> Н. А., </w:t>
      </w:r>
      <w:r>
        <w:rPr>
          <w:rStyle w:val="1170"/>
          <w:rFonts w:ascii="Liberation Sans" w:hAnsi="Liberation Sans" w:cs="Liberation Sans"/>
          <w:color w:val="auto"/>
          <w:sz w:val="28"/>
          <w:szCs w:val="28"/>
          <w:shd w:val="clear" w:color="auto" w:fill="ffffff"/>
          <w:lang w:val="ru-RU"/>
        </w:rPr>
        <w:t xml:space="preserve">тьютор</w:t>
      </w:r>
      <w:r>
        <w:rPr>
          <w:rStyle w:val="1170"/>
          <w:rFonts w:ascii="Liberation Sans" w:hAnsi="Liberation Sans" w:cs="Liberation Sans"/>
          <w:color w:val="auto"/>
          <w:sz w:val="28"/>
          <w:szCs w:val="28"/>
          <w:shd w:val="clear" w:color="auto" w:fill="ffffff"/>
          <w:lang w:val="ru-RU"/>
        </w:rPr>
        <w:t xml:space="preserve">, учитель информатики школы МАОУ СОШ № 3</w:t>
      </w:r>
      <w:r>
        <w:rPr>
          <w:rStyle w:val="1170"/>
          <w:rFonts w:ascii="Liberation Sans" w:hAnsi="Liberation Sans" w:cs="Liberation Sans"/>
          <w:color w:val="auto"/>
          <w:sz w:val="28"/>
          <w:szCs w:val="28"/>
          <w:shd w:val="clear" w:color="auto" w:fill="ffffff"/>
          <w:lang w:val="ru-RU"/>
        </w:rPr>
        <w:t xml:space="preserve"> (проект «Кружок </w:t>
      </w:r>
      <w:r>
        <w:rPr>
          <w:rStyle w:val="1170"/>
          <w:rFonts w:ascii="Liberation Sans" w:hAnsi="Liberation Sans" w:cs="Liberation Sans"/>
          <w:color w:val="auto"/>
          <w:sz w:val="28"/>
          <w:szCs w:val="28"/>
          <w:shd w:val="clear" w:color="auto" w:fill="ffffff"/>
          <w:lang w:val="ru-RU"/>
        </w:rPr>
        <w:br/>
        <w:t xml:space="preserve">по разработке веб-приложений «ВЕБ-БУМ»)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 - победители регионального конкурса инновационных проектов на получение грантов в системе образования ЯНАО «Педагогический 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стартап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»;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color w:val="auto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lang w:val="ru-RU"/>
        </w:rPr>
      </w:r>
      <w:r>
        <w:t xml:space="preserve">- 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Дресвянникова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 С.А., учитель математики МБОУ Гимназия, </w:t>
      </w:r>
      <w:r>
        <w:rPr>
          <w:rFonts w:ascii="Liberation Sans" w:hAnsi="Liberation Sans" w:eastAsia="Times New Roman" w:cs="Liberation Sans"/>
          <w:color w:val="auto"/>
          <w:sz w:val="28"/>
          <w:szCs w:val="28"/>
          <w:lang w:val="ru-RU"/>
        </w:rPr>
        <w:t xml:space="preserve">Черных Т.В., учитель технологии МАОУ СОШ № 4, Озерова О.В., учитель технологии МБОУС(К)Ш № 18, 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Кузнецова С.Л., учитель химии МБОУ «СШ № 7», 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Пассар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 С.П., учитель биологии МБОУ «СШ № 7», </w:t>
      </w:r>
      <w:r>
        <w:rPr>
          <w:rFonts w:ascii="Liberation Sans" w:hAnsi="Liberation Sans" w:eastAsia="Times New Roman" w:cs="Liberation Sans"/>
          <w:color w:val="auto"/>
          <w:sz w:val="28"/>
          <w:szCs w:val="28"/>
          <w:lang w:val="ru-RU"/>
        </w:rPr>
        <w:t xml:space="preserve">Гудина</w:t>
      </w:r>
      <w:r>
        <w:rPr>
          <w:rFonts w:ascii="Liberation Sans" w:hAnsi="Liberation Sans" w:eastAsia="Times New Roman" w:cs="Liberation Sans"/>
          <w:color w:val="auto"/>
          <w:sz w:val="28"/>
          <w:szCs w:val="28"/>
          <w:lang w:val="ru-RU"/>
        </w:rPr>
        <w:t xml:space="preserve"> Н.А., учитель технологии МБОУ КСОШ имени Героя РФ В.И. </w:t>
      </w:r>
      <w:r>
        <w:rPr>
          <w:rFonts w:ascii="Liberation Sans" w:hAnsi="Liberation Sans" w:eastAsia="Times New Roman" w:cs="Liberation Sans"/>
          <w:color w:val="auto"/>
          <w:sz w:val="28"/>
          <w:szCs w:val="28"/>
          <w:lang w:val="ru-RU"/>
        </w:rPr>
        <w:t xml:space="preserve">Шарпатова</w:t>
      </w:r>
      <w:r>
        <w:rPr>
          <w:rFonts w:ascii="Liberation Sans" w:hAnsi="Liberation Sans" w:eastAsia="Times New Roman" w:cs="Liberation Sans"/>
          <w:color w:val="auto"/>
          <w:sz w:val="28"/>
          <w:szCs w:val="28"/>
          <w:lang w:val="ru-RU"/>
        </w:rPr>
        <w:t xml:space="preserve">,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 - </w:t>
      </w:r>
      <w:r>
        <w:rPr>
          <w:rFonts w:ascii="Liberation Sans" w:hAnsi="Liberation Sans" w:eastAsia="Times New Roman" w:cs="Liberation Sans"/>
          <w:color w:val="auto"/>
          <w:sz w:val="28"/>
          <w:szCs w:val="28"/>
          <w:lang w:val="ru-RU"/>
        </w:rPr>
        <w:t xml:space="preserve">победители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 и призеры регионального конкурса творческих разработок учителей «Инновационные технологии 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br/>
        <w:t xml:space="preserve">в современной образовательной орган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изации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»</w:t>
      </w:r>
      <w:r>
        <w:rPr>
          <w:rFonts w:ascii="Liberation Sans" w:hAnsi="Liberation Sans" w:eastAsia="Times New Roman" w:cs="Liberation Sans"/>
          <w:color w:val="auto"/>
          <w:sz w:val="28"/>
          <w:szCs w:val="28"/>
          <w:highlight w:val="none"/>
          <w:lang w:val="ru-RU"/>
        </w:rPr>
        <w:t xml:space="preserve">;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</w:pPr>
      <w:r>
        <w:rPr>
          <w:rFonts w:ascii="Liberation Sans" w:hAnsi="Liberation Sans" w:eastAsia="Times New Roman" w:cs="Liberation Sans"/>
          <w:color w:val="auto"/>
          <w:sz w:val="28"/>
          <w:szCs w:val="28"/>
          <w:highlight w:val="none"/>
          <w:lang w:val="ru-RU"/>
        </w:rPr>
      </w:r>
      <w:r>
        <w:rPr>
          <w:highlight w:val="none"/>
        </w:rPr>
        <w:t xml:space="preserve">- 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Керченко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lang w:val="ru-RU"/>
        </w:rPr>
        <w:t xml:space="preserve"> М.Д., учитель истории и обществознания МБОУ </w:t>
        <w:br/>
        <w:t xml:space="preserve">СШ № 11, - победитель Окружного конкурса п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едагогического мастерства - 2023 в номинации «Педагогический дебют»;</w:t>
      </w:r>
      <w:r>
        <w:t xml:space="preserve"> </w:t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hint="eastAsia" w:ascii="Liberation Sans" w:hAnsi="Liberation Sans" w:cs="Liberation Sans"/>
          <w:color w:val="auto"/>
          <w:sz w:val="28"/>
          <w:szCs w:val="28"/>
          <w:lang w:val="ru-RU"/>
        </w:rPr>
      </w:pPr>
      <w:r>
        <w:t xml:space="preserve">-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Антропова Ю.С., учитель-дефектолог МБОУС(К)Ш № 18, - призер регионального этапа </w:t>
      </w:r>
      <w:r>
        <w:rPr>
          <w:rFonts w:ascii="Liberation Sans" w:hAnsi="Liberation Sans" w:eastAsia="Liberation Sans" w:cs="Liberation Sans"/>
          <w:color w:val="auto"/>
          <w:sz w:val="28"/>
          <w:szCs w:val="28"/>
        </w:rPr>
        <w:t xml:space="preserve">VI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lang w:val="ru-RU"/>
        </w:rPr>
        <w:t xml:space="preserve"> всероссийского конкурса «Учитель-дефектолог России - 2023;</w:t>
      </w:r>
      <w:r>
        <w:rPr>
          <w:rFonts w:hint="eastAsia" w:ascii="Liberation Sans" w:hAnsi="Liberation Sans" w:cs="Liberation Sans"/>
          <w:color w:val="auto"/>
          <w:sz w:val="28"/>
          <w:szCs w:val="28"/>
          <w:lang w:val="ru-RU"/>
        </w:rPr>
        <w:t xml:space="preserve"> </w:t>
      </w:r>
      <w:r>
        <w:rPr>
          <w:rFonts w:hint="eastAsia" w:ascii="Liberation Sans" w:hAnsi="Liberation Sans" w:cs="Liberation Sans"/>
          <w:color w:val="auto"/>
          <w:sz w:val="28"/>
          <w:szCs w:val="28"/>
          <w:lang w:val="ru-RU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sz w:val="28"/>
          <w:szCs w:val="28"/>
          <w:lang w:val="ru-RU"/>
        </w:rPr>
      </w:pPr>
      <w:r>
        <w:rPr>
          <w:rFonts w:hint="eastAsia" w:ascii="Liberation Sans" w:hAnsi="Liberation Sans" w:cs="Liberation Sans"/>
          <w:color w:val="auto"/>
          <w:sz w:val="28"/>
          <w:szCs w:val="28"/>
          <w:lang w:val="ru-RU"/>
        </w:rPr>
      </w:r>
      <w:r>
        <w:t xml:space="preserve">- </w:t>
      </w:r>
      <w:r>
        <w:rPr>
          <w:rFonts w:ascii="Liberation Sans" w:hAnsi="Liberation Sans" w:eastAsia="Liberation Serif" w:cs="Liberation Sans"/>
          <w:sz w:val="28"/>
          <w:szCs w:val="28"/>
          <w:lang w:val="ru-RU"/>
        </w:rPr>
        <w:t xml:space="preserve">Семахин</w:t>
      </w:r>
      <w:r>
        <w:rPr>
          <w:rFonts w:ascii="Liberation Sans" w:hAnsi="Liberation Sans" w:eastAsia="Liberation Serif" w:cs="Liberation Sans"/>
          <w:sz w:val="28"/>
          <w:szCs w:val="28"/>
          <w:lang w:val="ru-RU"/>
        </w:rPr>
        <w:t xml:space="preserve"> </w:t>
      </w:r>
      <w:r>
        <w:rPr>
          <w:rFonts w:ascii="Liberation Sans" w:hAnsi="Liberation Sans" w:cs="Liberation Sans"/>
          <w:sz w:val="28"/>
          <w:szCs w:val="28"/>
          <w:lang w:val="ru-RU"/>
        </w:rPr>
        <w:t xml:space="preserve">С.А.</w:t>
      </w:r>
      <w:r>
        <w:rPr>
          <w:rFonts w:ascii="Liberation Sans" w:hAnsi="Liberation Sans" w:eastAsia="Liberation Serif" w:cs="Liberation Sans"/>
          <w:sz w:val="28"/>
          <w:szCs w:val="28"/>
          <w:lang w:val="ru-RU"/>
        </w:rPr>
        <w:t xml:space="preserve">, учитель физики МАОУ СОШ № 4</w:t>
      </w:r>
      <w:r>
        <w:rPr>
          <w:rFonts w:ascii="Liberation Sans" w:hAnsi="Liberation Sans" w:cs="Liberation Sans"/>
          <w:sz w:val="28"/>
          <w:szCs w:val="28"/>
          <w:lang w:val="ru-RU"/>
        </w:rPr>
        <w:t xml:space="preserve">, - абсолютный </w:t>
      </w:r>
      <w:r>
        <w:rPr>
          <w:rFonts w:ascii="Liberation Sans" w:hAnsi="Liberation Sans" w:cs="Liberation Sans"/>
          <w:sz w:val="28"/>
          <w:szCs w:val="28"/>
          <w:lang w:val="ru-RU"/>
        </w:rPr>
        <w:t xml:space="preserve">победитель, </w:t>
      </w:r>
      <w:r>
        <w:rPr>
          <w:rFonts w:ascii="Liberation Sans" w:hAnsi="Liberation Sans" w:eastAsia="Liberation Serif" w:cs="Liberation Sans"/>
          <w:sz w:val="28"/>
          <w:szCs w:val="28"/>
          <w:lang w:val="ru-RU"/>
        </w:rPr>
        <w:t xml:space="preserve">Мамакин</w:t>
      </w:r>
      <w:r>
        <w:rPr>
          <w:rFonts w:ascii="Liberation Sans" w:hAnsi="Liberation Sans" w:eastAsia="Liberation Serif" w:cs="Liberation Sans"/>
          <w:sz w:val="28"/>
          <w:szCs w:val="28"/>
          <w:lang w:val="ru-RU"/>
        </w:rPr>
        <w:t xml:space="preserve"> Р.В., учитель русского языка и литературы МАОУ СОШ № 3, </w:t>
      </w:r>
      <w:r>
        <w:rPr>
          <w:rFonts w:ascii="Liberation Sans" w:hAnsi="Liberation Sans" w:eastAsia="Liberation Serif" w:cs="Liberation Sans"/>
          <w:sz w:val="28"/>
          <w:szCs w:val="28"/>
          <w:lang w:val="ru-RU"/>
        </w:rPr>
        <w:t xml:space="preserve">Пассар</w:t>
      </w:r>
      <w:r>
        <w:rPr>
          <w:rFonts w:ascii="Liberation Sans" w:hAnsi="Liberation Sans" w:eastAsia="Liberation Serif" w:cs="Liberation Sans"/>
          <w:sz w:val="28"/>
          <w:szCs w:val="28"/>
          <w:lang w:val="ru-RU"/>
        </w:rPr>
        <w:t xml:space="preserve"> С.П., учитель химии и биологии МБОУ «СШ № 7», - победители, Быков С.В., учитель физической культуры МАОУ «СШ «</w:t>
      </w:r>
      <w:r>
        <w:rPr>
          <w:rFonts w:ascii="Liberation Sans" w:hAnsi="Liberation Sans" w:cs="Liberation Sans" w:eastAsiaTheme="minorEastAsia"/>
          <w:sz w:val="28"/>
          <w:szCs w:val="28"/>
          <w:lang w:val="ru-RU"/>
        </w:rPr>
        <w:t xml:space="preserve">Перспектива</w:t>
      </w:r>
      <w:r>
        <w:rPr>
          <w:rFonts w:ascii="Liberation Sans" w:hAnsi="Liberation Sans" w:eastAsia="Liberation Serif" w:cs="Liberation Sans"/>
          <w:sz w:val="28"/>
          <w:szCs w:val="28"/>
          <w:lang w:val="ru-RU"/>
        </w:rPr>
        <w:t xml:space="preserve">», - призер </w:t>
      </w:r>
      <w:r>
        <w:rPr>
          <w:rFonts w:ascii="Liberation Sans" w:hAnsi="Liberation Sans" w:cs="Liberation Sans"/>
          <w:sz w:val="28"/>
          <w:szCs w:val="28"/>
          <w:lang w:val="ru-RU"/>
        </w:rPr>
        <w:t xml:space="preserve">Городского конкурса педагогического мастерства - 2023;</w:t>
      </w:r>
      <w:r>
        <w:rPr>
          <w:rFonts w:ascii="Liberation Sans" w:hAnsi="Liberation Sans" w:cs="Liberation Sans"/>
          <w:sz w:val="28"/>
          <w:szCs w:val="28"/>
          <w:lang w:val="ru-RU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</w:pPr>
      <w:r>
        <w:rPr>
          <w:rFonts w:ascii="Liberation Sans" w:hAnsi="Liberation Sans" w:cs="Liberation Sans"/>
          <w:sz w:val="28"/>
          <w:szCs w:val="28"/>
          <w:lang w:val="ru-RU"/>
        </w:rPr>
      </w:r>
      <w: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команда учителей МБОУ Гимназия - победитель </w:t>
      </w:r>
      <w:hyperlink r:id="rId60" w:tooltip="https://flagmany.rsv.ru/" w:history="1">
        <w:r>
          <w:rPr>
            <w:rFonts w:ascii="Liberation Sans" w:hAnsi="Liberation Sans" w:cs="Liberation Sans"/>
            <w:color w:val="auto"/>
            <w:sz w:val="28"/>
            <w:szCs w:val="28"/>
            <w:lang w:val="ru-RU"/>
          </w:rPr>
          <w:t xml:space="preserve">Всероссийского профессионального конкурса «Флагманы образования. Школа»</w:t>
        </w:r>
      </w:hyperlink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;</w:t>
      </w:r>
      <w:r>
        <w:t xml:space="preserve"> </w:t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</w:pPr>
      <w:r>
        <w:rPr>
          <w:rFonts w:ascii="Liberation Sans" w:hAnsi="Liberation Sans" w:cs="Liberation Sans"/>
          <w:sz w:val="28"/>
          <w:szCs w:val="28"/>
        </w:rPr>
        <w:t xml:space="preserve">- </w:t>
      </w:r>
      <w:r>
        <w:rPr>
          <w:rFonts w:ascii="Liberation Sans" w:hAnsi="Liberation Sans" w:cs="Liberation Sans"/>
          <w:bCs/>
          <w:sz w:val="28"/>
          <w:szCs w:val="28"/>
        </w:rPr>
        <w:t xml:space="preserve">команда МБОУ СШ № 11 - бронзовый призер Всероссийских спортивных игр школьников «Президентские спортивные игры»</w:t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 </w:t>
      </w:r>
      <w:r>
        <w:rPr>
          <w:rFonts w:ascii="Liberation Sans" w:hAnsi="Liberation Sans" w:cs="Liberation Sans"/>
          <w:bCs/>
          <w:sz w:val="28"/>
          <w:szCs w:val="28"/>
        </w:rPr>
        <w:br/>
        <w:t xml:space="preserve">по </w:t>
      </w:r>
      <w:r>
        <w:rPr>
          <w:rFonts w:ascii="Liberation Sans" w:hAnsi="Liberation Sans" w:cs="Liberation Sans"/>
          <w:sz w:val="28"/>
          <w:szCs w:val="28"/>
        </w:rPr>
        <w:t xml:space="preserve">настольному теннису</w:t>
      </w:r>
      <w:r>
        <w:rPr>
          <w:rFonts w:ascii="Liberation Sans" w:hAnsi="Liberation Sans" w:cs="Liberation Sans"/>
          <w:bCs/>
          <w:sz w:val="28"/>
          <w:szCs w:val="28"/>
        </w:rPr>
        <w:t xml:space="preserve">;</w:t>
      </w:r>
      <w:r>
        <w:t xml:space="preserve"> </w:t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</w:pPr>
      <w:r>
        <w:t xml:space="preserve">-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команда школьного спортивного клуба МБОУ СШ № 16 - призер региональных соревнований по мини-футболу среди школьных спортивных лиг;</w:t>
      </w:r>
      <w:r>
        <w:t xml:space="preserve"> </w:t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</w:pPr>
      <w:r>
        <w:t xml:space="preserve">- </w:t>
      </w:r>
      <w:r>
        <w:rPr>
          <w:rFonts w:ascii="Liberation Sans" w:hAnsi="Liberation Sans" w:cs="Liberation Sans"/>
          <w:bCs/>
          <w:sz w:val="28"/>
          <w:szCs w:val="28"/>
        </w:rPr>
        <w:t xml:space="preserve">МБОУ «СШ № 1» (класс-команда «Полярная звезда»), МБОУ СШ № 16 (класс-команда «Хранители воинской славы») - победители регионального сетевого проекта «</w:t>
      </w:r>
      <w:r>
        <w:rPr>
          <w:rFonts w:ascii="Liberation Sans" w:hAnsi="Liberation Sans" w:cs="Liberation Sans"/>
          <w:bCs/>
          <w:sz w:val="28"/>
          <w:szCs w:val="28"/>
        </w:rPr>
        <w:t xml:space="preserve">ЮнАрктика</w:t>
      </w:r>
      <w:r>
        <w:rPr>
          <w:rFonts w:ascii="Liberation Sans" w:hAnsi="Liberation Sans" w:cs="Liberation Sans"/>
          <w:bCs/>
          <w:sz w:val="28"/>
          <w:szCs w:val="28"/>
        </w:rPr>
        <w:t xml:space="preserve">»;</w:t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</w:pPr>
      <w:r>
        <w:t xml:space="preserve">- </w:t>
      </w:r>
      <w:r>
        <w:rPr>
          <w:rFonts w:ascii="Liberation Sans" w:hAnsi="Liberation Sans" w:cs="Liberation Sans"/>
          <w:sz w:val="28"/>
          <w:szCs w:val="28"/>
        </w:rPr>
        <w:t xml:space="preserve">МБОУ Гимн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азия (1 место), 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МАОУ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«СШ «</w:t>
      </w:r>
      <w:r>
        <w:rPr>
          <w:rFonts w:ascii="Liberation Sans" w:hAnsi="Liberation Sans" w:cs="Liberation Sans" w:eastAsiaTheme="minorEastAsia"/>
          <w:sz w:val="28"/>
          <w:szCs w:val="28"/>
          <w:highlight w:val="none"/>
        </w:rPr>
        <w:t xml:space="preserve">Перспектива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» </w:t>
        <w:br/>
        <w:t xml:space="preserve">(7 место) - вошли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оп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-10</w:t>
      </w:r>
      <w:r>
        <w:rPr>
          <w:rFonts w:ascii="Liberation Sans" w:hAnsi="Liberation Sans" w:cs="Liberation Sans"/>
          <w:sz w:val="28"/>
          <w:szCs w:val="28"/>
        </w:rPr>
        <w:t xml:space="preserve"> лучших школ ЯНАО по количеству выпускников, поступивших в ведущие вузы России (рейтинговое агентство </w:t>
      </w:r>
      <w:r>
        <w:rPr>
          <w:rFonts w:ascii="Liberation Sans" w:hAnsi="Liberation Sans" w:cs="Liberation Sans"/>
          <w:sz w:val="28"/>
          <w:szCs w:val="28"/>
          <w:lang w:val="en-US"/>
        </w:rPr>
        <w:t xml:space="preserve">RAEX</w:t>
      </w:r>
      <w:r>
        <w:rPr>
          <w:rFonts w:ascii="Liberation Sans" w:hAnsi="Liberation Sans" w:cs="Liberation Sans"/>
          <w:sz w:val="28"/>
          <w:szCs w:val="28"/>
        </w:rPr>
        <w:t xml:space="preserve">).</w:t>
      </w:r>
      <w:r/>
    </w:p>
    <w:p>
      <w:pPr>
        <w:ind w:firstLine="709"/>
        <w:jc w:val="both"/>
        <w:spacing w:before="0" w:beforeAutospacing="0" w:after="0" w:afterAutospacing="0" w:line="240" w:lineRule="auto"/>
        <w:widowControl w:val="off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jc w:val="center"/>
        <w:spacing w:after="0" w:line="240" w:lineRule="auto"/>
        <w:widowControl w:val="off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  <w:sz w:val="28"/>
          <w:szCs w:val="28"/>
        </w:rPr>
        <w:t xml:space="preserve">Дошкольное образование</w:t>
      </w:r>
      <w:r>
        <w:rPr>
          <w:rFonts w:ascii="Liberation Sans" w:hAnsi="Liberation Sans" w:cs="Liberation Sans"/>
        </w:rPr>
      </w:r>
      <w:r/>
    </w:p>
    <w:p>
      <w:pPr>
        <w:jc w:val="both"/>
        <w:spacing w:after="0" w:line="240" w:lineRule="auto"/>
        <w:widowControl w:val="off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Дошкольное образование обеспечивают 34 организации, </w:t>
      </w:r>
      <w:r>
        <w:rPr>
          <w:rFonts w:ascii="Liberation Sans" w:hAnsi="Liberation Sans" w:cs="Liberation Sans"/>
          <w:sz w:val="28"/>
          <w:szCs w:val="28"/>
        </w:rPr>
        <w:br/>
        <w:t xml:space="preserve">из которых 26 - муниципальные, 7 – ведомственные, 1 - частная.</w:t>
      </w:r>
      <w:r>
        <w:rPr>
          <w:rFonts w:ascii="Liberation Sans" w:hAnsi="Liberation Sans" w:cs="Liberation Sans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sz w:val="28"/>
          <w:szCs w:val="28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  <w:t xml:space="preserve">В </w:t>
      </w:r>
      <w:r>
        <w:rPr>
          <w:rFonts w:ascii="Liberation Sans" w:hAnsi="Liberation Sans" w:cs="Liberation Sans"/>
          <w:sz w:val="28"/>
          <w:szCs w:val="28"/>
        </w:rPr>
        <w:t xml:space="preserve">январе</w:t>
      </w:r>
      <w:r>
        <w:rPr>
          <w:rFonts w:ascii="Liberation Sans" w:hAnsi="Liberation Sans" w:cs="Liberation Sans"/>
          <w:sz w:val="28"/>
          <w:szCs w:val="28"/>
        </w:rPr>
        <w:t xml:space="preserve"> 2023 </w:t>
      </w:r>
      <w:r>
        <w:rPr>
          <w:rFonts w:ascii="Liberation Sans" w:hAnsi="Liberation Sans" w:cs="Liberation Sans"/>
          <w:sz w:val="28"/>
          <w:szCs w:val="28"/>
        </w:rPr>
        <w:t xml:space="preserve">год</w:t>
      </w:r>
      <w:r>
        <w:rPr>
          <w:rFonts w:ascii="Liberation Sans" w:hAnsi="Liberation Sans" w:cs="Liberation Sans"/>
          <w:sz w:val="28"/>
          <w:szCs w:val="28"/>
        </w:rPr>
        <w:t xml:space="preserve">а начало функционировать </w:t>
      </w:r>
      <w:r>
        <w:rPr>
          <w:rFonts w:ascii="Liberation Sans" w:hAnsi="Liberation Sans" w:cs="Liberation Sans"/>
          <w:sz w:val="28"/>
          <w:szCs w:val="28"/>
        </w:rPr>
        <w:t xml:space="preserve">частное дошкольное образовательное учреждение</w:t>
      </w:r>
      <w:r>
        <w:rPr>
          <w:rFonts w:ascii="Liberation Sans" w:hAnsi="Liberation Sans" w:cs="Liberation Sans"/>
          <w:sz w:val="28"/>
          <w:szCs w:val="28"/>
        </w:rPr>
        <w:t xml:space="preserve"> детский сад «</w:t>
      </w:r>
      <w:r>
        <w:rPr>
          <w:rFonts w:ascii="Liberation Sans" w:hAnsi="Liberation Sans" w:cs="Liberation Sans"/>
          <w:sz w:val="28"/>
          <w:szCs w:val="28"/>
        </w:rPr>
        <w:t xml:space="preserve">МиМишки</w:t>
      </w:r>
      <w:r>
        <w:rPr>
          <w:rFonts w:ascii="Liberation Sans" w:hAnsi="Liberation Sans" w:cs="Liberation Sans"/>
          <w:sz w:val="28"/>
          <w:szCs w:val="28"/>
        </w:rPr>
        <w:t xml:space="preserve">» (далее - ЧДОУ ДС «</w:t>
      </w:r>
      <w:r>
        <w:rPr>
          <w:rFonts w:ascii="Liberation Sans" w:hAnsi="Liberation Sans" w:cs="Liberation Sans"/>
          <w:sz w:val="28"/>
          <w:szCs w:val="28"/>
        </w:rPr>
        <w:t xml:space="preserve">МиМишки</w:t>
      </w:r>
      <w:r>
        <w:rPr>
          <w:rFonts w:ascii="Liberation Sans" w:hAnsi="Liberation Sans" w:cs="Liberation Sans"/>
          <w:sz w:val="28"/>
          <w:szCs w:val="28"/>
        </w:rPr>
        <w:t xml:space="preserve">»</w:t>
      </w:r>
      <w:r>
        <w:rPr>
          <w:rFonts w:ascii="Liberation Sans" w:hAnsi="Liberation Sans" w:cs="Liberation Sans"/>
          <w:sz w:val="28"/>
          <w:szCs w:val="28"/>
        </w:rPr>
        <w:t xml:space="preserve">) на 24 места. </w:t>
      </w:r>
      <w:r>
        <w:rPr>
          <w:rFonts w:ascii="Liberation Sans" w:hAnsi="Liberation Sans" w:cs="Liberation Sans"/>
          <w:sz w:val="28"/>
          <w:szCs w:val="28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sz w:val="28"/>
          <w:szCs w:val="28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В сентябре </w:t>
      </w:r>
      <w:r>
        <w:rPr>
          <w:rFonts w:ascii="Liberation Sans" w:hAnsi="Liberation Sans" w:cs="Liberation Sans"/>
          <w:sz w:val="28"/>
          <w:szCs w:val="28"/>
        </w:rPr>
        <w:t xml:space="preserve">202</w:t>
      </w:r>
      <w:r>
        <w:rPr>
          <w:rFonts w:ascii="Liberation Sans" w:hAnsi="Liberation Sans" w:cs="Liberation Sans"/>
          <w:sz w:val="28"/>
          <w:szCs w:val="28"/>
        </w:rPr>
        <w:t xml:space="preserve">3 года</w:t>
      </w:r>
      <w:r>
        <w:rPr>
          <w:rFonts w:ascii="Liberation Sans" w:hAnsi="Liberation Sans" w:cs="Liberation Sans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в муниципальную систему образования </w:t>
        <w:br/>
        <w:t xml:space="preserve">от </w:t>
      </w:r>
      <w:r>
        <w:rPr>
          <w:rFonts w:ascii="Liberation Sans" w:hAnsi="Liberation Sans" w:cs="Liberation Sans"/>
          <w:sz w:val="28"/>
          <w:szCs w:val="28"/>
        </w:rPr>
        <w:t xml:space="preserve">ООО «Газпром добыча Уренгой»</w:t>
      </w:r>
      <w:r>
        <w:rPr>
          <w:rFonts w:ascii="Liberation Sans" w:hAnsi="Liberation Sans" w:cs="Liberation Sans"/>
          <w:sz w:val="28"/>
          <w:szCs w:val="28"/>
        </w:rPr>
        <w:t xml:space="preserve"> переда</w:t>
      </w:r>
      <w:r>
        <w:rPr>
          <w:rFonts w:ascii="Liberation Sans" w:hAnsi="Liberation Sans" w:cs="Liberation Sans"/>
          <w:sz w:val="28"/>
          <w:szCs w:val="28"/>
        </w:rPr>
        <w:t xml:space="preserve">но </w:t>
      </w:r>
      <w:r>
        <w:rPr>
          <w:rFonts w:ascii="Liberation Sans" w:hAnsi="Liberation Sans" w:cs="Liberation Sans"/>
          <w:sz w:val="28"/>
          <w:szCs w:val="28"/>
        </w:rPr>
        <w:t xml:space="preserve">здание детского сада «Родничок» </w:t>
      </w:r>
      <w:r>
        <w:rPr>
          <w:rFonts w:ascii="Liberation Sans" w:hAnsi="Liberation Sans" w:cs="Liberation Sans"/>
          <w:sz w:val="28"/>
          <w:szCs w:val="28"/>
        </w:rPr>
        <w:t xml:space="preserve">(210 мест)</w:t>
      </w:r>
      <w:r>
        <w:rPr>
          <w:rFonts w:ascii="Liberation Sans" w:hAnsi="Liberation Sans" w:cs="Liberation Sans"/>
          <w:sz w:val="28"/>
          <w:szCs w:val="28"/>
        </w:rPr>
        <w:t xml:space="preserve">, в котором</w:t>
      </w:r>
      <w:r>
        <w:rPr>
          <w:rFonts w:ascii="Liberation Sans" w:hAnsi="Liberation Sans" w:cs="Liberation Sans"/>
          <w:sz w:val="28"/>
          <w:szCs w:val="28"/>
        </w:rPr>
        <w:t xml:space="preserve"> на время проведения ремонтных работ </w:t>
      </w:r>
      <w:r>
        <w:rPr>
          <w:rFonts w:ascii="Liberation Sans" w:hAnsi="Liberation Sans" w:cs="Liberation Sans"/>
          <w:sz w:val="28"/>
          <w:szCs w:val="28"/>
        </w:rPr>
        <w:t xml:space="preserve">временно</w:t>
      </w:r>
      <w:r>
        <w:rPr>
          <w:rFonts w:ascii="Liberation Sans" w:hAnsi="Liberation Sans" w:cs="Liberation Sans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разместилось</w:t>
      </w:r>
      <w:r>
        <w:rPr>
          <w:rFonts w:ascii="Liberation Sans" w:hAnsi="Liberation Sans" w:cs="Liberation Sans"/>
          <w:sz w:val="28"/>
          <w:szCs w:val="28"/>
        </w:rPr>
        <w:t xml:space="preserve"> МБУ ДО «ДШИ им. С.В. Рахманинова»</w:t>
      </w:r>
      <w:r>
        <w:rPr>
          <w:rFonts w:ascii="Liberation Sans" w:hAnsi="Liberation Sans" w:cs="Liberation Sans"/>
          <w:sz w:val="28"/>
          <w:szCs w:val="28"/>
        </w:rPr>
        <w:t xml:space="preserve">. </w:t>
      </w:r>
      <w:r>
        <w:rPr>
          <w:rFonts w:ascii="Liberation Sans" w:hAnsi="Liberation Sans" w:cs="Liberation Sans"/>
          <w:sz w:val="28"/>
          <w:szCs w:val="28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бщая ч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исленность детей, охваченных услугами дошкольного образовани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на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конец 2023 года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составила 8 586 человек (с учетом </w:t>
        <w:br/>
        <w:t xml:space="preserve">167 детей, посещающих группы кратковременного пребывания).</w:t>
      </w:r>
      <w:r>
        <w:rPr>
          <w:rFonts w:ascii="Liberation Sans" w:hAnsi="Liberation Sans" w:cs="Liberation Sans"/>
          <w:highlight w:val="none"/>
          <w14:ligatures w14:val="none"/>
        </w:rPr>
      </w:r>
      <w:r/>
    </w:p>
    <w:p>
      <w:pPr>
        <w:pStyle w:val="1180"/>
        <w:ind w:right="20" w:firstLine="740"/>
        <w:jc w:val="both"/>
        <w:spacing w:after="0" w:line="240" w:lineRule="auto"/>
        <w:shd w:val="clear" w:color="auto" w:fill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80"/>
        <w:ind w:left="20" w:right="20" w:firstLine="720"/>
        <w:jc w:val="both"/>
        <w:spacing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ff0000"/>
          <w:sz w:val="28"/>
          <w:szCs w:val="28"/>
          <w:highlight w:val="none"/>
        </w:rPr>
        <w:drawing>
          <wp:inline distT="0" distB="0" distL="0" distR="0">
            <wp:extent cx="5123201" cy="1944097"/>
            <wp:effectExtent l="28575" t="28575" r="28575" b="28575"/>
            <wp:docPr id="4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  <w:r>
        <w:rPr>
          <w:highlight w:val="none"/>
        </w:rPr>
      </w:r>
      <w:r/>
    </w:p>
    <w:p>
      <w:pPr>
        <w:ind w:firstLine="708"/>
        <w:spacing w:after="0" w:afterAutospacing="0" w:line="240" w:lineRule="auto"/>
        <w:widowControl w:val="off"/>
        <w:rPr>
          <w:rFonts w:ascii="Liberation Sans" w:hAnsi="Liberation Sans" w:cs="Liberation Sans"/>
          <w:sz w:val="20"/>
          <w:szCs w:val="20"/>
          <w:highlight w:val="none"/>
        </w:rPr>
      </w:pPr>
      <w:r>
        <w:rPr>
          <w:rFonts w:ascii="Liberation Sans" w:hAnsi="Liberation Sans" w:cs="Liberation Sans"/>
          <w:sz w:val="20"/>
          <w:highlight w:val="none"/>
        </w:rPr>
        <w:t xml:space="preserve">*</w:t>
      </w:r>
      <w:r>
        <w:rPr>
          <w:rFonts w:ascii="Liberation Sans" w:hAnsi="Liberation Sans" w:eastAsia="Liberation Sans" w:cs="Liberation Sans"/>
          <w:sz w:val="20"/>
          <w:szCs w:val="20"/>
          <w:highlight w:val="none"/>
        </w:rPr>
        <w:t xml:space="preserve">С учетом детей, посещающих группы кратковременного пребывания.</w:t>
      </w:r>
      <w:r>
        <w:rPr>
          <w:rFonts w:ascii="Liberation Sans" w:hAnsi="Liberation Sans" w:cs="Liberation Sans"/>
          <w:sz w:val="20"/>
          <w:szCs w:val="20"/>
          <w:highlight w:val="none"/>
        </w:rPr>
      </w:r>
      <w:r/>
    </w:p>
    <w:p>
      <w:pPr>
        <w:ind w:firstLine="708"/>
        <w:spacing w:after="0" w:afterAutospacing="0" w:line="240" w:lineRule="auto"/>
        <w:widowControl w:val="off"/>
        <w:rPr>
          <w:highlight w:val="none"/>
        </w:rPr>
      </w:pPr>
      <w:r>
        <w:rPr>
          <w:rFonts w:ascii="Liberation Sans" w:hAnsi="Liberation Sans" w:eastAsia="Liberation Sans" w:cs="Liberation Sans"/>
          <w:sz w:val="20"/>
          <w:szCs w:val="20"/>
          <w:highlight w:val="none"/>
        </w:rPr>
        <w:t xml:space="preserve">**С 2023 года с учетом 8 детей, посещающих </w:t>
      </w:r>
      <w:r>
        <w:rPr>
          <w:rFonts w:ascii="Liberation Sans" w:hAnsi="Liberation Sans" w:eastAsia="Liberation Sans" w:cs="Liberation Sans"/>
          <w:sz w:val="20"/>
          <w:szCs w:val="20"/>
          <w:highlight w:val="none"/>
        </w:rPr>
        <w:t xml:space="preserve">ЧДОУ ДС «</w:t>
      </w:r>
      <w:r>
        <w:rPr>
          <w:rFonts w:ascii="Liberation Sans" w:hAnsi="Liberation Sans" w:eastAsia="Liberation Sans" w:cs="Liberation Sans"/>
          <w:sz w:val="20"/>
          <w:szCs w:val="20"/>
          <w:highlight w:val="none"/>
        </w:rPr>
        <w:t xml:space="preserve">МиМишки</w:t>
      </w:r>
      <w:r>
        <w:rPr>
          <w:rFonts w:ascii="Liberation Sans" w:hAnsi="Liberation Sans" w:eastAsia="Liberation Sans" w:cs="Liberation Sans"/>
          <w:sz w:val="20"/>
          <w:szCs w:val="20"/>
          <w:highlight w:val="none"/>
        </w:rPr>
        <w:t xml:space="preserve">».</w:t>
      </w:r>
      <w:r>
        <w:rPr>
          <w:highlight w:val="none"/>
        </w:rPr>
      </w:r>
      <w:r/>
    </w:p>
    <w:p>
      <w:pPr>
        <w:ind w:firstLine="708"/>
        <w:spacing w:after="0" w:afterAutospacing="0" w:line="240" w:lineRule="auto"/>
        <w:widowControl w:val="off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Причинами снижения охвата детей дошкольным образовани</w:t>
      </w:r>
      <w:r>
        <w:rPr>
          <w:rFonts w:ascii="Liberation Sans" w:hAnsi="Liberation Sans" w:cs="Liberation Sans"/>
          <w:sz w:val="28"/>
          <w:szCs w:val="28"/>
        </w:rPr>
        <w:t xml:space="preserve">ем являются: сокр</w:t>
      </w:r>
      <w:r>
        <w:rPr>
          <w:rFonts w:ascii="Liberation Sans" w:hAnsi="Liberation Sans" w:cs="Liberation Sans"/>
          <w:sz w:val="28"/>
          <w:szCs w:val="28"/>
        </w:rPr>
        <w:t xml:space="preserve">ащение численности детей, посещающих детские сады ООО «Газпром добыча Уренгой», численности детей в группах кратковременного пребывания, численности детей дошкольного возраста.</w:t>
      </w:r>
      <w:r>
        <w:rPr>
          <w:rFonts w:ascii="Liberation Sans" w:hAnsi="Liberation Sans" w:cs="Liberation Sans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В 2023 году очередность детей в возрасте до 3 лет, состоящих на учете в качестве нуждающихся в получении места в дошкольной образовательной организации, увеличилась на 2,</w:t>
      </w:r>
      <w:r>
        <w:rPr>
          <w:rFonts w:ascii="Liberation Sans" w:hAnsi="Liberation Sans" w:cs="Liberation Sans"/>
          <w:sz w:val="28"/>
          <w:szCs w:val="28"/>
        </w:rPr>
        <w:t xml:space="preserve">1</w:t>
      </w:r>
      <w:r>
        <w:rPr>
          <w:rFonts w:ascii="Liberation Sans" w:hAnsi="Liberation Sans" w:cs="Liberation Sans"/>
          <w:sz w:val="28"/>
          <w:szCs w:val="28"/>
        </w:rPr>
        <w:t xml:space="preserve">% по сравнению </w:t>
      </w:r>
      <w:r>
        <w:rPr>
          <w:rFonts w:ascii="Liberation Sans" w:hAnsi="Liberation Sans" w:cs="Liberation Sans"/>
          <w:sz w:val="28"/>
          <w:szCs w:val="28"/>
        </w:rPr>
        <w:br/>
        <w:t xml:space="preserve">с 2022 годом и составила 1 934 человека </w:t>
      </w:r>
      <w:r>
        <w:rPr>
          <w:rFonts w:ascii="Liberation Sans" w:hAnsi="Liberation Sans" w:cs="Liberation Sans"/>
          <w:sz w:val="28"/>
          <w:szCs w:val="28"/>
        </w:rPr>
        <w:t xml:space="preserve">(отложенный спрос: </w:t>
        <w:br/>
        <w:t xml:space="preserve">от 0 до 1 года - 759 человек, от 1 года до 3 лет - 1 175 человек), согласно данным АИС «Е-услуги. Образование» (без учета детей, по</w:t>
      </w:r>
      <w:r>
        <w:rPr>
          <w:rFonts w:ascii="Liberation Sans" w:hAnsi="Liberation Sans" w:cs="Liberation Sans"/>
          <w:sz w:val="28"/>
          <w:szCs w:val="28"/>
        </w:rPr>
        <w:t xml:space="preserve">лучающих услуги в режиме кратковременного пребывания).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sz w:val="28"/>
          <w:szCs w:val="28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14:ligatures w14:val="none"/>
        </w:rPr>
      </w:r>
      <w:r/>
    </w:p>
    <w:p>
      <w:pPr>
        <w:ind w:left="-283"/>
        <w:jc w:val="center"/>
      </w:pPr>
      <w:r>
        <w:rPr>
          <w:rFonts w:ascii="Liberation Sans" w:hAnsi="Liberation Sans" w:cs="Liberation Sans"/>
          <w:color w:val="ff0000"/>
          <w:sz w:val="28"/>
          <w:szCs w:val="28"/>
        </w:rPr>
        <w:drawing>
          <wp:inline distT="0" distB="0" distL="0" distR="0">
            <wp:extent cx="5352760" cy="1474955"/>
            <wp:effectExtent l="3175" t="3175" r="3175" b="3175"/>
            <wp:docPr id="4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  <w:r>
        <w:rPr>
          <w:rFonts w:ascii="Liberation Sans" w:hAnsi="Liberation Sans" w:cs="Liberation Sans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80"/>
        <w:ind w:right="20" w:firstLine="709"/>
        <w:jc w:val="both"/>
        <w:spacing w:after="0" w:line="240" w:lineRule="auto"/>
        <w:shd w:val="clear" w:color="auto" w:fill="auto"/>
        <w:tabs>
          <w:tab w:val="left" w:pos="894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Укомп</w:t>
      </w:r>
      <w:r>
        <w:rPr>
          <w:rFonts w:ascii="Liberation Sans" w:hAnsi="Liberation Sans" w:cs="Liberation Sans"/>
          <w:sz w:val="28"/>
          <w:szCs w:val="28"/>
        </w:rPr>
        <w:t xml:space="preserve">лектованность кадрами в дошкольных образовательных организациях за 2023 год составила 98,0% (2022 год - 98,1%, </w:t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End w:id="0"/>
      <w:r>
        <w:rPr>
          <w:rFonts w:ascii="Liberation Sans" w:hAnsi="Liberation Sans" w:cs="Liberation Sans"/>
          <w:sz w:val="28"/>
          <w:szCs w:val="28"/>
        </w:rPr>
        <w:br/>
        <w:t xml:space="preserve">2021 год - 97,3%). Доля аттестованных педагогов в дошкольных образовательных организациях - 56,0% (2022 год - 51,3%, </w:t>
      </w:r>
      <w:r>
        <w:rPr>
          <w:rFonts w:ascii="Liberation Sans" w:hAnsi="Liberation Sans" w:cs="Liberation Sans"/>
          <w:sz w:val="28"/>
          <w:szCs w:val="28"/>
        </w:rPr>
        <w:t xml:space="preserve">2021 год - 52,1%</w:t>
      </w:r>
      <w:r>
        <w:rPr>
          <w:rFonts w:ascii="Liberation Sans" w:hAnsi="Liberation Sans" w:cs="Liberation Sans"/>
          <w:sz w:val="28"/>
          <w:szCs w:val="28"/>
        </w:rPr>
        <w:t xml:space="preserve">).</w:t>
      </w:r>
      <w:r>
        <w:rPr>
          <w:rFonts w:ascii="Liberation Sans" w:hAnsi="Liberation Sans" w:cs="Liberation Sans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В 2023 году </w:t>
      </w:r>
      <w:r>
        <w:rPr>
          <w:rFonts w:ascii="Liberation Sans" w:hAnsi="Liberation Sans" w:cs="Liberation Sans"/>
          <w:sz w:val="28"/>
          <w:szCs w:val="28"/>
        </w:rPr>
        <w:t xml:space="preserve">завершены работы</w:t>
      </w:r>
      <w:r>
        <w:rPr>
          <w:rFonts w:ascii="Liberation Sans" w:hAnsi="Liberation Sans" w:cs="Liberation Sans"/>
          <w:sz w:val="28"/>
          <w:szCs w:val="28"/>
        </w:rPr>
        <w:t xml:space="preserve"> по капитальному ремонту </w:t>
      </w:r>
      <w:r>
        <w:rPr>
          <w:rFonts w:ascii="Liberation Sans" w:hAnsi="Liberation Sans" w:cs="Liberation Sans"/>
          <w:sz w:val="28"/>
          <w:szCs w:val="28"/>
        </w:rPr>
        <w:t xml:space="preserve">МБДОУ «ДС «Белоснежка»</w:t>
      </w:r>
      <w:r>
        <w:rPr>
          <w:rFonts w:ascii="Liberation Sans" w:hAnsi="Liberation Sans" w:cs="Liberation Sans"/>
          <w:sz w:val="28"/>
          <w:szCs w:val="28"/>
        </w:rPr>
        <w:t xml:space="preserve">, благоустроена </w:t>
      </w:r>
      <w:r>
        <w:rPr>
          <w:rFonts w:ascii="Liberation Sans" w:hAnsi="Liberation Sans" w:cs="Liberation Sans"/>
          <w:sz w:val="28"/>
          <w:szCs w:val="28"/>
        </w:rPr>
        <w:t xml:space="preserve">территория</w:t>
      </w:r>
      <w:r>
        <w:rPr>
          <w:rFonts w:ascii="Liberation Sans" w:hAnsi="Liberation Sans" w:cs="Liberation Sans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МАДОУ «ДС «Огонёк»</w:t>
      </w:r>
      <w:r>
        <w:rPr>
          <w:rFonts w:ascii="Liberation Sans" w:hAnsi="Liberation Sans" w:cs="Liberation Sans"/>
          <w:sz w:val="28"/>
          <w:szCs w:val="28"/>
        </w:rPr>
        <w:t xml:space="preserve">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bCs/>
          <w:sz w:val="28"/>
          <w:szCs w:val="28"/>
          <w:highlight w:val="none"/>
        </w:rPr>
        <w:t xml:space="preserve">Для обес</w:t>
      </w:r>
      <w:r>
        <w:rPr>
          <w:rFonts w:ascii="Liberation Sans" w:hAnsi="Liberation Sans" w:eastAsia="Liberation Sans" w:cs="Liberation Sans"/>
          <w:bCs/>
          <w:sz w:val="28"/>
          <w:szCs w:val="28"/>
          <w:highlight w:val="none"/>
        </w:rPr>
        <w:t xml:space="preserve">печения своевременного информирования</w:t>
      </w:r>
      <w:r>
        <w:rPr>
          <w:rFonts w:ascii="Liberation Sans" w:hAnsi="Liberation Sans" w:eastAsia="Liberation Sans" w:cs="Liberation Sans"/>
          <w:bCs/>
          <w:sz w:val="28"/>
          <w:szCs w:val="28"/>
          <w:highlight w:val="none"/>
        </w:rPr>
        <w:t xml:space="preserve"> об угрозе или возникновении чрезвычайных ситуаций</w:t>
      </w:r>
      <w:r>
        <w:rPr>
          <w:rFonts w:ascii="Liberation Sans" w:hAnsi="Liberation Sans" w:cs="Liberation Sans"/>
          <w:sz w:val="28"/>
          <w:szCs w:val="28"/>
        </w:rPr>
        <w:t xml:space="preserve"> на</w:t>
      </w:r>
      <w:r>
        <w:rPr>
          <w:rFonts w:ascii="Liberation Sans" w:hAnsi="Liberation Sans" w:cs="Liberation Sans"/>
          <w:sz w:val="28"/>
          <w:szCs w:val="28"/>
        </w:rPr>
        <w:t xml:space="preserve"> объектах МАДОУ «ДС «Гнездышко», филиа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МАДОУ «ДС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«Загадка» «Дети Арктики»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установлена автономная система экстренного оповещения работников, обучающихся и иных лиц, находящихся на объекте (территории), </w:t>
        <w:br/>
        <w:t xml:space="preserve">о потенциальной угрозе возникновения или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 возникновении чрезвычайной ситуации, отдельную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от системы АПС и СОУЭ.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уровень профессиональной деятельности дошкольных образовательных организаций отмечен высокими наградами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: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color w:val="000000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Рудь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Иван, воспитанник МБДОУ «Детский сад «Руслан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», - победитель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 р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егионального конкурса «Б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ольшая перемена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6+»;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Шамиданова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Дарья, воспитанница МАДОУ «ДС «Огонёк», - обладатель 3 места в региональном конкурсе «Б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ольшая перемена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6+»;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Ахметов Александр, МАДОУ «Детский сад 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Журавушка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Фурдияка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Анастасия, МБДОУ «Детский сад «Лада», - лауреаты Всероссийского конкурса «Я - исследователь»;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color w:val="000000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t xml:space="preserve">-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Мусаев Шамиль, МАДОУ «ДС «Золотой петушок»,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Шагапов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 Спартак, МБДОУ «ДС «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Ивушка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», - победители III межрегионального чемпионата «Юный мастер - 2023»;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Шаламова Мария, МАДОУ «ДС «Золотой петушок», Кудрявцева Владислава, МБДОУ «ДС «Берёзка», Андриевских Мария, МБДОУ «ДС «Ёлочка», - призеры II межрегионального чемпионата «Юный мастер - 2023»; 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color w:val="000000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Рымарук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А.С., младший воспитатель МБДОУ «ДС 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Ивушка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», - победитель регионал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ьного этапа II Всероссийского конкурса профессионального мастерства «Лучшие няни России» в номинации «Лучшая няня «особого ребенка»;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color w:val="000000"/>
          <w:sz w:val="28"/>
          <w:szCs w:val="28"/>
          <w14:ligatures w14:val="none"/>
        </w:rPr>
      </w:pP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t xml:space="preserve">- 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Левченко Н.Л., методист по дошкольному образованию структурного подразделения «Информационно-методический центр» МАУ ДО «Межшкольный учебный комбинат «Эврика» (номинация «Наставник - это призва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ние»); Скосырская О.В., воспитатель МБДОУ «ДС «Берёзка» (номинация «Лучшая инновационная практика сохранения и укрепления традиционных духовно-нравственных ценностей») - победители регионального этапа XI Всероссийского конкурса «Воспитатели России - 2023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»;</w:t>
      </w:r>
      <w:r>
        <w:rPr>
          <w:rFonts w:ascii="Liberation Sans" w:hAnsi="Liberation Sans" w:cs="Liberation Sans"/>
          <w:color w:val="000000"/>
          <w:sz w:val="28"/>
          <w:szCs w:val="28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color w:val="000000"/>
          <w:sz w:val="28"/>
          <w:szCs w:val="28"/>
          <w14:ligatures w14:val="none"/>
        </w:rPr>
      </w:pPr>
      <w:r>
        <w:rPr>
          <w:rFonts w:ascii="Liberation Sans" w:hAnsi="Liberation Sans" w:cs="Liberation Sans"/>
          <w:color w:val="000000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  <w14:ligatures w14:val="none"/>
        </w:rPr>
        <w:t xml:space="preserve">- 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Глаздырь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 А.А., педагог филиала МАДОУ «Детский сад «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Журавушка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» «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Я-МАЛ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» (номинация «Лучший профессионал образовательной организации»), Жук С.А., воспитатель МБДОУ «Детский сад «Северная сказка» (номинация «Молодые профессионалы»), - призёры регионального этапа XI Всероссийского конкурса «Воспитатели России - 2023»;</w:t>
      </w:r>
      <w:r>
        <w:rPr>
          <w:rFonts w:ascii="Liberation Sans" w:hAnsi="Liberation Sans" w:cs="Liberation Sans"/>
          <w:color w:val="000000"/>
          <w:sz w:val="28"/>
          <w:szCs w:val="28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sz w:val="28"/>
          <w:szCs w:val="28"/>
          <w14:ligatures w14:val="none"/>
        </w:rPr>
      </w:pPr>
      <w:r>
        <w:rPr>
          <w:rFonts w:ascii="Liberation Sans" w:hAnsi="Liberation Sans" w:cs="Liberation Sans"/>
          <w:color w:val="000000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  <w14:ligatures w14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</w:rPr>
        <w:t xml:space="preserve">команда МАДОУ «ДС «Звездочка» - 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победитель Всероссийского 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профориентационного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 технологического конкурса «Инженерные кадры России» «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ИКаРёнок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 - 2023» в номинации «Новизна и актуальность проекта»;</w:t>
      </w:r>
      <w:r>
        <w:rPr>
          <w:rFonts w:ascii="Liberation Sans" w:hAnsi="Liberation Sans" w:cs="Liberation Sans"/>
          <w:sz w:val="28"/>
          <w:szCs w:val="28"/>
          <w14:ligatures w14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color w:val="auto"/>
          <w:sz w:val="28"/>
          <w:szCs w:val="28"/>
          <w:lang w:val="ru-RU"/>
          <w14:ligatures w14:val="none"/>
        </w:rPr>
      </w:pPr>
      <w:r>
        <w:rPr>
          <w:rFonts w:ascii="Liberation Sans" w:hAnsi="Liberation Sans" w:cs="Liberation Sans"/>
          <w:sz w:val="28"/>
          <w:szCs w:val="28"/>
          <w14:ligatures w14:val="none"/>
        </w:rPr>
        <w:t xml:space="preserve">- 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педагогический коллектив МАДОУ «ДС «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Виниклюзия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» - победитель регионального конкурса инновационных проектов 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br/>
        <w:t xml:space="preserve">на получение грантов в системе образования ЯНАО «Педагогический 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стартап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</w:rPr>
        <w:t xml:space="preserve">»;</w:t>
      </w:r>
      <w:r>
        <w:rPr>
          <w:rFonts w:ascii="Liberation Sans" w:hAnsi="Liberation Sans" w:cs="Liberation Sans"/>
          <w:color w:val="auto"/>
          <w:sz w:val="28"/>
          <w:szCs w:val="28"/>
          <w:lang w:val="ru-RU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auto"/>
          <w:sz w:val="28"/>
          <w:szCs w:val="28"/>
          <w:lang w:val="ru-RU"/>
        </w:rPr>
      </w:r>
      <w:r>
        <w:rPr>
          <w:rFonts w:ascii="Liberation Sans" w:hAnsi="Liberation Sans" w:cs="Liberation Sans"/>
          <w:sz w:val="28"/>
          <w:szCs w:val="28"/>
          <w14:ligatures w14:val="none"/>
        </w:rPr>
        <w:t xml:space="preserve">- 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МАДОУ «ДС «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Виниклюзия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» - призер X Всероссийского конкурса «Лучшая инклюзивная школа России - 2023» в номинации «Лучший инклюзивный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  <w:shd w:val="clear" w:color="auto" w:fill="ffffff"/>
        </w:rPr>
        <w:t xml:space="preserve"> детский сад России - 2023»,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победитель среди муниципальных инклюзивных дошкольных учреждений, обладатель звания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очетн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ого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 член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 «Ассоциации инклюзивных школ»;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t xml:space="preserve">-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МАДОУ «ДС «Гнёздышко» - лауреат премий «Фестиваль фестивалей - 2023» и «Знак качества - 2023»;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color w:val="000000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t xml:space="preserve">-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МБДОУ «ДС «Берёзка» - лауреат-победитель Всероссийского конкурса-смотра «Лучшие детские сады России 2023»;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993" w:leader="none"/>
        </w:tabs>
        <w:rPr>
          <w:rFonts w:ascii="Liberation Sans" w:hAnsi="Liberation Sans" w:cs="Liberation Sans"/>
          <w:sz w:val="28"/>
          <w:szCs w:val="28"/>
          <w14:ligatures w14:val="none"/>
        </w:rPr>
      </w:pP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t xml:space="preserve">-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МАДОУ «ДС «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Журавуш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ка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», МАДОУ «ДС «Мальвина», МАДОУ «ДС «Загадка», МАДОУ «ДС «Звездочка» - региональные 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стажировочные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 площадки Центра непрерывного повышения профессионального мастерства педагогических работников </w:t>
      </w:r>
      <w:r>
        <w:rPr>
          <w:rFonts w:ascii="Liberation Sans" w:hAnsi="Liberation Sans" w:cs="Liberation Sans"/>
          <w:color w:val="000000"/>
          <w:sz w:val="28"/>
          <w:szCs w:val="28"/>
        </w:rPr>
        <w:br/>
        <w:t xml:space="preserve">и управленческих кадров Регионального института развития образования.</w:t>
      </w:r>
      <w:r>
        <w:rPr>
          <w:rFonts w:ascii="Liberation Sans" w:hAnsi="Liberation Sans" w:cs="Liberation Sans"/>
          <w:sz w:val="28"/>
          <w:szCs w:val="28"/>
          <w14:ligatures w14:val="none"/>
        </w:rPr>
      </w:r>
      <w:r/>
    </w:p>
    <w:p>
      <w:pPr>
        <w:pStyle w:val="1122"/>
        <w:ind w:left="0" w:firstLine="709"/>
        <w:jc w:val="both"/>
        <w:spacing w:after="0" w:afterAutospacing="0" w:line="240" w:lineRule="auto"/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В рамках регионального проекта «Безопасность дорожного движения» (национальный проект «Безопасные и качественные автомобильные дороги») 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</w:rPr>
        <w:t xml:space="preserve">в декабре 2023 года на базе МБОУ «Средняя школа № 8» проведен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городской конкурс среди воспитанников дошкольных образовательных организаций «Безопасное колёсико». Участие приняли 25 команд детских садов города Новый Уренгой </w:t>
        <w:br/>
        <w:t xml:space="preserve">с охватом 100 детей и более 50 воспитателей.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both"/>
        <w:spacing w:after="0" w:line="240" w:lineRule="auto"/>
        <w:widowControl w:val="off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widowControl w:val="off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b/>
          <w:sz w:val="28"/>
          <w:szCs w:val="28"/>
        </w:rPr>
        <w:t xml:space="preserve">Дополнительное образование</w:t>
      </w:r>
      <w:r>
        <w:rPr>
          <w:rFonts w:ascii="Liberation Sans" w:hAnsi="Liberation Sans" w:cs="Liberation Sans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22"/>
        <w:ind w:left="0"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В 2023 году услуги по дополнительному образованию детей оказывали 3 муниципальные организации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дополнительного образования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детей в сфере образования (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eastAsia="ru-RU"/>
        </w:rPr>
        <w:t xml:space="preserve">МАУ ДО МУК «Эврика»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МБУ ДО ДЭС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МБОУ ДО Г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ДТ «Академия талантов»)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 3 - в сфере культуры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МБУ ДО «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ДШИ и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м. С.В. Рахманинова»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МБУ ДО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ДШИ № 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МБУ ДО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ДШИ № 3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6 -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сфере физичес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кой культуры и спорта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(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МАУ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ДО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СШ «Арктика»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МАУ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ДО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«СШ имени К. Еременко»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МБУ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ДО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СШ «Сибирские медведи»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МАУ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ДО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СШ «Норд»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МАУДО СШ «Юность»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МАУ ДО СШ «Контакт»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25 организаций дош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кольного образования; </w:t>
        <w:br/>
        <w:t xml:space="preserve">18 общеобразовательных о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рганизаций,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частное образовательное учреждение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«Православная гимназия имени святителя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Филофея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, митрополита Тобольского», 2 частные организации, имеющие лицензию на реализаци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ю дополнительных образовательных программ (РОО ЦИИЯ «Альбион»,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МШП 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Кодики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»),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государственное бюджетное профессиональное образовательное учреждение Ямало-Ненецкого автономного округа 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Новоуренгойский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многопрофильный колледж»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(далее -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многопрофильный колледж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pStyle w:val="1122"/>
        <w:ind w:left="0"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14:ligatures w14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 марта 2023 года реализация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дополните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льног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о образования осуществляется в рамках социального заказа. Подходы к реализации социального заказа во многом синхронизированы с подходами реализации дополнительных программ в рамках персонифицированного финансирования дополнительного образования детей.</w:t>
      </w:r>
      <w:r>
        <w:rPr>
          <w:rFonts w:ascii="Liberation Sans" w:hAnsi="Liberation Sans" w:cs="Liberation Sans"/>
          <w:color w:val="000000" w:themeColor="text1"/>
          <w:sz w:val="28"/>
          <w:szCs w:val="28"/>
          <w14:ligatures w14:val="none"/>
        </w:rPr>
      </w:r>
      <w:r/>
    </w:p>
    <w:p>
      <w:pPr>
        <w:pStyle w:val="1122"/>
        <w:ind w:left="0"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14:ligatures w14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2023 году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утверждены правила формирования в электронном виде социального сертификата на получение муниципальной услуги «Реализация дополнительных общеразвивающих программ» (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постановление Администрации города Новый Уренгой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от 21.09.2023 № 437 «О некоторых мерах правового регулирования вопросов, связанных с оказанием муниципальной услуги «Реализ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ация дополнительных общеобразовательных программ» в соответствии </w:t>
        <w:br/>
        <w:t xml:space="preserve">с социальными сертификатами»). С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использованием сертификата обучение возможно как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в муниципальных, так и частных образовательных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организациях.</w:t>
      </w:r>
      <w:r>
        <w:rPr>
          <w:rFonts w:ascii="Liberation Sans" w:hAnsi="Liberation Sans" w:cs="Liberation Sans"/>
          <w:color w:val="000000" w:themeColor="text1"/>
          <w:sz w:val="28"/>
          <w:szCs w:val="28"/>
          <w14:ligatures w14:val="none"/>
        </w:rPr>
      </w:r>
      <w:r/>
    </w:p>
    <w:p>
      <w:pPr>
        <w:pStyle w:val="1122"/>
        <w:ind w:left="0"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В 2023 году в рамках социального заказа реализуется </w:t>
        <w:br/>
        <w:t xml:space="preserve">533 программы дополнительного образования,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из них 54 -сертифи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цированные реализуемы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в 3 муниципальных организациях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доп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олнительного образования в сфере образования,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многопрофильном колледж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РОО ЦИИЯ «Альбион», МШП 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Кодики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pStyle w:val="1122"/>
        <w:ind w:left="0"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color w:val="000000" w:themeColor="text1"/>
          <w:sz w:val="28"/>
          <w:szCs w:val="28"/>
          <w14:ligatures w14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Ч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исленность детей, обучающихся по дополнительным образовательным программам в государственных (муниципальных) и частных организациях, подвед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омственных системе образования, организациях сферы культуры, спорта, получающих услуги дополнительного образования от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5 до 18 лет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за 2023 год составила </w:t>
        <w:br/>
        <w:t xml:space="preserve">17 548 человек (85,6%) (2022 год - 20 730, 2021 год - 18 825).</w:t>
      </w:r>
      <w:r>
        <w:rPr>
          <w:rFonts w:ascii="Liberation Sans" w:hAnsi="Liberation Sans" w:cs="Liberation Sans"/>
          <w:color w:val="000000" w:themeColor="text1"/>
          <w:sz w:val="28"/>
          <w:szCs w:val="28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сфере образования.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На базе МБОУ «СШ № 17» продолжена работа Центра цифрового образования детей «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en-US"/>
        </w:rPr>
        <w:t xml:space="preserve">IT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-куб» (далее - ЦЦОД «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en-US"/>
        </w:rPr>
        <w:t xml:space="preserve">IT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-куб»). В ЦЦОД «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en-US"/>
        </w:rPr>
        <w:t xml:space="preserve">IT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-куб» реализуются дополнительные образовательные общеразвивающие программы на ознакомительном (5 программ) и базовом (11 программ) уровнях сложности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В 2023 году обучил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сь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466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человек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возрасте </w:t>
        <w:br/>
        <w:t xml:space="preserve">от 6 до 18 лет из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16 об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разовательных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организаций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Также на базе МБОУ «СШ № 17» в 2023 году органи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зована работа мобильного технопарка «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Кванториум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». В технопа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рке реализуется </w:t>
        <w:br/>
        <w:t xml:space="preserve">5 программ базового уровня, на которых обуча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ю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тся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  <w:t xml:space="preserve">205 детей. Мероприятиями, проводимыми ЦЦОД 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en-US"/>
        </w:rPr>
        <w:t xml:space="preserve">IT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-куб» и мобильным технопарком 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Кванториум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», охвачено более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2 520 обучающихся.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  <w14:ligatures w14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рамках регионального проекта «Безопасность дорожного движения» (национальный проект «Безопасные и качественные автомобильные дороги»)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2023 году Центром по профилактике детского дорожно-транспортного травматизма «Лаборатория безопасности»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МАУ ДО «Межшкольный учебный комбинат «Эврика»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(далее - Центр «Лаборатория безопасности») совместно </w:t>
        <w:br/>
        <w:t xml:space="preserve">с сотрудниками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ОГИБДД ОМВД России по городу Новому Уренгою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 участием обучающихся, в том числе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из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отряд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ю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ных инспекторов движения (далее - ЮИД)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организовано и проведено более </w:t>
        <w:br/>
        <w:t xml:space="preserve">50 мероприятий по ПДД. Охват - более 500 детей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rPr>
          <w:highlight w:val="none"/>
        </w:rPr>
      </w:pPr>
      <w:r>
        <w:rPr>
          <w:rFonts w:ascii="Liberation Sans" w:hAnsi="Liberation Sans" w:eastAsia="Calibri"/>
          <w:sz w:val="28"/>
          <w:szCs w:val="28"/>
          <w:highlight w:val="none"/>
        </w:rPr>
        <w:t xml:space="preserve">Специалистами Центра «Лаборатори</w:t>
      </w:r>
      <w:r>
        <w:rPr>
          <w:rFonts w:ascii="Liberation Sans" w:hAnsi="Liberation Sans" w:eastAsia="Calibri"/>
          <w:sz w:val="28"/>
          <w:szCs w:val="28"/>
          <w:highlight w:val="none"/>
        </w:rPr>
        <w:t xml:space="preserve">я</w:t>
      </w:r>
      <w:r>
        <w:rPr>
          <w:rFonts w:ascii="Liberation Sans" w:hAnsi="Liberation Sans" w:eastAsia="Calibri"/>
          <w:sz w:val="28"/>
          <w:szCs w:val="28"/>
          <w:highlight w:val="none"/>
        </w:rPr>
        <w:t xml:space="preserve"> безопасности» разработано </w:t>
      </w:r>
      <w:r>
        <w:rPr>
          <w:rFonts w:ascii="Liberation Sans" w:hAnsi="Liberation Sans" w:eastAsia="Calibri"/>
          <w:sz w:val="28"/>
          <w:szCs w:val="28"/>
          <w:highlight w:val="none"/>
        </w:rPr>
        <w:t xml:space="preserve">и организовано открытое профилактическое мероприятие «Дорога </w:t>
      </w:r>
      <w:r>
        <w:rPr>
          <w:rFonts w:ascii="Liberation Sans" w:hAnsi="Liberation Sans" w:eastAsia="Calibri"/>
          <w:sz w:val="28"/>
          <w:szCs w:val="28"/>
          <w:highlight w:val="none"/>
        </w:rPr>
        <w:t xml:space="preserve">без опасности», посвященное памяти жертв ДТП</w:t>
      </w:r>
      <w:r>
        <w:rPr>
          <w:rFonts w:ascii="Liberation Sans" w:hAnsi="Liberation Sans" w:eastAsia="Calibri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Calibri"/>
          <w:sz w:val="28"/>
          <w:szCs w:val="28"/>
          <w:highlight w:val="none"/>
        </w:rPr>
        <w:t xml:space="preserve"> в формате «живой встречи» обучающихся общеобразовательных организаций, детей</w:t>
      </w:r>
      <w:r>
        <w:rPr>
          <w:rFonts w:ascii="Liberation Sans" w:hAnsi="Liberation Sans" w:eastAsia="Calibri"/>
          <w:sz w:val="28"/>
          <w:szCs w:val="28"/>
          <w:highlight w:val="none"/>
        </w:rPr>
        <w:t xml:space="preserve"> - </w:t>
      </w:r>
      <w:r>
        <w:rPr>
          <w:rFonts w:ascii="Liberation Sans" w:hAnsi="Liberation Sans" w:eastAsia="Calibri"/>
          <w:sz w:val="28"/>
          <w:szCs w:val="28"/>
          <w:highlight w:val="none"/>
        </w:rPr>
        <w:t xml:space="preserve">участников ДТП, отрядов ЮИД, сотрудников служб спасения </w:t>
        <w:br/>
        <w:t xml:space="preserve">(</w:t>
      </w:r>
      <w:r>
        <w:rPr>
          <w:rFonts w:ascii="Liberation Sans" w:hAnsi="Liberation Sans" w:eastAsia="Calibri"/>
          <w:sz w:val="28"/>
          <w:szCs w:val="28"/>
          <w:highlight w:val="none"/>
        </w:rPr>
        <w:t xml:space="preserve">3 ПСО ФПС ГПС ГУ МЧС России по ЯНАО</w:t>
      </w:r>
      <w:r>
        <w:rPr>
          <w:rFonts w:ascii="Liberation Sans" w:hAnsi="Liberation Sans" w:eastAsia="Calibri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Calibri"/>
          <w:sz w:val="28"/>
          <w:szCs w:val="28"/>
          <w:highlight w:val="none"/>
        </w:rPr>
        <w:t xml:space="preserve">ГБУЗ ЯНАО «</w:t>
      </w:r>
      <w:r>
        <w:rPr>
          <w:rFonts w:ascii="Liberation Sans" w:hAnsi="Liberation Sans" w:eastAsia="Calibri"/>
          <w:sz w:val="28"/>
          <w:szCs w:val="28"/>
          <w:highlight w:val="none"/>
        </w:rPr>
        <w:t xml:space="preserve">Новоуренгойская</w:t>
      </w:r>
      <w:r>
        <w:rPr>
          <w:rFonts w:ascii="Liberation Sans" w:hAnsi="Liberation Sans" w:eastAsia="Calibri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Calibri"/>
          <w:sz w:val="28"/>
          <w:szCs w:val="28"/>
          <w:highlight w:val="none"/>
        </w:rPr>
        <w:t xml:space="preserve">ССМП</w:t>
      </w:r>
      <w:r>
        <w:rPr>
          <w:rFonts w:ascii="Liberation Sans" w:hAnsi="Liberation Sans" w:eastAsia="Calibri"/>
          <w:sz w:val="28"/>
          <w:szCs w:val="28"/>
          <w:highlight w:val="none"/>
        </w:rPr>
        <w:t xml:space="preserve">»</w:t>
      </w:r>
      <w:r>
        <w:rPr>
          <w:rFonts w:ascii="Liberation Sans" w:hAnsi="Liberation Sans" w:eastAsia="Calibri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Calibri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Arial"/>
          <w:sz w:val="28"/>
          <w:szCs w:val="28"/>
          <w:highlight w:val="none"/>
          <w:shd w:val="clear" w:color="auto" w:fill="ffffff"/>
        </w:rPr>
        <w:t xml:space="preserve">ОГИБДД ОМВД России по городу Новому Уренгою</w:t>
      </w:r>
      <w:r>
        <w:rPr>
          <w:rFonts w:ascii="Liberation Sans" w:hAnsi="Liberation Sans" w:eastAsia="Calibri"/>
          <w:sz w:val="28"/>
          <w:szCs w:val="28"/>
          <w:highlight w:val="none"/>
        </w:rPr>
        <w:t xml:space="preserve">).</w:t>
      </w:r>
      <w:r>
        <w:rPr>
          <w:rFonts w:ascii="Liberation Sans" w:hAnsi="Liberation Sans" w:eastAsia="Calibri"/>
          <w:sz w:val="28"/>
          <w:szCs w:val="28"/>
          <w:highlight w:val="none"/>
        </w:rPr>
        <w:t xml:space="preserve"> Охват составил более 200 детей и педагогов.</w:t>
      </w:r>
      <w:r>
        <w:rPr>
          <w:highlight w:val="none"/>
        </w:rPr>
      </w:r>
      <w:r/>
    </w:p>
    <w:p>
      <w:pPr>
        <w:contextualSpacing/>
        <w:ind w:firstLine="708"/>
        <w:jc w:val="both"/>
        <w:spacing w:after="0" w:afterAutospacing="0" w:line="240" w:lineRule="auto"/>
        <w:widowControl w:val="off"/>
        <w:rPr>
          <w:rFonts w:ascii="Liberation Sans" w:hAnsi="Liberation Sans" w:eastAsia="Liberation Sans" w:cs="Liberation Sans"/>
          <w:sz w:val="28"/>
          <w:szCs w:val="28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рамках регионального проекта «Социальная активность» (национальный проект «Образование») на базе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МАУ ДО «Межшкольный учебный комбинат «Эврика» с 2023 года функционирует Центр по развитию добровольчества «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Добро.Центр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 «Эврика» (далее - Центр). Продолжена деятельность детского объединения «Клуб волонтёров «Надежда» (далее - Клуб). </w:t>
        <w:br/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В 2023/2024 учебном году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в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 Центре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 и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Клубе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обучаются 10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5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детей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, </w:t>
        <w:br/>
        <w:t xml:space="preserve">и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з них 16 волонтёров с ОВЗ.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За время работы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Центра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 и Клуба </w:t>
      </w:r>
      <w:r>
        <w:rPr>
          <w:rFonts w:ascii="Liberation Sans" w:hAnsi="Liberation Sans" w:eastAsia="Liberation Sans" w:cs="Liberation Sans"/>
          <w:sz w:val="28"/>
          <w:szCs w:val="28"/>
        </w:rPr>
        <w:br/>
        <w:t xml:space="preserve">к добровольчеству удалось привлечь свыше 320 школьников (статистика сайт ДОБРО.РУ),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сделано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 более 108 добрых дел.</w:t>
      </w:r>
      <w:r>
        <w:rPr>
          <w:rFonts w:ascii="Liberation Sans" w:hAnsi="Liberation Sans" w:eastAsia="Liberation Sans" w:cs="Liberation Sans"/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</w:pPr>
      <w:r>
        <w:rPr>
          <w:rFonts w:ascii="Liberation Sans" w:hAnsi="Liberation Sans" w:cs="Liberation Sans"/>
          <w:sz w:val="28"/>
          <w:szCs w:val="28"/>
          <w:highlight w:val="white"/>
        </w:rPr>
        <w:t xml:space="preserve">Укомплектованность кадрами в 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организациях</w:t>
      </w:r>
      <w:r>
        <w:rPr>
          <w:rFonts w:ascii="Liberation Sans" w:hAnsi="Liberation Sans" w:cs="Liberation Sans"/>
          <w:sz w:val="28"/>
          <w:szCs w:val="28"/>
          <w:highlight w:val="white"/>
        </w:rPr>
        <w:t xml:space="preserve"> дополнительного образования в сфере образования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за 2023 год составила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92,9% </w:t>
        <w:br/>
        <w:t xml:space="preserve">(2022 год - 97,8%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20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21 год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90,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2%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). Доля аттестованных педагогов </w:t>
        <w:br/>
        <w:t xml:space="preserve">в организациях дополнительного образования - 47,8%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(2022 год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(уточн.) 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52,0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%, 2021 год (уточн.)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-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53,0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%)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lightGray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1181"/>
        <w:ind w:left="20" w:right="20" w:firstLine="720"/>
        <w:spacing w:line="240" w:lineRule="auto"/>
        <w:shd w:val="clear" w:color="ffffff" w:themeColor="background1" w:fill="ffffff" w:themeFill="background1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В отчетном периоде уровень деятельности дополнительного образования в сфере образования отмечен следующими достижениями: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1181"/>
        <w:ind w:left="20" w:right="20" w:firstLine="720"/>
        <w:spacing w:line="240" w:lineRule="auto"/>
        <w:shd w:val="clear" w:color="ffffff" w:themeColor="background1" w:fill="ffffff" w:themeFill="background1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- </w:t>
      </w:r>
      <w:r>
        <w:rPr>
          <w:rFonts w:ascii="Liberation Sans" w:hAnsi="Liberation Sans" w:cs="Liberation Sans"/>
          <w:sz w:val="28"/>
          <w:szCs w:val="28"/>
        </w:rPr>
        <w:t xml:space="preserve">Коваленко Алёна, обучающаяся ЦЦОД «</w:t>
      </w:r>
      <w:r>
        <w:rPr>
          <w:rFonts w:ascii="Liberation Sans" w:hAnsi="Liberation Sans" w:cs="Liberation Sans"/>
          <w:sz w:val="28"/>
          <w:szCs w:val="28"/>
          <w:lang w:val="en-US"/>
        </w:rPr>
        <w:t xml:space="preserve">IT</w:t>
      </w:r>
      <w:r>
        <w:rPr>
          <w:rFonts w:ascii="Liberation Sans" w:hAnsi="Liberation Sans" w:cs="Liberation Sans"/>
          <w:sz w:val="28"/>
          <w:szCs w:val="28"/>
        </w:rPr>
        <w:t xml:space="preserve"> - куб», – победитель регионального этапа Всероссийского конкурса «Мой ЯМАЛ» </w:t>
      </w:r>
      <w:r>
        <w:rPr>
          <w:rFonts w:ascii="Liberation Sans" w:hAnsi="Liberation Sans" w:cs="Liberation Sans"/>
          <w:sz w:val="28"/>
          <w:szCs w:val="28"/>
        </w:rPr>
        <w:br/>
        <w:t xml:space="preserve">в номинации «Лучшая открытка для мамы»;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81"/>
        <w:ind w:left="20" w:right="20" w:firstLine="720"/>
        <w:spacing w:line="240" w:lineRule="auto"/>
        <w:shd w:val="clear" w:color="ffffff" w:themeColor="background1" w:fill="ffffff" w:themeFill="background1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- </w:t>
      </w:r>
      <w:r>
        <w:rPr>
          <w:rFonts w:ascii="Liberation Sans" w:hAnsi="Liberation Sans" w:cs="Liberation Sans"/>
          <w:sz w:val="28"/>
          <w:szCs w:val="28"/>
        </w:rPr>
        <w:t xml:space="preserve">Беккер Николай, обучающийся ЦЦОД «</w:t>
      </w:r>
      <w:r>
        <w:rPr>
          <w:rFonts w:ascii="Liberation Sans" w:hAnsi="Liberation Sans" w:cs="Liberation Sans"/>
          <w:sz w:val="28"/>
          <w:szCs w:val="28"/>
          <w:lang w:val="en-US"/>
        </w:rPr>
        <w:t xml:space="preserve">IT</w:t>
      </w:r>
      <w:r>
        <w:rPr>
          <w:rFonts w:ascii="Liberation Sans" w:hAnsi="Liberation Sans" w:cs="Liberation Sans"/>
          <w:sz w:val="28"/>
          <w:szCs w:val="28"/>
        </w:rPr>
        <w:t xml:space="preserve"> - куб», – победитель регионального этапа Всероссийского конкурса научно-технологических проектов «Большие вызовы»;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81"/>
        <w:ind w:left="20" w:right="20" w:firstLine="720"/>
        <w:spacing w:line="240" w:lineRule="auto"/>
        <w:shd w:val="clear" w:color="ffffff" w:themeColor="background1" w:fill="ffffff" w:themeFill="background1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- </w:t>
      </w:r>
      <w:r>
        <w:rPr>
          <w:rFonts w:ascii="Liberation Sans" w:hAnsi="Liberation Sans" w:cs="Liberation Sans"/>
          <w:sz w:val="28"/>
          <w:szCs w:val="28"/>
        </w:rPr>
        <w:t xml:space="preserve">Скрипачев</w:t>
      </w:r>
      <w:r>
        <w:rPr>
          <w:rFonts w:ascii="Liberation Sans" w:hAnsi="Liberation Sans" w:cs="Liberation Sans"/>
          <w:sz w:val="28"/>
          <w:szCs w:val="28"/>
        </w:rPr>
        <w:t xml:space="preserve"> Артем, обучающийся ЦЦОД «</w:t>
      </w:r>
      <w:r>
        <w:rPr>
          <w:rFonts w:ascii="Liberation Sans" w:hAnsi="Liberation Sans" w:cs="Liberation Sans"/>
          <w:sz w:val="28"/>
          <w:szCs w:val="28"/>
          <w:lang w:val="en-US"/>
        </w:rPr>
        <w:t xml:space="preserve">IT</w:t>
      </w:r>
      <w:r>
        <w:rPr>
          <w:rFonts w:ascii="Liberation Sans" w:hAnsi="Liberation Sans" w:cs="Liberation Sans"/>
          <w:sz w:val="28"/>
          <w:szCs w:val="28"/>
        </w:rPr>
        <w:t xml:space="preserve"> - куб», – обладатель диплома 2 степени Всероссийского конкурса по программированию </w:t>
      </w:r>
      <w:r>
        <w:rPr>
          <w:rFonts w:ascii="Liberation Sans" w:hAnsi="Liberation Sans" w:cs="Liberation Sans"/>
          <w:sz w:val="28"/>
          <w:szCs w:val="28"/>
        </w:rPr>
        <w:br/>
        <w:t xml:space="preserve">в среде </w:t>
      </w:r>
      <w:r>
        <w:rPr>
          <w:rFonts w:ascii="Liberation Sans" w:hAnsi="Liberation Sans" w:cs="Liberation Sans"/>
          <w:sz w:val="28"/>
          <w:szCs w:val="28"/>
        </w:rPr>
        <w:t xml:space="preserve">Scratch</w:t>
      </w:r>
      <w:r>
        <w:rPr>
          <w:rFonts w:ascii="Liberation Sans" w:hAnsi="Liberation Sans" w:cs="Liberation Sans"/>
          <w:sz w:val="28"/>
          <w:szCs w:val="28"/>
        </w:rPr>
        <w:t xml:space="preserve"> «Делу время, потехе час»;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81"/>
        <w:ind w:left="20" w:right="20" w:firstLine="720"/>
        <w:spacing w:line="240" w:lineRule="auto"/>
        <w:shd w:val="clear" w:color="ffffff" w:themeColor="background1" w:fill="ffffff" w:themeFill="background1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- </w:t>
      </w:r>
      <w:r>
        <w:rPr>
          <w:rFonts w:ascii="Liberation Sans" w:hAnsi="Liberation Sans" w:cs="Liberation Sans"/>
          <w:sz w:val="28"/>
          <w:szCs w:val="28"/>
        </w:rPr>
        <w:t xml:space="preserve">Гундерин</w:t>
      </w:r>
      <w:r>
        <w:rPr>
          <w:rFonts w:ascii="Liberation Sans" w:hAnsi="Liberation Sans" w:cs="Liberation Sans"/>
          <w:sz w:val="28"/>
          <w:szCs w:val="28"/>
        </w:rPr>
        <w:t xml:space="preserve"> Александр, Резниченко Дарья, обучающиеся ЦЦОД «</w:t>
      </w:r>
      <w:r>
        <w:rPr>
          <w:rFonts w:ascii="Liberation Sans" w:hAnsi="Liberation Sans" w:cs="Liberation Sans"/>
          <w:sz w:val="28"/>
          <w:szCs w:val="28"/>
          <w:lang w:val="en-US"/>
        </w:rPr>
        <w:t xml:space="preserve">IT</w:t>
      </w:r>
      <w:r>
        <w:rPr>
          <w:rFonts w:ascii="Liberation Sans" w:hAnsi="Liberation Sans" w:cs="Liberation Sans"/>
          <w:sz w:val="28"/>
          <w:szCs w:val="28"/>
        </w:rPr>
        <w:t xml:space="preserve"> - куб», – обладатели дипломов 2 степени Всероссийского конкурса исследовательских и проектных работ «Юный исследователь» Общероссийской Малой академии наук «Интеллект будущего»;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81"/>
        <w:ind w:left="20" w:right="20" w:firstLine="720"/>
        <w:spacing w:line="240" w:lineRule="auto"/>
        <w:shd w:val="clear" w:color="ffffff" w:themeColor="background1" w:fill="ffffff" w:themeFill="background1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- </w:t>
      </w:r>
      <w:r>
        <w:rPr>
          <w:rFonts w:ascii="Liberation Sans" w:hAnsi="Liberation Sans" w:cs="Liberation Sans"/>
          <w:sz w:val="28"/>
          <w:szCs w:val="28"/>
        </w:rPr>
        <w:t xml:space="preserve">Фуфаева</w:t>
      </w:r>
      <w:r>
        <w:rPr>
          <w:rFonts w:ascii="Liberation Sans" w:hAnsi="Liberation Sans" w:cs="Liberation Sans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Анг</w:t>
      </w:r>
      <w:r>
        <w:rPr>
          <w:rFonts w:ascii="Liberation Sans" w:hAnsi="Liberation Sans" w:cs="Liberation Sans"/>
          <w:sz w:val="28"/>
          <w:szCs w:val="28"/>
        </w:rPr>
        <w:t xml:space="preserve">е</w:t>
      </w:r>
      <w:r>
        <w:rPr>
          <w:rFonts w:ascii="Liberation Sans" w:hAnsi="Liberation Sans" w:cs="Liberation Sans"/>
          <w:sz w:val="28"/>
          <w:szCs w:val="28"/>
        </w:rPr>
        <w:t xml:space="preserve">л</w:t>
      </w:r>
      <w:r>
        <w:rPr>
          <w:rFonts w:ascii="Liberation Sans" w:hAnsi="Liberation Sans" w:cs="Liberation Sans"/>
          <w:sz w:val="28"/>
          <w:szCs w:val="28"/>
        </w:rPr>
        <w:t xml:space="preserve">и</w:t>
      </w:r>
      <w:r>
        <w:rPr>
          <w:rFonts w:ascii="Liberation Sans" w:hAnsi="Liberation Sans" w:cs="Liberation Sans"/>
          <w:sz w:val="28"/>
          <w:szCs w:val="28"/>
        </w:rPr>
        <w:t xml:space="preserve">на,</w:t>
      </w:r>
      <w:r>
        <w:rPr>
          <w:rFonts w:ascii="Liberation Sans" w:hAnsi="Liberation Sans" w:cs="Liberation Sans"/>
          <w:sz w:val="28"/>
          <w:szCs w:val="28"/>
        </w:rPr>
        <w:t xml:space="preserve"> Шакиров Артур, обучающиеся ЦЦОД «</w:t>
      </w:r>
      <w:r>
        <w:rPr>
          <w:rFonts w:ascii="Liberation Sans" w:hAnsi="Liberation Sans" w:cs="Liberation Sans"/>
          <w:sz w:val="28"/>
          <w:szCs w:val="28"/>
          <w:lang w:val="en-US"/>
        </w:rPr>
        <w:t xml:space="preserve">IT</w:t>
      </w:r>
      <w:r>
        <w:rPr>
          <w:rFonts w:ascii="Liberation Sans" w:hAnsi="Liberation Sans" w:cs="Liberation Sans"/>
          <w:sz w:val="28"/>
          <w:szCs w:val="28"/>
        </w:rPr>
        <w:t xml:space="preserve"> - куб», – обладатели дипломов 2 степени Всероссийского конкурса исследовательских и проектных работ «Шаги в науку» Общероссийской Ма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лой академии наук «Интеллект будущего»;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81"/>
        <w:ind w:left="20" w:right="20" w:firstLine="720"/>
        <w:spacing w:line="240" w:lineRule="auto"/>
        <w:shd w:val="clear" w:color="ffffff" w:themeColor="background1" w:fill="ffffff" w:themeFill="background1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Александров Александр,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Бабанец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Владислав,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Солостов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Никита, обучающиеся ЦЦОД «</w:t>
      </w:r>
      <w:r>
        <w:rPr>
          <w:rFonts w:ascii="Liberation Sans" w:hAnsi="Liberation Sans" w:cs="Liberation Sans"/>
          <w:sz w:val="28"/>
          <w:szCs w:val="28"/>
          <w:highlight w:val="none"/>
          <w:lang w:val="en-US"/>
        </w:rPr>
        <w:t xml:space="preserve">IT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- куб», – обладатели специального приза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от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оскорпорации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«Р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осатом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 Всероссийской олимпиады «Технологии успеха» в рамках Всероссийской Большой олимпиады «Искусство. Технологии. Спорт»;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81"/>
        <w:ind w:left="20" w:right="20" w:firstLine="720"/>
        <w:spacing w:line="240" w:lineRule="auto"/>
        <w:shd w:val="clear" w:color="ffffff" w:themeColor="background1" w:fill="ffffff" w:themeFill="background1"/>
        <w:rPr>
          <w:rFonts w:ascii="Liberation Sans" w:hAnsi="Liberation Sans" w:cs="Liberation Sans"/>
          <w:color w:val="000000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Гоманюк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 София, Алиханов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Алихан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, об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учающиеся МБУ ДО ДЭС, – лауреаты Всероссийского конкурса юношеских исследовательских работ им. В.И. Вернадского;</w:t>
      </w:r>
      <w:r>
        <w:rPr>
          <w:rFonts w:ascii="Liberation Sans" w:hAnsi="Liberation Sans" w:cs="Liberation Sans"/>
          <w:color w:val="000000"/>
          <w:sz w:val="28"/>
          <w:szCs w:val="28"/>
        </w:rPr>
      </w:r>
      <w:r/>
    </w:p>
    <w:p>
      <w:pPr>
        <w:pStyle w:val="1181"/>
        <w:ind w:left="20" w:right="20" w:firstLine="720"/>
        <w:spacing w:line="240" w:lineRule="auto"/>
        <w:shd w:val="clear" w:color="ffffff" w:themeColor="background1" w:fill="ffffff" w:themeFill="background1"/>
        <w:rPr>
          <w:rFonts w:ascii="Liberation Sans" w:hAnsi="Liberation Sans" w:cs="Liberation Sans"/>
          <w:color w:val="000000"/>
          <w:sz w:val="28"/>
          <w:szCs w:val="28"/>
        </w:rPr>
      </w:pPr>
      <w:r>
        <w:rPr>
          <w:rFonts w:ascii="Liberation Sans" w:hAnsi="Liberation Sans" w:cs="Liberation Sans"/>
          <w:color w:val="000000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Мамбетов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 Марат, обучающийся МБУ ДО ДЭС, – обладатель диплома I степени Всероссийского конкурса юношеских исследовательских работ им. В.И. Вернадского;</w:t>
      </w:r>
      <w:r>
        <w:rPr>
          <w:rFonts w:ascii="Liberation Sans" w:hAnsi="Liberation Sans" w:cs="Liberation Sans"/>
          <w:color w:val="000000"/>
          <w:sz w:val="28"/>
          <w:szCs w:val="28"/>
        </w:rPr>
      </w:r>
      <w:r/>
    </w:p>
    <w:p>
      <w:pPr>
        <w:pStyle w:val="1181"/>
        <w:ind w:left="20" w:right="20" w:firstLine="720"/>
        <w:spacing w:line="240" w:lineRule="auto"/>
        <w:shd w:val="clear" w:color="ffffff" w:themeColor="background1" w:fill="ffffff" w:themeFill="background1"/>
        <w:rPr>
          <w:rFonts w:ascii="Liberation Sans" w:hAnsi="Liberation Sans" w:cs="Liberation Sans"/>
          <w:color w:val="000000"/>
          <w:sz w:val="28"/>
          <w:szCs w:val="28"/>
        </w:rPr>
      </w:pPr>
      <w:r>
        <w:rPr>
          <w:rFonts w:ascii="Liberation Sans" w:hAnsi="Liberation Sans" w:cs="Liberation Sans"/>
          <w:color w:val="000000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Маковский Дмитрий, 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Алибутаева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Аминат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, обучающиеся МБОУ ДО ГДТ «Академия талантов», - лауреаты 2 степени </w:t>
      </w:r>
      <w:r>
        <w:rPr>
          <w:rFonts w:ascii="Liberation Sans" w:hAnsi="Liberation Sans" w:cs="Liberation Sans"/>
          <w:color w:val="000000"/>
          <w:sz w:val="28"/>
          <w:szCs w:val="28"/>
        </w:rPr>
        <w:br/>
        <w:t xml:space="preserve">IX Международного театрального фестиваля-конкурса имени заслуженного артиста Российской Федерации Андрея Владимировича Панина «Рыжий клоун»;</w:t>
      </w:r>
      <w:r>
        <w:rPr>
          <w:rFonts w:ascii="Liberation Sans" w:hAnsi="Liberation Sans" w:cs="Liberation Sans"/>
          <w:color w:val="000000"/>
          <w:sz w:val="28"/>
          <w:szCs w:val="28"/>
        </w:rPr>
      </w:r>
      <w:r/>
    </w:p>
    <w:p>
      <w:pPr>
        <w:pStyle w:val="1181"/>
        <w:ind w:left="20" w:right="20" w:firstLine="720"/>
        <w:spacing w:line="240" w:lineRule="auto"/>
        <w:shd w:val="clear" w:color="ffffff" w:themeColor="background1" w:fill="ffffff" w:themeFill="background1"/>
        <w:rPr>
          <w:rFonts w:ascii="Liberation Sans" w:hAnsi="Liberation Sans" w:cs="Liberation Sans"/>
          <w:color w:val="000000"/>
          <w:sz w:val="28"/>
          <w:szCs w:val="28"/>
        </w:rPr>
      </w:pPr>
      <w:r>
        <w:rPr>
          <w:rFonts w:ascii="Liberation Sans" w:hAnsi="Liberation Sans" w:cs="Liberation Sans"/>
          <w:color w:val="000000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Кирьянов Алексей, Санников Павел, Хабибуллин Тамерлан, 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Фатыхов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 Ильдар, 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Юртаев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 Максим, обучающиеся МБОУ ДО ГДТ «Академия талантов», - призеры Большого всероссийского фестиваля детского и юношеского творчества - 2023;</w:t>
      </w:r>
      <w:r>
        <w:rPr>
          <w:rFonts w:ascii="Liberation Sans" w:hAnsi="Liberation Sans" w:cs="Liberation Sans"/>
          <w:color w:val="000000"/>
          <w:sz w:val="28"/>
          <w:szCs w:val="28"/>
        </w:rPr>
      </w:r>
      <w:r/>
    </w:p>
    <w:p>
      <w:pPr>
        <w:pStyle w:val="1181"/>
        <w:ind w:left="20" w:right="20" w:firstLine="720"/>
        <w:spacing w:line="240" w:lineRule="auto"/>
        <w:shd w:val="clear" w:color="ffffff" w:themeColor="background1" w:fill="ffffff" w:themeFill="background1"/>
        <w:rPr>
          <w:rFonts w:ascii="Liberation Sans" w:hAnsi="Liberation Sans" w:cs="Liberation Sans"/>
          <w:color w:val="000000"/>
          <w:sz w:val="28"/>
          <w:szCs w:val="28"/>
        </w:rPr>
      </w:pPr>
      <w:r>
        <w:rPr>
          <w:rFonts w:ascii="Liberation Sans" w:hAnsi="Liberation Sans" w:cs="Liberation Sans"/>
          <w:color w:val="000000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- 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Колесникова Ева, обучающаяся МБОУ ДО ГДТ «Академия талантов», - победитель Всероссийского детского фестиваля народной культуры «Наследники традиций - 2023»; </w:t>
      </w:r>
      <w:r>
        <w:rPr>
          <w:rFonts w:ascii="Liberation Sans" w:hAnsi="Liberation Sans" w:cs="Liberation Sans"/>
          <w:color w:val="000000"/>
          <w:sz w:val="28"/>
          <w:szCs w:val="28"/>
        </w:rPr>
      </w:r>
      <w:r/>
    </w:p>
    <w:p>
      <w:pPr>
        <w:pStyle w:val="1181"/>
        <w:ind w:left="20" w:right="20" w:firstLine="720"/>
        <w:spacing w:line="240" w:lineRule="auto"/>
        <w:shd w:val="clear" w:color="ffffff" w:themeColor="background1" w:fill="ffffff" w:themeFill="background1"/>
        <w:rPr>
          <w:rFonts w:ascii="Liberation Sans" w:hAnsi="Liberation Sans" w:cs="Liberation Sans"/>
          <w:color w:val="000000"/>
          <w:sz w:val="28"/>
          <w:szCs w:val="28"/>
        </w:rPr>
      </w:pPr>
      <w:r>
        <w:rPr>
          <w:rFonts w:ascii="Liberation Sans" w:hAnsi="Liberation Sans" w:cs="Liberation Sans"/>
          <w:color w:val="000000"/>
          <w:sz w:val="28"/>
          <w:szCs w:val="28"/>
        </w:rPr>
        <w:t xml:space="preserve">- 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Лебедь Даниил, обучающийся 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МБОУ ДО ГДТ «Академия талантов», -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 обладатель Гран-при Всероссийского фестиваля «Вершина творчества»;</w:t>
      </w:r>
      <w:r>
        <w:rPr>
          <w:rFonts w:ascii="Liberation Sans" w:hAnsi="Liberation Sans" w:cs="Liberation Sans"/>
          <w:color w:val="000000"/>
          <w:sz w:val="28"/>
          <w:szCs w:val="28"/>
        </w:rPr>
      </w:r>
      <w:r/>
    </w:p>
    <w:p>
      <w:pPr>
        <w:pStyle w:val="1181"/>
        <w:ind w:left="20" w:right="20" w:firstLine="720"/>
        <w:spacing w:line="240" w:lineRule="auto"/>
        <w:shd w:val="clear" w:color="ffffff" w:themeColor="background1" w:fill="ffffff" w:themeFill="background1"/>
        <w:rPr>
          <w:rFonts w:ascii="Liberation Sans" w:hAnsi="Liberation Sans" w:cs="Liberation Sans"/>
          <w:color w:val="000000"/>
          <w:sz w:val="28"/>
          <w:szCs w:val="28"/>
        </w:rPr>
      </w:pP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- 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Багатыров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Рахмутдин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Багатыров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Радмир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Джамалова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Нурбике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Зайрханов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 Рамазан, Толстикова Анна, Ибрагимов 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Абубакр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, обучающиеся 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МБОУ ДО ГДТ «Академия талантов», 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- лауреаты 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br/>
        <w:t xml:space="preserve">1 степени Всероссийского фестиваля «Вершина творчества»;</w:t>
      </w:r>
      <w:r>
        <w:rPr>
          <w:rFonts w:ascii="Liberation Sans" w:hAnsi="Liberation Sans" w:cs="Liberation Sans"/>
          <w:color w:val="000000"/>
          <w:sz w:val="28"/>
          <w:szCs w:val="28"/>
        </w:rPr>
      </w:r>
      <w:r/>
    </w:p>
    <w:p>
      <w:pPr>
        <w:pStyle w:val="1181"/>
        <w:ind w:left="20" w:right="20" w:firstLine="720"/>
        <w:spacing w:line="240" w:lineRule="auto"/>
        <w:shd w:val="clear" w:color="ffffff" w:themeColor="background1" w:fill="ffffff" w:themeFill="background1"/>
        <w:rPr>
          <w:rFonts w:ascii="Liberation Sans" w:hAnsi="Liberation Sans" w:cs="Liberation Sans"/>
          <w:color w:val="000000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- 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Багатыров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Рахмутдин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, Шевченко Валерия, обучающиеся 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МБОУ ДО ГДТ «Академия талантов», -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 лауреаты 2 степени Всероссийского фестиваля «Вершина творчества»;</w:t>
      </w:r>
      <w:r>
        <w:rPr>
          <w:rFonts w:ascii="Liberation Sans" w:hAnsi="Liberation Sans" w:cs="Liberation Sans"/>
          <w:color w:val="000000"/>
          <w:sz w:val="28"/>
          <w:szCs w:val="28"/>
        </w:rPr>
      </w:r>
      <w:r/>
    </w:p>
    <w:p>
      <w:pPr>
        <w:pStyle w:val="1181"/>
        <w:ind w:left="20" w:right="20" w:firstLine="720"/>
        <w:spacing w:line="240" w:lineRule="auto"/>
        <w:shd w:val="clear" w:color="ffffff" w:themeColor="background1" w:fill="ffffff" w:themeFill="background1"/>
        <w:rPr>
          <w:rFonts w:ascii="Liberation Sans" w:hAnsi="Liberation Sans" w:cs="Liberation Sans"/>
          <w:color w:val="000000"/>
          <w:sz w:val="28"/>
          <w:szCs w:val="28"/>
        </w:rPr>
      </w:pPr>
      <w:r>
        <w:rPr>
          <w:rFonts w:ascii="Liberation Sans" w:hAnsi="Liberation Sans" w:cs="Liberation Sans"/>
          <w:color w:val="000000"/>
          <w:sz w:val="28"/>
          <w:szCs w:val="28"/>
        </w:rPr>
        <w:t xml:space="preserve">- 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Шевченко Валерия, обучающаяся 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МБОУ ДО ГДТ «Академия талантов»</w:t>
      </w: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  <w:t xml:space="preserve">, - лауреат 2 степени в личном зачёте Всероссийского фестиваля «Вершина творчества»;</w:t>
      </w:r>
      <w:r>
        <w:rPr>
          <w:rFonts w:ascii="Liberation Sans" w:hAnsi="Liberation Sans" w:cs="Liberation Sans"/>
          <w:color w:val="000000"/>
          <w:sz w:val="28"/>
          <w:szCs w:val="28"/>
        </w:rPr>
      </w:r>
      <w:r/>
    </w:p>
    <w:p>
      <w:pPr>
        <w:pStyle w:val="1181"/>
        <w:ind w:left="20" w:right="20" w:firstLine="720"/>
        <w:spacing w:line="240" w:lineRule="auto"/>
        <w:shd w:val="clear" w:color="ffffff" w:themeColor="background1" w:fill="ffffff" w:themeFill="background1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/>
          <w:sz w:val="28"/>
          <w:szCs w:val="28"/>
          <w:shd w:val="clear" w:color="auto" w:fill="ffffff"/>
        </w:rPr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- 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Кустов И.В., педагог МБОУ ДО ГДТ «Академия талантов», -  победитель регионального этапа Всероссийского конкурса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профессионального мастерства работников сферы дополнительного образования «Сердце отдаю детям - 2023» в номинации «Педагог дополнительного образования по технической направленности»;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1181"/>
        <w:ind w:left="20" w:right="20" w:firstLine="720"/>
        <w:spacing w:line="240" w:lineRule="auto"/>
        <w:shd w:val="clear" w:color="ffffff" w:themeColor="background1" w:fill="ffffff" w:themeFill="background1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-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Бахтинова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Л.Р., педагог дополнительного образования МАУ ДО МУК «Эврика», - победитель регионального конкурса инновационных проектов на получение грантов в системе образования ЯНАО «Педагогический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старта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»;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1181"/>
        <w:ind w:left="20" w:right="20" w:firstLine="720"/>
        <w:spacing w:line="240" w:lineRule="auto"/>
        <w:shd w:val="clear" w:color="ffffff" w:themeColor="background1" w:fill="ffffff" w:themeFill="background1"/>
        <w:rPr>
          <w:rFonts w:ascii="Liberation Sans" w:hAnsi="Liberation Sans" w:cs="Liberation Sans"/>
          <w:color w:val="000000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хореографические коллективы МБОУ ДО ГДТ «Академия талантов» - лауреаты 1 и 2 степени Международного фестиваля-конкурса детского и юношеского творчества «Сердце Сибири»;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</w:r>
      <w:r/>
    </w:p>
    <w:p>
      <w:pPr>
        <w:pStyle w:val="1181"/>
        <w:ind w:left="20" w:right="20" w:firstLine="720"/>
        <w:spacing w:line="240" w:lineRule="auto"/>
        <w:shd w:val="clear" w:color="ffffff" w:themeColor="background1" w:fill="ffffff" w:themeFill="background1"/>
        <w:rPr>
          <w:rFonts w:ascii="Liberation Sans" w:hAnsi="Liberation Sans" w:cs="Liberation Sans"/>
          <w:color w:val="000000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коллектив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  <w:shd w:val="clear" w:color="auto" w:fill="ffffff"/>
        </w:rPr>
        <w:t xml:space="preserve">художественного творчества детей с ОВЗ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«Сюрприз» МБОУ ДО ГДТ «Академия талантов» - лауреат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кружного инклюзивного творческого фестиваля «Мир внутри нас»;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</w:r>
      <w:r/>
    </w:p>
    <w:p>
      <w:pPr>
        <w:pStyle w:val="1181"/>
        <w:ind w:left="20" w:right="20" w:firstLine="720"/>
        <w:spacing w:line="240" w:lineRule="auto"/>
        <w:shd w:val="clear" w:color="ffffff" w:themeColor="background1" w:fill="ffffff" w:themeFill="background1"/>
        <w:rPr>
          <w:rFonts w:ascii="Liberation Sans" w:hAnsi="Liberation Sans" w:cs="Liberation Sans"/>
          <w:color w:val="000000"/>
          <w:sz w:val="28"/>
          <w:szCs w:val="28"/>
        </w:rPr>
      </w:pP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МБОУ ДО ГДТ «Академия талантов» - победитель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br/>
        <w:t xml:space="preserve">XII Всероссийской акции «Добровольцы - детям» в но</w:t>
      </w:r>
      <w:r>
        <w:rPr>
          <w:rFonts w:ascii="Liberation Sans" w:hAnsi="Liberation Sans" w:cs="Liberation Sans"/>
          <w:color w:val="000000"/>
          <w:sz w:val="28"/>
          <w:szCs w:val="28"/>
        </w:rPr>
        <w:t xml:space="preserve">минации «Помощь другу».</w:t>
      </w:r>
      <w:r>
        <w:rPr>
          <w:rFonts w:ascii="Liberation Sans" w:hAnsi="Liberation Sans" w:cs="Liberation Sans"/>
          <w:color w:val="000000"/>
          <w:sz w:val="28"/>
          <w:szCs w:val="28"/>
        </w:rPr>
      </w:r>
      <w:r/>
    </w:p>
    <w:p>
      <w:pPr>
        <w:ind w:firstLine="708"/>
        <w:jc w:val="both"/>
        <w:spacing w:after="0" w:line="240" w:lineRule="auto"/>
        <w:rPr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сфере физической культуры и спорта.</w:t>
      </w:r>
      <w:r>
        <w:rPr>
          <w:color w:val="000000" w:themeColor="text1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Численность обуча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ющихся в спортивных школах составила </w:t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5 516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человек, из них по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дополнительным образовательным программа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спортивной подготовки (начальная подготовка, тренировочный этап и совершенствование спортивного мастерства) 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3 957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чел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овек. Доля занимающихся по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дополн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ительным образовательным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программам спортивной подготовки составила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71,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7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%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(2022 год - 75,2%).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В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организациях дополнительного образования в сфере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физической культуры и спорта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численность занимающихся </w:t>
        <w:br/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с ограниченными возможностями здоровья и инвалидов составила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br/>
        <w:t xml:space="preserve">74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человека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из которых 39 человек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–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на программах спортивной подготовки и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35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человек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–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в спортивно-оздоровительных группах.  </w:t>
      </w:r>
      <w:r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С 2023 года в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МАУ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ДО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«СШ имени К. Еременко»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осуществляются занятия с 19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детьми-инвалидами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(поражение органов слуха, ДЦП, инвалиды-колясочники) в дисциплине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«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шашки и шахматы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. Достигнуты следующие результаты: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Припа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Святослав и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Кумратова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Амина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– серебряные призёры </w:t>
        <w:br/>
        <w:t xml:space="preserve">в шахматах и шашках первенства России по спорту лиц с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поражением опорно-двигательного аппарата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;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 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Тоярова Ангелина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 бронзовый призёр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п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ервенства России </w:t>
        <w:br/>
        <w:t xml:space="preserve">по спорту лиц с поражением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опорно-двигательного аппарата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;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 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сборная команда города - победители и призёры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соревнований по шахматам, шашкам, плаванию, настольному теннису, легкой атлетике в рамках Параспартакиады Ямало-Ненецкого автономного округа среди детей от 8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до 18 лет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.</w:t>
      </w:r>
      <w:r>
        <w:rPr>
          <w:rFonts w:ascii="Liberation Sans" w:hAnsi="Liberation Sans" w:eastAsia="Times New Roman" w:cs="Liberation Sans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В отчетном году завершена реконструкция и открыт </w:t>
        <w:br/>
        <w:t xml:space="preserve">для посещения бассейн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МАУДО СШ «Юность»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в мкр. Юбилейный </w:t>
        <w:br/>
        <w:t xml:space="preserve">с ЕПС 62 чел., общей п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ощадью 2 556,6 кв. м. В здании имеется </w:t>
        <w:br/>
        <w:t xml:space="preserve">2 чаши бассейна 25×8 м на 4 дорожки и чаш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а 10×6 м, тренажерный зал, восстановительный центр (сауна) на 12 чел., балкон для зрителей.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В декабре 2023 года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для обеспечения стоянки и хранения специализированной (ратрак) и спортивной техники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МАУ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ДО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СШ «Норд»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приобретен объект недвижимого имущества «Здание теплый бокс № 1» в мкр. Энергетик площадью 497,2 кв. м.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В рамках регионального проекта «Спорт - норма жизни» (национальный проект «Демография»)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обеспечено:</w:t>
      </w:r>
      <w:r>
        <w:rPr>
          <w:rFonts w:ascii="Liberation Sans" w:hAnsi="Liberation Sans" w:eastAsia="Times New Roman" w:cs="Liberation Sans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 участие 590 спортсменов в 70 официа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льных спортивных мероприятиях (в т.ч. 12 учебно-тренировочных мероприятий), из них </w:t>
        <w:br/>
        <w:t xml:space="preserve">32 всероссийских, 13 межрегиональных, 13 региональных;</w:t>
      </w:r>
      <w:r>
        <w:rPr>
          <w:rFonts w:ascii="Liberation Sans" w:hAnsi="Liberation Sans" w:eastAsia="Times New Roman" w:cs="Liberation Sans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 о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снащение материально-технической базы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организаций дополнительного образования в сфере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физической к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ультуры и спорта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:</w:t>
      </w:r>
      <w:r>
        <w:rPr>
          <w:rFonts w:ascii="Liberation Sans" w:hAnsi="Liberation Sans" w:eastAsia="Times New Roman" w:cs="Liberation Sans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 МБУ ДО СШ «Сибирские медведи» оснащено спортивным оборудованием и инвентарем в количестве 35 ед. (стенки и с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камейки гимнастические, скамьи для пресса, турники навесные </w:t>
        <w:br/>
        <w:t xml:space="preserve">на гимнастическую стенку, манекены тренировочные, спортивная экипировка в количестве 191 ед.)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;</w:t>
      </w:r>
      <w:r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 МАУ ДО «СШ им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ени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К. Еременко»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оснащено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спортивным оборудованием и инвентарем в количестве 255 ед. (мячи для мини-футбола, тренажеры «лесенка», мешки боксерские электронные, лапы боксерск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ие, кии стандартные, мел, наклейки для кия, доски шахматные с фигурами шахматными, часы шахматные, спортивная экипировка </w:t>
        <w:br/>
        <w:t xml:space="preserve">в количестве 374 ед.)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;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 МАУ ДО СШ «Арктика»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оснащено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спортивным оборудованием </w:t>
        <w:br/>
        <w:t xml:space="preserve">в количестве 2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ед. (двойной минитрамп, зона приземления </w:t>
        <w:br/>
        <w:t xml:space="preserve">для двойного минитрампа)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;</w:t>
      </w:r>
      <w:r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 МАУ ДО СШ «Норд»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оснащено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спортивным оборудованием </w:t>
        <w:br/>
        <w:t xml:space="preserve">в количестве 12 ед. (автомобили спортивные, автомобиль </w:t>
        <w:br/>
        <w:t xml:space="preserve">для перевозки спортивного автомоб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иля и спо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ртивного инвентаря, мотоцикл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объемом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85 куб. см, мотоцикл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объемом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125 куб. см, двигатели для спортивн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ых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автомобил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ей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(карта) международного класса, двигатель для спортивного автомобиля (карта) национального класса, мобильные мойки для мотоциклов с электрическим двигателем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);</w:t>
      </w:r>
      <w:r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 МАУ ДО СШ «Контакт»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оснащено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спортивным оборудованием </w:t>
        <w:br/>
        <w:t xml:space="preserve">и инвентарем в количестве 15 ед. (станки для заточки коньков,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лезвия (коньки) для фигурного катания, спортивная экипировка в количестве 14 ед.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);</w:t>
      </w:r>
      <w:r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 МАУДО СШ «Юность»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оснащено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спортивным оборудованием </w:t>
        <w:br/>
        <w:t xml:space="preserve">и инвентарем в количестве 397 ед. (мячи баскетбольные, мячи волей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больные, стой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ки для обводки, резиновые накладки для ракетки (основания), ракетки для настольного тенниса, спортивная экипировка в количестве 417 ед).</w:t>
      </w:r>
      <w:r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Победителями и призерами соревнований различных уровней стали:</w:t>
      </w:r>
      <w:r>
        <w:rPr>
          <w:rFonts w:ascii="Liberation Sans" w:hAnsi="Liberation Sans" w:eastAsia="Times New Roman" w:cs="Liberation Sans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 Захарова Евгения, спортсменка МАУ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ДО СШ «Арктика»,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-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победитель международных соревнований по прыжкам на батуте </w:t>
        <w:br/>
        <w:t xml:space="preserve">в дисциплине «двойной минитрамп»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бронзовый призёр первенства России по п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рыжкам на батуте, победитель всероссийских соревнований «Надежды России» в дисциплине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«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двойной минитрамп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серебряный призер первенства России в дисциплине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«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двойной минитрамп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среди девушек 13-14 лет, победитель всероссийских соревнований по прыжкам на батуте;</w:t>
      </w:r>
      <w:r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 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Салиндер Дарья,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спортсменка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МАУ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ДО СШ «Контакт»,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-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серебряный призер международного турнира по боксу «Победитель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Белграда», бронзовый призёр чемпионата России по боксу среди женщин;</w:t>
      </w:r>
      <w:r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 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Канглиев Ислам, спортсмен МБУ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ДО СШ «Сибирские </w:t>
        <w:br/>
        <w:t xml:space="preserve">медведи»,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бронзовый призёр Международного турнира по самбо «VLADIMIR. Битва первых» XXVIII Мемориа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ла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чемпиона Европы Владимира Куликова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;</w:t>
      </w:r>
      <w:r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Романов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Николай,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спортсмен МАУ ДО СШ «Контакт»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Богданов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Булат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Броцман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Дмитрий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Байбородов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Макар,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Рычков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Никита,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Колесников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Владислав, спортсмены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АНО «Детский спортивный клуб «Самурай»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-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победители и призёры Международного турнира </w:t>
        <w:br/>
        <w:t xml:space="preserve">по киокусинкай «Lida open Cup»;</w:t>
      </w:r>
      <w:r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 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Кузьмичева Арина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спортсменка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МАУ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ДО СШ «Контакт»,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 победитель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первенства России по боксу среди девушек, победитель всероссийских соревнований по боксу, бронзовый призер первенства России по боксу;</w:t>
      </w:r>
      <w:r>
        <w:rPr>
          <w:rFonts w:ascii="Liberation Sans" w:hAnsi="Liberation Sans" w:eastAsia="Times New Roman" w:cs="Liberation Sans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 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Деревянко Станислав,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спортсмен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МБУ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ДО СШ «Сибирские медведи»,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серебряный призёр первенства России по тяжелой атлетике;</w:t>
      </w:r>
      <w:r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 Савченко Александ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р,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спортсмен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МАУ Д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О СШ «Норд»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-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серебряный призёр Кубка России по трековым гонкам, выполнил норматив на спортивное звание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астер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спорта России;</w:t>
      </w:r>
      <w:r>
        <w:rPr>
          <w:rFonts w:ascii="Liberation Sans" w:hAnsi="Liberation Sans" w:eastAsia="Times New Roman" w:cs="Liberation Sans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 Никонова Виктория,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спортсменка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МАУ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ДО СШ «Юность»,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-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бронзовый призер Всероссийских соревнований по плаванию;</w:t>
      </w:r>
      <w:r>
        <w:rPr>
          <w:rFonts w:ascii="Liberation Sans" w:hAnsi="Liberation Sans" w:eastAsia="Times New Roman" w:cs="Liberation Sans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Ибрагимов Яраш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Пирахмаев Магомед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Магомедханов Адам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спортсмены МБУ ДО СШ «Сибирские медведи»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-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призёры Всероссийских соревнований по спортивной (вольной) борьбе «Кубок Балтики».</w:t>
      </w:r>
      <w:r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Чубакова Г.З., тренер-преподаватель по прыжкам на батутах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br/>
        <w:t xml:space="preserve">МАУ ДО СШ «Арктика»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- обладатель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почетного звания «Заслуженный работник физической культуры Российской Федерации».</w:t>
      </w:r>
      <w:r>
        <w:rPr>
          <w:rFonts w:ascii="Liberation Sans" w:hAnsi="Liberation Sans" w:eastAsia="Times New Roman" w:cs="Liberation Sans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11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 - 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29 августа 2023 года организованы летние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учебно-тренировочные сборы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по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видам спорта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-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дзюдо, прыжки на батуте, плавание, баскетбол (юноши, девушки), волейбол, спортивная борьба, тхэквондо, самбо, тяжелая атлетика, бокс, мини-футбол, фигурное катание на коньках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-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в спортивно-оздоровит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ельном центре ООО «СК «Курганово»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в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Свердловск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ой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област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и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.</w:t>
      </w:r>
      <w:r>
        <w:rPr>
          <w:highlight w:val="none"/>
        </w:rPr>
        <w:t xml:space="preserve">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Численность участников учебно-тренировочных сборов составила 232 человека, из них детей-спортсменов 212.</w:t>
      </w:r>
      <w:r>
        <w:rPr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В сфере культуры.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yellow"/>
          <w14:ligatures w14:val="none"/>
        </w:rPr>
      </w:pP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  <w:lang w:eastAsia="ru-RU"/>
        </w:rPr>
        <w:t xml:space="preserve">В 2023 году в школах искусств обучались 1 569 человек </w:t>
        <w:br/>
        <w:t xml:space="preserve">(2022 год - 1 490, 2021 год - 1 454).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yellow"/>
          <w14:ligatures w14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Общая укомплектованность педаг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огическими кадрами составила 92% (2022 год - 94%, 2021 год - 93%)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.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В 2023 году начаты работы по капитальному ремонту внутренних помещений и концертного зала МБУ ДО «ДШИ им. С.В. Рахманинова». Данное учреждение осуществляет образовательный процесс </w:t>
        <w:br/>
        <w:t xml:space="preserve">в помещениях здания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детского сада «Родничок».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В 2023 году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приобретено 208 музыкальных инструментов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(пианино, скрипки, виолончели, контрабасы, саксофоны, кларнеты, валторны, флейты, тубы, тромбоны, шумовые инструменты и др.)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br/>
        <w:t xml:space="preserve">для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детских школ искусств города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в том числе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в рамках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регионального проекта «Культурная среда»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(национальный проект «Культура»)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br/>
        <w:t xml:space="preserve">для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МБУ ДО «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ДШИ и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м. С.В. Рахманинова»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-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15 музыкальных инструментов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.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Пополнение новыми музыкальными инструментами детских школ искусств позволило организовать деятельность по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прокату музыкальных инструментов. 76 музыкальных инструментов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переданы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любителям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музицирования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в аренду.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color w:val="auto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В рамках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регионального проекта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«Цифровая культура» (национальный проект «Культура)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в 2023 году организовано </w:t>
        <w:br/>
        <w:t xml:space="preserve">13 т</w:t>
      </w:r>
      <w:r>
        <w:rPr>
          <w:rFonts w:ascii="Liberation Sans" w:hAnsi="Liberation Sans" w:eastAsia="Times New Roman" w:cs="Liberation Sans"/>
          <w:color w:val="auto"/>
          <w:sz w:val="28"/>
          <w:szCs w:val="28"/>
          <w:highlight w:val="none"/>
          <w:lang w:eastAsia="ru-RU"/>
        </w:rPr>
        <w:t xml:space="preserve">рансляций, которые посетили 825 человек (2022 год – </w:t>
        <w:br/>
        <w:t xml:space="preserve">12/</w:t>
      </w:r>
      <w:r>
        <w:rPr>
          <w:rFonts w:ascii="Liberation Sans" w:hAnsi="Liberation Sans" w:eastAsia="Times New Roman" w:cs="Liberation Sans"/>
          <w:color w:val="auto"/>
          <w:sz w:val="28"/>
          <w:szCs w:val="28"/>
          <w:highlight w:val="none"/>
          <w:lang w:eastAsia="ru-RU"/>
        </w:rPr>
        <w:t xml:space="preserve">1 500 человек</w:t>
      </w:r>
      <w:r>
        <w:rPr>
          <w:rFonts w:ascii="Liberation Sans" w:hAnsi="Liberation Sans" w:eastAsia="Times New Roman" w:cs="Liberation Sans"/>
          <w:color w:val="auto"/>
          <w:sz w:val="28"/>
          <w:szCs w:val="28"/>
          <w:highlight w:val="none"/>
          <w:lang w:eastAsia="ru-RU"/>
        </w:rPr>
        <w:t xml:space="preserve">).</w:t>
      </w:r>
      <w:r>
        <w:rPr>
          <w:rFonts w:ascii="Liberation Sans" w:hAnsi="Liberation Sans" w:eastAsia="Times New Roman" w:cs="Liberation Sans"/>
          <w:color w:val="auto"/>
          <w:sz w:val="28"/>
          <w:szCs w:val="28"/>
          <w:highlight w:val="none"/>
          <w:lang w:eastAsia="ru-RU"/>
        </w:rPr>
        <w:t xml:space="preserve"> </w:t>
      </w:r>
      <w:r>
        <w:rPr>
          <w:color w:val="auto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Продолжен опыт внедрения в детских школах искусств новых образовательны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х программ. В рамках реализации регионального проекта «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Искусство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-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детям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Ямала»: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 для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МБУ ДО «ДШИ им. С.В. Рахманинова», МБУ ДО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ДШИ № 2 приобретено компьютерное оборудование, программное обеспечение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br/>
        <w:t xml:space="preserve">для реализации нового направления деятельности школ искусств </w:t>
        <w:br/>
        <w:t xml:space="preserve">по учебному предмету «Компьютерная графика»;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 в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МБУ ДО «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ДШИ им. С.В. Рахманинова» с сентября 2023 года запущена новая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общеразвивающая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программа по театральному искусству. 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color w:val="auto"/>
          <w:sz w:val="28"/>
          <w:szCs w:val="28"/>
          <w:highlight w:val="none"/>
        </w:rPr>
      </w:pPr>
      <w:r>
        <w:rPr>
          <w:rFonts w:ascii="Liberation Sans" w:hAnsi="Liberation Sans" w:eastAsia="Times New Roman" w:cs="Liberation Sans"/>
          <w:color w:val="auto"/>
          <w:sz w:val="28"/>
          <w:szCs w:val="28"/>
          <w:highlight w:val="none"/>
          <w:lang w:eastAsia="ru-RU"/>
        </w:rPr>
        <w:t xml:space="preserve">В ДШИ № 3 </w:t>
      </w:r>
      <w:r>
        <w:rPr>
          <w:rFonts w:ascii="Liberation Sans" w:hAnsi="Liberation Sans" w:eastAsia="Times New Roman" w:cs="Liberation Sans"/>
          <w:color w:val="auto"/>
          <w:sz w:val="28"/>
          <w:szCs w:val="28"/>
          <w:highlight w:val="none"/>
          <w:lang w:eastAsia="ru-RU"/>
        </w:rPr>
        <w:t xml:space="preserve">открыто новое отделение </w:t>
      </w:r>
      <w:r>
        <w:rPr>
          <w:rFonts w:ascii="Liberation Sans" w:hAnsi="Liberation Sans" w:eastAsia="Times New Roman" w:cs="Liberation Sans"/>
          <w:color w:val="auto"/>
          <w:sz w:val="28"/>
          <w:szCs w:val="28"/>
          <w:highlight w:val="none"/>
          <w:lang w:eastAsia="ru-RU"/>
        </w:rPr>
        <w:t xml:space="preserve">д</w:t>
      </w:r>
      <w:r>
        <w:rPr>
          <w:rFonts w:ascii="Liberation Sans" w:hAnsi="Liberation Sans" w:eastAsia="Times New Roman" w:cs="Liberation Sans"/>
          <w:color w:val="auto"/>
          <w:sz w:val="28"/>
          <w:szCs w:val="28"/>
          <w:highlight w:val="none"/>
          <w:lang w:eastAsia="ru-RU"/>
        </w:rPr>
        <w:t xml:space="preserve">уховых и ударных инструменто</w:t>
      </w:r>
      <w:r>
        <w:rPr>
          <w:rFonts w:ascii="Liberation Sans" w:hAnsi="Liberation Sans" w:eastAsia="Times New Roman" w:cs="Liberation Sans"/>
          <w:color w:val="auto"/>
          <w:sz w:val="28"/>
          <w:szCs w:val="28"/>
          <w:highlight w:val="none"/>
          <w:lang w:eastAsia="ru-RU"/>
        </w:rPr>
        <w:t xml:space="preserve">в</w:t>
      </w:r>
      <w:r>
        <w:rPr>
          <w:rFonts w:ascii="Liberation Sans" w:hAnsi="Liberation Sans" w:eastAsia="Times New Roman" w:cs="Liberation Sans"/>
          <w:color w:val="auto"/>
          <w:sz w:val="28"/>
          <w:szCs w:val="28"/>
          <w:highlight w:val="none"/>
          <w:lang w:eastAsia="ru-RU"/>
        </w:rPr>
        <w:t xml:space="preserve">,</w:t>
      </w:r>
      <w:r>
        <w:rPr>
          <w:rFonts w:ascii="Liberation Sans" w:hAnsi="Liberation Sans" w:eastAsia="Times New Roman" w:cs="Liberation Sans"/>
          <w:color w:val="auto"/>
          <w:sz w:val="28"/>
          <w:szCs w:val="28"/>
          <w:highlight w:val="none"/>
          <w:lang w:eastAsia="ru-RU"/>
        </w:rPr>
        <w:t xml:space="preserve"> направление «</w:t>
      </w:r>
      <w:r>
        <w:rPr>
          <w:rFonts w:ascii="Liberation Sans" w:hAnsi="Liberation Sans" w:eastAsia="Times New Roman" w:cs="Liberation Sans"/>
          <w:color w:val="auto"/>
          <w:sz w:val="28"/>
          <w:szCs w:val="28"/>
          <w:highlight w:val="none"/>
          <w:lang w:eastAsia="ru-RU"/>
        </w:rPr>
        <w:t xml:space="preserve">с</w:t>
      </w:r>
      <w:r>
        <w:rPr>
          <w:rFonts w:ascii="Liberation Sans" w:hAnsi="Liberation Sans" w:eastAsia="Times New Roman" w:cs="Liberation Sans"/>
          <w:color w:val="auto"/>
          <w:sz w:val="28"/>
          <w:szCs w:val="28"/>
          <w:highlight w:val="none"/>
          <w:lang w:eastAsia="ru-RU"/>
        </w:rPr>
        <w:t xml:space="preserve">аксофон».</w:t>
      </w:r>
      <w:r>
        <w:rPr>
          <w:rFonts w:ascii="Liberation Sans" w:hAnsi="Liberation Sans" w:eastAsia="Times New Roman" w:cs="Liberation Sans"/>
          <w:color w:val="auto"/>
          <w:sz w:val="28"/>
          <w:szCs w:val="28"/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В 2023 году участниками фестивалей и конкурсов различных уровней стали 2 027 человек, из них 1 931 - лауреатами и дипломантами.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Доля победителей от общего количества участников составил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а 9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5,3% (2022 год - 86,4%, 2021 год - 88,8%).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spacing w:after="0" w:afterAutospacing="0" w:line="240" w:lineRule="auto"/>
        <w:shd w:val="clear" w:color="auto" w:fill="ffffff"/>
        <w:rPr>
          <w:sz w:val="28"/>
          <w:szCs w:val="28"/>
        </w:rPr>
      </w:pPr>
      <w:r>
        <w:rPr>
          <w:rFonts w:ascii="Liberation Sans" w:hAnsi="Liberation Sans"/>
        </w:rPr>
      </w:r>
      <w:r>
        <w:rPr>
          <w:sz w:val="28"/>
          <w:szCs w:val="28"/>
        </w:rPr>
      </w:r>
      <w:r/>
    </w:p>
    <w:p>
      <w:pPr>
        <w:jc w:val="center"/>
      </w:pPr>
      <w:r>
        <w:rPr>
          <w:rFonts w:ascii="Liberation Sans" w:hAnsi="Liberation Sans"/>
          <w:bCs/>
          <w:szCs w:val="28"/>
          <w:lang w:eastAsia="ru-RU"/>
        </w:rPr>
        <w:drawing>
          <wp:inline distT="0" distB="0" distL="0" distR="0">
            <wp:extent cx="5480241" cy="2349789"/>
            <wp:effectExtent l="14287" t="14287" r="14287" b="14287"/>
            <wp:docPr id="4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  <w:r>
        <w:rPr>
          <w:rFonts w:ascii="Liberation Sans" w:hAnsi="Liberation Sans"/>
        </w:rPr>
      </w:r>
      <w:r/>
    </w:p>
    <w:p>
      <w:pPr>
        <w:pStyle w:val="1141"/>
        <w:ind w:firstLine="709"/>
        <w:jc w:val="both"/>
        <w:spacing w:line="240" w:lineRule="auto"/>
        <w:shd w:val="clear" w:color="auto" w:fill="auto"/>
        <w:rPr>
          <w:sz w:val="24"/>
          <w:szCs w:val="24"/>
          <w:highlight w:val="yellow"/>
        </w:rPr>
      </w:pPr>
      <w:r>
        <w:rPr>
          <w:rFonts w:ascii="Liberation Sans" w:hAnsi="Liberation Sans"/>
          <w:sz w:val="24"/>
          <w:szCs w:val="24"/>
          <w:highlight w:val="yellow"/>
        </w:rPr>
      </w:r>
      <w:r>
        <w:rPr>
          <w:sz w:val="24"/>
          <w:szCs w:val="24"/>
          <w:highlight w:val="yellow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В отчетном периоде уровень деятельности дополнительного образования в сфере культуры и искусства отмечен следующими достижениями: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 Лапин Никита,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Рудь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Екатерина,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Божченко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Дарья, Исаева Нирвана, Селиванов Анатолий, Некрасова Виктория,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Михайлюкова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Полина, Мамедов Али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учащиеся детских школ искусств, - стипендиаты Губернатора Ямало-Ненецкого автономного округа </w:t>
        <w:br/>
        <w:t xml:space="preserve">«За выдающиеся творческие достижения»;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 Лапин Никита, учащийся МБУ ДО ДШИ № 2, - обладатель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п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ремии Губернатора Ямало-Ненецкого автономного округа за высокие творческие достижения молодым дарованиям Ямало-Ненецкого автономного округа в сфере культуры и искусства;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Рудь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Екатерина, учащаяся МБУ ДО ДШИ № 2, - стипендиат Благотворительного фонда «Новые имена» имени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Иветты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Вороновой;</w:t>
      </w:r>
      <w:r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 Касаева София, учащаяся МБУ ДО ДШИ № 2, - призер </w:t>
        <w:br/>
        <w:t xml:space="preserve">(3 степень) Общероссийского конкурса «Молодые дарования России» (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г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. Москва);</w:t>
      </w:r>
      <w:r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Харасанова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Маргарита, учащаяся МБУ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Д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О ДШИ №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 2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- лауреат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о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бщероссийского этапа конкурса «Образ педагога и наставника </w:t>
        <w:br/>
        <w:t xml:space="preserve">в произведениях молодых художников» (г. Москва);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 Степанова Н.А., преподаватель МБУ ДО «ДШИ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br/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им. С.В. Рахманинова», - лауреат премии Губернатора Ямало-Ненецкого автономного округа за высокие профессиональные и творческие достижения лучшим педагогическим работникам образовательных организаций культуры и искусства Ямало-Ненецкого автономного округа;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 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Холодова Т.И.,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п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реподаватель МБУ ДО «ДШИ </w:t>
        <w:br/>
        <w:t xml:space="preserve">им. С.В. Рахманинова»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Томанова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Т.В., преподаватель МБУ ДО ДШИ № 2, заслуженный работник культуры ЯНАО, заслуженный работник культуры РФ,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 обладатели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знака отличия «Почетный наставник»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;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 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Сибгатуллин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В.И.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п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реподаватель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МБУ ДО «ДШИ </w:t>
        <w:br/>
        <w:t xml:space="preserve">им. С.В. Рахманинова»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Бояркин А.В.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п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реподаватель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МБУ ДО ДШИ </w:t>
        <w:br/>
        <w:t xml:space="preserve">№ 3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- победители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заключительного этапа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р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егионального фестиваля-конкурса гармонистов «Гармония»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;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  <w:outlineLvl w:val="0"/>
      </w:pPr>
      <w:r>
        <w:rPr>
          <w:highlight w:val="none"/>
        </w:rPr>
      </w:r>
      <w:bookmarkStart w:id="56" w:name="_Toc56"/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сводный хор районов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Коротчаево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и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Лимбяяха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МБУ ДО ДШИ </w:t>
        <w:br/>
        <w:t xml:space="preserve">№ 3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-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победитель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Открытого фестивал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я-к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онкурса хоровых коллективов «Битва хоров - Арктика»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г. Новый Уренгой, лауреат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val="en-US" w:eastAsia="ru-RU"/>
        </w:rPr>
        <w:t xml:space="preserve">I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степени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Международного многожанрового конкурса-фестиваля детского, юношеского и взрослого творчества «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val="en-US" w:eastAsia="ru-RU"/>
        </w:rPr>
        <w:t xml:space="preserve">Infinity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val="en-US" w:eastAsia="ru-RU"/>
        </w:rPr>
        <w:t xml:space="preserve">Stars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г. Сургут, лауреат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val="en-US" w:eastAsia="ru-RU"/>
        </w:rPr>
        <w:br/>
        <w:t xml:space="preserve">I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степени X Всероссийского творческого фестиваля-конкурса хореографического и вокального искусства «Новая Россия»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г. Санкт-Петербург, лауреат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val="en-US" w:eastAsia="ru-RU"/>
        </w:rPr>
        <w:t xml:space="preserve">I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степени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Международного конкурса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хорового искусства «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Belcanto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г. Москва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;</w:t>
      </w:r>
      <w:bookmarkEnd w:id="56"/>
      <w:r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 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о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ркестр народных инструментов МБУ ДО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ДШИ № 3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 лауреат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val="en-US" w:eastAsia="ru-RU"/>
        </w:rPr>
        <w:br/>
        <w:t xml:space="preserve">I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степени в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val="en-US" w:eastAsia="ru-RU"/>
        </w:rPr>
        <w:t xml:space="preserve">IV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з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ональном конкурсе ансамблей «Консонанс» </w:t>
        <w:br/>
        <w:t xml:space="preserve">в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г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.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Губкинский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лауреат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val="en-US" w:eastAsia="ru-RU"/>
        </w:rPr>
        <w:t xml:space="preserve">III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ст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епен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и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val="en-US" w:eastAsia="ru-RU"/>
        </w:rPr>
        <w:t xml:space="preserve">V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Всеро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ссийско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го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конкурс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исполнителей на народных инструментах «Огни Сибири»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г. Омск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лауреат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val="en-US" w:eastAsia="ru-RU"/>
        </w:rPr>
        <w:t xml:space="preserve">II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степени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val="en-US" w:eastAsia="ru-RU"/>
        </w:rPr>
        <w:t xml:space="preserve"> III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Всероссийского конкурса «Время музыки»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</w:t>
        <w:br/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г. Череповец;</w:t>
      </w:r>
      <w:r>
        <w:rPr>
          <w:rFonts w:ascii="Liberation Sans" w:hAnsi="Liberation Sans" w:eastAsia="Times New Roman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 МБУ ДО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«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ДШИ им. С.В. Рахманинова»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- призер кинофестиваля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Всероссийского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Ф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естиваля-форума детских школ искусств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УрФО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</w:t>
        <w:br/>
        <w:t xml:space="preserve">в Екатеринбурге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лауреат 3 степени в номинации «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Видеопрезентация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проекта».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4 учащихся МБУ ДО «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ДШИ им. С.В. Рахманинова», МБУ ДО ДШИ № 2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при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няли участие в Международной творческой школе </w:t>
        <w:br/>
        <w:t xml:space="preserve">для одаренных детей «Новые имена» (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г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. Суздаль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Владимирской области).</w:t>
      </w:r>
      <w:r>
        <w:rPr>
          <w:rFonts w:ascii="Liberation Sans" w:hAnsi="Liberation Sans" w:eastAsia="Times New Roman" w:cs="Liberation Sans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3 учащихся МБУ ДО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ДШИ № 2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приняли участие в Международной летней школ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е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творчества Фонда Святослава Рихтера (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г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. Таруса Калужской области).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Лапин Никита, учащийся МБУ ДО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ДШИ № 2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Селиванов Анатолий,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учащийся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МБУ ДО «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ДШИ им. С.В. Рахманинова»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в рамках творческого проекта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«Открываем регионы России»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приняли участие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br/>
        <w:t xml:space="preserve">в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концерте лучших учеников детских школ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искусств автономного округа</w:t>
        <w:br/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в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федеральном государственном бюджетном образовательном учреждении высшего профессионального образования «Российская академия музыки имени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Гнесиных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(г. Москва)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(далее - ФГБОУ ВПО </w:t>
        <w:br/>
        <w:t xml:space="preserve">«РАМ им.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Гнесиных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»)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.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2 учащихся МБУ ДО «ДШИ им. С.В. Рахманинова», 1 учащийся МБУ ДО ДШИ № 2 приняли участие в Детском международном культурном форуме (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г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. Москва).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2 учащихся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МБУ ДО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«ДШИ им. С.В. Рахманинова» выступили </w:t>
        <w:br/>
        <w:t xml:space="preserve">в составе Уральского юношеского симфонического оркестра на сцене ГАУК СО «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Свердловская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государственная академическая филармония»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.</w:t>
      </w:r>
      <w:r>
        <w:rPr>
          <w:rFonts w:ascii="Liberation Sans" w:hAnsi="Liberation Sans" w:eastAsia="Times New Roman" w:cs="Liberation Sans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5 учащихся МБУ ДО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ДШИ № 2,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1 преподаватель МБУ ДО «ДШИ им. С.В. Рахманинова» прошли обучение в Образовательном центре «Сириус» (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г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. Сочи). </w:t>
      </w:r>
      <w:r>
        <w:rPr>
          <w:rFonts w:ascii="Liberation Sans" w:hAnsi="Liberation Sans" w:eastAsia="Times New Roman" w:cs="Liberation Sans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8 учащихся и 6 преподавателей МБУ ДО «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ДШИ </w:t>
        <w:br/>
        <w:t xml:space="preserve">им. С.В. Рахманинова», МБУ ДО ДШИ № 2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прошли обучение в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г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. Москве </w:t>
        <w:br/>
        <w:t xml:space="preserve">под руководством профессоров и преподавателей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ФГБОУ ВПО «РАМ им.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Гнесиных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.</w:t>
      </w:r>
      <w:r>
        <w:rPr>
          <w:rFonts w:ascii="Liberation Sans" w:hAnsi="Liberation Sans" w:eastAsia="Times New Roman" w:cs="Liberation Sans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Впервые в детские школы искусств города осуществлен визит </w:t>
        <w:br/>
        <w:t xml:space="preserve">5 студентов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ФГБОУ ВПО «РАМ им.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Гнесиных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.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В МБУ ДО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ДШИ № 2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проведен совместный концерт преподавателей и студентки ФГБОУ ВПО «РАМ им.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Гнесиных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» Александры Костомаровой.</w:t>
      </w:r>
      <w:r>
        <w:rPr>
          <w:rFonts w:ascii="Liberation Sans" w:hAnsi="Liberation Sans" w:eastAsia="Times New Roman" w:cs="Liberation Sans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В рамках юбилея известного русского композитора </w:t>
        <w:br/>
        <w:t xml:space="preserve">Рахманинова С.В. на базе МБУ ДО «ДШИ им. С.В. Рахманинова» проведен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XIII Окружной конкурс детского и юношеского творчества «Новые имена Ямала». Участие приняли 264 музыканта. Организован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презентация выставки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ФГБУК «Государственный центральный музей музыкальной культуры имени М.И. Глинки»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«Рахманинов: я – русский композитор», концерт камерного оркестра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Тюменской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филармонии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«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Камерата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Сибири»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.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Впервые на одной сцене в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МБОУ «Арктический лицей»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выступили хор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МБУ ДО «ДШИ им. С.В. Рахманинова»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и Театр хоровой музыки ГАУК «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Саратовская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областная филармония имени А.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Шнитке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». Концерт стал торжественным завершением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Г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ода Рахманинова С.В. в Новом Уренгое.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В 2023 году 25 преподавателями детских школ иску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сств пройдена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аттес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тация (2022 год - 17), из них 11 - на высшую квалификационную категорию, 14 - на первую.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В 2023 году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62 преподавателям и концертмейстерам детских школ искусств города,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руководителям клубных формирований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в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ыплачены </w:t>
        <w:br/>
        <w:t xml:space="preserve">премии на сумму 1,5 м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лн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руб.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2022 год (уточн.) -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70/1,6 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млн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 руб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.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:lang w:eastAsia="ru-RU"/>
        </w:rPr>
        <w:t xml:space="preserve">).</w:t>
      </w:r>
      <w:r>
        <w:rPr>
          <w:rFonts w:ascii="Liberation Sans" w:hAnsi="Liberation Sans" w:eastAsia="Times New Roman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eastAsia="Times New Roman" w:cs="Liberation Sans"/>
          <w:color w:val="auto"/>
          <w:sz w:val="28"/>
          <w:szCs w:val="28"/>
          <w:highlight w:val="none"/>
        </w:rPr>
      </w:pPr>
      <w:r>
        <w:rPr>
          <w:rFonts w:ascii="Liberation Sans" w:hAnsi="Liberation Sans" w:eastAsia="Times New Roman" w:cs="Liberation Sans"/>
          <w:color w:val="auto"/>
          <w:sz w:val="28"/>
          <w:szCs w:val="28"/>
          <w:highlight w:val="none"/>
          <w:lang w:eastAsia="ru-RU"/>
        </w:rPr>
        <w:t xml:space="preserve">В 2023 году </w:t>
      </w:r>
      <w:r>
        <w:rPr>
          <w:rFonts w:ascii="Liberation Sans" w:hAnsi="Liberation Sans" w:eastAsia="Times New Roman" w:cs="Liberation Sans"/>
          <w:color w:val="auto"/>
          <w:sz w:val="28"/>
          <w:szCs w:val="28"/>
          <w:highlight w:val="none"/>
          <w:lang w:eastAsia="ru-RU"/>
        </w:rPr>
        <w:t xml:space="preserve">МБУ ДО ДШИ № 2 </w:t>
      </w:r>
      <w:r>
        <w:rPr>
          <w:rFonts w:ascii="Liberation Sans" w:hAnsi="Liberation Sans" w:eastAsia="Times New Roman" w:cs="Liberation Sans"/>
          <w:color w:val="auto"/>
          <w:sz w:val="28"/>
          <w:szCs w:val="28"/>
          <w:highlight w:val="none"/>
          <w:lang w:eastAsia="ru-RU"/>
        </w:rPr>
        <w:t xml:space="preserve">отметило 40-летний юбилей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своей деят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ельности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Times New Roman" w:cs="Liberation Sans"/>
          <w:color w:val="auto"/>
          <w:sz w:val="28"/>
          <w:szCs w:val="28"/>
          <w:highlight w:val="none"/>
        </w:rPr>
      </w:r>
      <w:r/>
    </w:p>
    <w:p>
      <w:pPr>
        <w:pStyle w:val="1121"/>
        <w:ind w:firstLine="708"/>
        <w:jc w:val="both"/>
        <w:rPr>
          <w:rFonts w:ascii="Liberation Sans" w:hAnsi="Liberation Sans" w:cs="Liberation Sans"/>
          <w:b w:val="0"/>
          <w:bCs w:val="0"/>
          <w:i/>
          <w:color w:val="000000"/>
          <w:sz w:val="28"/>
          <w:szCs w:val="28"/>
          <w:highlight w:val="none"/>
        </w:rPr>
      </w:pPr>
      <w:r>
        <w:rPr>
          <w:rFonts w:ascii="Liberation Sans" w:hAnsi="Liberation Sans" w:cs="Liberation Sans"/>
          <w:b w:val="0"/>
          <w:bCs w:val="0"/>
          <w:i/>
          <w:color w:val="000000"/>
          <w:sz w:val="28"/>
          <w:szCs w:val="28"/>
          <w:highlight w:val="none"/>
        </w:rPr>
      </w:r>
      <w:r>
        <w:rPr>
          <w:rFonts w:ascii="Liberation Sans" w:hAnsi="Liberation Sans" w:cs="Liberation Sans"/>
          <w:b w:val="0"/>
          <w:bCs w:val="0"/>
          <w:i/>
          <w:color w:val="000000"/>
          <w:sz w:val="28"/>
          <w:szCs w:val="28"/>
          <w:highlight w:val="none"/>
        </w:rPr>
      </w:r>
      <w:r/>
    </w:p>
    <w:p>
      <w:pPr>
        <w:ind w:left="0" w:right="0" w:firstLine="0"/>
        <w:jc w:val="center"/>
        <w:spacing w:after="0" w:line="240" w:lineRule="auto"/>
        <w:rPr>
          <w:rFonts w:ascii="Liberation Sans" w:hAnsi="Liberation Sans" w:cs="Liberation Sans"/>
          <w:b/>
          <w:bCs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sz w:val="28"/>
          <w:szCs w:val="28"/>
          <w:highlight w:val="none"/>
        </w:rPr>
        <w:t xml:space="preserve">Опека и попечительство</w:t>
      </w:r>
      <w:r>
        <w:rPr>
          <w:rFonts w:ascii="Liberation Sans" w:hAnsi="Liberation Sans" w:cs="Liberation Sans"/>
          <w:b/>
          <w:bCs/>
          <w:sz w:val="28"/>
          <w:szCs w:val="28"/>
          <w:highlight w:val="none"/>
        </w:rPr>
      </w:r>
      <w:r/>
    </w:p>
    <w:p>
      <w:pPr>
        <w:ind w:firstLine="709"/>
        <w:jc w:val="center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Осно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вной формой устройства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ребенка на воспитание в семью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является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опека и попечительство. Из выявленных детей в 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23 году находятся: под предварительной опекой - 1 ребенок, под опекой - </w:t>
        <w:br/>
        <w:t xml:space="preserve">4 ребенка, в приемной семье - 9 детей, выехали за пределы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города - </w:t>
        <w:br/>
        <w:t xml:space="preserve">7 детей, в отношении 2 детей ведется работа по устройству в семью.</w:t>
      </w:r>
      <w:r>
        <w:rPr>
          <w:rFonts w:ascii="Liberation Sans" w:hAnsi="Liberation Sans" w:cs="Liberation Sans"/>
          <w:highlight w:val="none"/>
          <w14:ligatures w14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организовано обучение для принятия ребенка в семью 52 человек, из них встали на учет в качестве кандидатов в опекуны (попечители) и усыновители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7 человек, приняли детей в семью </w:t>
      </w:r>
      <w:r>
        <w:rPr>
          <w:rFonts w:ascii="Liberation Sans" w:hAnsi="Liberation Sans" w:cs="Liberation Sans"/>
          <w:sz w:val="28"/>
          <w:szCs w:val="28"/>
          <w:highlight w:val="red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5 человек.</w:t>
      </w:r>
      <w:r>
        <w:rPr>
          <w:rFonts w:ascii="Liberation Sans" w:hAnsi="Liberation Sans" w:cs="Liberation Sans"/>
          <w:highlight w:val="none"/>
          <w14:ligatures w14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проведено 3 319 консультаций, принято участие </w:t>
        <w:br/>
        <w:t xml:space="preserve">в 370 судебных заседаниях.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27 родителей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лишены родительских прав,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9 родителей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ограничены в родительских правах, 1 родитель восстановлен в родительских правах.</w:t>
      </w:r>
      <w:r>
        <w:rPr>
          <w:rFonts w:ascii="Liberation Sans" w:hAnsi="Liberation Sans" w:cs="Liberation Sans"/>
          <w:highlight w:val="none"/>
          <w14:ligatures w14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в рамках переданных государственных полномочий по опеке и попечительству несовер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шеннолетних мерами социальной по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ддержки обеспечены 15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9 детей. Общая сумма выплат приемным родителям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 детям, проживающим в замещающих семьях, составила 68 479,2 тыс. руб.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Жилье по договорам найма специализированного жилищного фонда предоставлено 9 лицам из числа детей-сирот и детей, оставшихся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без попечения родителей.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 состоянию на 31.12.2023 на учете сост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 99 недееспособных граждан, 1 ограниченно дееспособный,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 том числе в 2023 году на учет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поставлен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21 человек.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Из общего числа граждан, состоящих на учете,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auto"/>
        </w:rPr>
        <w:t xml:space="preserve">94,5%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проживают в семьях опекунов.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Размер выплаты ежемесячного пособия опекунам совершеннолетних недееспособных граждан </w:t>
        <w:br/>
        <w:t xml:space="preserve">в 2023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году составил 21,7 тыс. руб.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  <w14:ligatures w14:val="none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/>
      <w:bookmarkStart w:id="57" w:name="_Toc57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End w:id="0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 </w:t>
      </w:r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Культура</w:t>
      </w:r>
      <w:bookmarkEnd w:id="57"/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iCs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  <w:t xml:space="preserve">В 2023 году деятельность осуществляли 6 организаций культуры, </w:t>
      </w:r>
      <w:r>
        <w:rPr>
          <w:rFonts w:ascii="Liberation Sans" w:hAnsi="Liberation Sans" w:cs="Liberation Sans"/>
          <w:sz w:val="28"/>
          <w:szCs w:val="28"/>
        </w:rPr>
        <w:br/>
        <w:t xml:space="preserve">из них 4 организации муниципальной системы культуры.</w:t>
      </w:r>
      <w:r>
        <w:rPr>
          <w:rFonts w:ascii="Liberation Sans" w:hAnsi="Liberation Sans" w:cs="Liberation Sans"/>
          <w:sz w:val="28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Муниципальными организациями культуры проведено </w:t>
      </w:r>
      <w:r>
        <w:rPr>
          <w:rFonts w:ascii="Liberation Sans" w:hAnsi="Liberation Sans" w:cs="Liberation Sans"/>
          <w:sz w:val="28"/>
          <w:szCs w:val="28"/>
        </w:rPr>
        <w:br/>
        <w:t xml:space="preserve">3 512 </w:t>
      </w:r>
      <w:r>
        <w:rPr>
          <w:rFonts w:ascii="Liberation Sans" w:hAnsi="Liberation Sans" w:cs="Liberation Sans"/>
          <w:sz w:val="28"/>
          <w:szCs w:val="28"/>
        </w:rPr>
        <w:t xml:space="preserve">мероприятий (2022 год - 3 835 , 2021 год - 3 688). Посетили </w:t>
      </w:r>
      <w:r>
        <w:rPr>
          <w:rFonts w:ascii="Liberation Sans" w:hAnsi="Liberation Sans" w:cs="Liberation Sans"/>
          <w:sz w:val="28"/>
          <w:szCs w:val="28"/>
        </w:rPr>
        <w:t xml:space="preserve">мероприятия </w:t>
      </w:r>
      <w:r>
        <w:rPr>
          <w:rFonts w:ascii="Liberation Sans" w:hAnsi="Liberation Sans" w:cs="Liberation Sans"/>
          <w:sz w:val="28"/>
          <w:szCs w:val="28"/>
        </w:rPr>
        <w:t xml:space="preserve">1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 276 656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человек -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1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2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посещений на 1 жителя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auto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</w:rPr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С целью расширения спектра услуг для взрослого населения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учреждения культуры присоединились к участию в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окружном проекте «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Ямальское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 долголетие».</w:t>
      </w:r>
      <w:r>
        <w:rPr>
          <w:rFonts w:ascii="Liberation Sans" w:hAnsi="Liberation Sans"/>
          <w:color w:val="auto"/>
          <w:sz w:val="28"/>
          <w:szCs w:val="28"/>
        </w:rPr>
        <w:t xml:space="preserve"> В 2023</w:t>
      </w:r>
      <w:r>
        <w:rPr>
          <w:rFonts w:ascii="Liberation Sans" w:hAnsi="Liberation Sans"/>
          <w:color w:val="auto"/>
          <w:sz w:val="28"/>
          <w:szCs w:val="28"/>
        </w:rPr>
        <w:t xml:space="preserve"> год</w:t>
      </w:r>
      <w:r>
        <w:rPr>
          <w:rFonts w:ascii="Liberation Sans" w:hAnsi="Liberation Sans"/>
          <w:color w:val="auto"/>
          <w:sz w:val="28"/>
          <w:szCs w:val="28"/>
        </w:rPr>
        <w:t xml:space="preserve">у</w:t>
      </w:r>
      <w:r>
        <w:rPr>
          <w:rFonts w:ascii="Liberation Sans" w:hAnsi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/>
          <w:color w:val="auto"/>
          <w:sz w:val="28"/>
          <w:szCs w:val="28"/>
        </w:rPr>
        <w:t xml:space="preserve">проведено 32 </w:t>
      </w:r>
      <w:r>
        <w:rPr>
          <w:rFonts w:ascii="Liberation Sans" w:hAnsi="Liberation Sans"/>
          <w:color w:val="auto"/>
          <w:sz w:val="28"/>
          <w:szCs w:val="28"/>
        </w:rPr>
        <w:t xml:space="preserve">мероприятия.  Охват - </w:t>
      </w:r>
      <w:r>
        <w:rPr>
          <w:rFonts w:ascii="Liberation Sans" w:hAnsi="Liberation Sans"/>
          <w:color w:val="auto"/>
          <w:sz w:val="28"/>
          <w:szCs w:val="28"/>
        </w:rPr>
        <w:t xml:space="preserve">334 </w:t>
      </w:r>
      <w:r>
        <w:rPr>
          <w:rFonts w:ascii="Liberation Sans" w:hAnsi="Liberation Sans"/>
          <w:color w:val="auto"/>
          <w:sz w:val="28"/>
          <w:szCs w:val="28"/>
        </w:rPr>
        <w:t xml:space="preserve">человек</w:t>
      </w:r>
      <w:r>
        <w:rPr>
          <w:rFonts w:ascii="Liberation Sans" w:hAnsi="Liberation Sans"/>
          <w:color w:val="auto"/>
          <w:sz w:val="28"/>
          <w:szCs w:val="28"/>
        </w:rPr>
        <w:t xml:space="preserve">а</w:t>
      </w:r>
      <w:r>
        <w:rPr>
          <w:rFonts w:ascii="Liberation Sans" w:hAnsi="Liberation Sans"/>
          <w:color w:val="auto"/>
          <w:sz w:val="28"/>
          <w:szCs w:val="28"/>
        </w:rPr>
        <w:t xml:space="preserve">.</w:t>
      </w:r>
      <w:r>
        <w:rPr>
          <w:rFonts w:ascii="Liberation Sans" w:hAnsi="Liberation Sans" w:cs="Liberation Sans"/>
          <w:color w:val="auto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auto"/>
          <w:sz w:val="28"/>
          <w:szCs w:val="28"/>
        </w:rPr>
      </w:pPr>
      <w:r>
        <w:rPr>
          <w:rFonts w:ascii="Liberation Sans" w:hAnsi="Liberation Sans" w:cs="Liberation Sans"/>
          <w:iCs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auto"/>
          <w:sz w:val="28"/>
          <w:szCs w:val="28"/>
        </w:rPr>
      </w:r>
      <w:r/>
    </w:p>
    <w:p>
      <w:pPr>
        <w:jc w:val="center"/>
        <w:spacing w:after="0" w:line="240" w:lineRule="auto"/>
        <w:widowControl w:val="off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b/>
          <w:sz w:val="28"/>
          <w:szCs w:val="28"/>
        </w:rPr>
        <w:t xml:space="preserve">Организация досуга и обеспечение жителей</w:t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sz w:val="28"/>
          <w:szCs w:val="28"/>
        </w:rPr>
        <w:t xml:space="preserve"> </w:t>
        <w:br/>
        <w:t xml:space="preserve">услугами организаций культуры</w:t>
      </w:r>
      <w:bookmarkEnd w:id="0"/>
      <w:r>
        <w:rPr>
          <w:rFonts w:ascii="Liberation Sans" w:hAnsi="Liberation Sans" w:cs="Liberation Sans"/>
          <w:sz w:val="28"/>
          <w:szCs w:val="28"/>
        </w:rPr>
      </w:r>
      <w:r/>
    </w:p>
    <w:p>
      <w:pPr>
        <w:spacing w:after="0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Досуг жителей муниципального образования обеспечивают </w:t>
      </w:r>
      <w:r>
        <w:rPr>
          <w:rFonts w:ascii="Liberation Sans" w:hAnsi="Liberation Sans" w:cs="Liberation Sans"/>
          <w:sz w:val="28"/>
          <w:szCs w:val="28"/>
        </w:rPr>
        <w:br/>
      </w:r>
      <w:r>
        <w:rPr>
          <w:rFonts w:ascii="Liberation Sans" w:hAnsi="Liberation Sans" w:cs="Liberation Sans"/>
          <w:sz w:val="28"/>
          <w:szCs w:val="28"/>
        </w:rPr>
        <w:t xml:space="preserve">4 </w:t>
      </w:r>
      <w:r>
        <w:rPr>
          <w:rFonts w:ascii="Liberation Sans" w:hAnsi="Liberation Sans" w:cs="Liberation Sans"/>
          <w:sz w:val="28"/>
          <w:szCs w:val="28"/>
        </w:rPr>
        <w:t xml:space="preserve">культурно-досуговых</w:t>
      </w:r>
      <w:r>
        <w:rPr>
          <w:rFonts w:ascii="Liberation Sans" w:hAnsi="Liberation Sans" w:cs="Liberation Sans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учреждения: </w:t>
      </w:r>
      <w:r>
        <w:rPr>
          <w:rFonts w:ascii="Liberation Sans" w:hAnsi="Liberation Sans" w:cs="Liberation Sans"/>
          <w:sz w:val="28"/>
          <w:szCs w:val="28"/>
        </w:rPr>
        <w:t xml:space="preserve">МАУК «Централизованная клубная система» (далее - </w:t>
      </w:r>
      <w:r>
        <w:rPr>
          <w:rFonts w:ascii="Liberation Sans" w:hAnsi="Liberation Sans" w:cs="Liberation Sans"/>
          <w:sz w:val="28"/>
          <w:szCs w:val="28"/>
        </w:rPr>
        <w:t xml:space="preserve">МАУК </w:t>
      </w:r>
      <w:r>
        <w:rPr>
          <w:rFonts w:ascii="Liberation Sans" w:hAnsi="Liberation Sans" w:cs="Liberation Sans"/>
          <w:sz w:val="28"/>
          <w:szCs w:val="28"/>
        </w:rPr>
        <w:t xml:space="preserve">«</w:t>
      </w:r>
      <w:r>
        <w:rPr>
          <w:rFonts w:ascii="Liberation Sans" w:hAnsi="Liberation Sans" w:cs="Liberation Sans"/>
          <w:sz w:val="28"/>
          <w:szCs w:val="28"/>
        </w:rPr>
        <w:t xml:space="preserve">ЦКС</w:t>
      </w:r>
      <w:r>
        <w:rPr>
          <w:rFonts w:ascii="Liberation Sans" w:hAnsi="Liberation Sans" w:cs="Liberation Sans"/>
          <w:sz w:val="28"/>
          <w:szCs w:val="28"/>
        </w:rPr>
        <w:t xml:space="preserve">»</w:t>
      </w:r>
      <w:r>
        <w:rPr>
          <w:rFonts w:ascii="Liberation Sans" w:hAnsi="Liberation Sans" w:cs="Liberation Sans"/>
          <w:sz w:val="28"/>
          <w:szCs w:val="28"/>
        </w:rPr>
        <w:t xml:space="preserve">) (включает ГДК «Октябрь» </w:t>
        <w:br/>
        <w:t xml:space="preserve">и Центр национальных культур), созданное в 2023 году </w:t>
      </w:r>
      <w:r>
        <w:rPr>
          <w:rFonts w:ascii="Liberation Sans" w:hAnsi="Liberation Sans" w:cs="Liberation Sans"/>
          <w:sz w:val="28"/>
          <w:szCs w:val="28"/>
        </w:rPr>
        <w:t xml:space="preserve">путем изменения типа существующего МБУК Централизованная клубная система</w:t>
      </w:r>
      <w:r>
        <w:rPr>
          <w:rFonts w:ascii="Liberation Sans" w:hAnsi="Liberation Sans" w:cs="Liberation Sans"/>
          <w:sz w:val="28"/>
          <w:szCs w:val="28"/>
        </w:rPr>
        <w:t xml:space="preserve">, МАУК </w:t>
      </w:r>
      <w:r>
        <w:rPr>
          <w:rFonts w:ascii="Liberation Sans" w:hAnsi="Liberation Sans" w:cs="Liberation Sans"/>
          <w:sz w:val="28"/>
          <w:szCs w:val="28"/>
        </w:rPr>
        <w:t xml:space="preserve">ЦКиД</w:t>
      </w:r>
      <w:r>
        <w:rPr>
          <w:rFonts w:ascii="Liberation Sans" w:hAnsi="Liberation Sans" w:cs="Liberation Sans"/>
          <w:sz w:val="28"/>
          <w:szCs w:val="28"/>
        </w:rPr>
        <w:t xml:space="preserve"> «Магистраль» (районы </w:t>
      </w:r>
      <w:r>
        <w:rPr>
          <w:rFonts w:ascii="Liberation Sans" w:hAnsi="Liberation Sans" w:cs="Liberation Sans"/>
          <w:sz w:val="28"/>
          <w:szCs w:val="28"/>
        </w:rPr>
        <w:t xml:space="preserve">Коротчаево</w:t>
      </w:r>
      <w:r>
        <w:rPr>
          <w:rFonts w:ascii="Liberation Sans" w:hAnsi="Liberation Sans" w:cs="Liberation Sans"/>
          <w:sz w:val="28"/>
          <w:szCs w:val="28"/>
        </w:rPr>
        <w:t xml:space="preserve"> и </w:t>
      </w:r>
      <w:r>
        <w:rPr>
          <w:rFonts w:ascii="Liberation Sans" w:hAnsi="Liberation Sans" w:cs="Liberation Sans"/>
          <w:sz w:val="28"/>
          <w:szCs w:val="28"/>
        </w:rPr>
        <w:t xml:space="preserve">Лимбяяха</w:t>
      </w:r>
      <w:r>
        <w:rPr>
          <w:rFonts w:ascii="Liberation Sans" w:hAnsi="Liberation Sans" w:cs="Liberation Sans"/>
          <w:sz w:val="28"/>
          <w:szCs w:val="28"/>
        </w:rPr>
        <w:t xml:space="preserve">), </w:t>
      </w:r>
      <w:r>
        <w:rPr>
          <w:rFonts w:ascii="Liberation Sans" w:hAnsi="Liberation Sans" w:cs="Liberation Sans"/>
          <w:sz w:val="28"/>
          <w:szCs w:val="28"/>
        </w:rPr>
        <w:t xml:space="preserve">КСЦ «Газодобытчик» ООО «Газпром добыча Уренгой» (ведомственное),</w:t>
      </w:r>
      <w:r>
        <w:rPr>
          <w:rFonts w:ascii="Liberation Sans" w:hAnsi="Liberation Sans" w:cs="Liberation Sans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КСК «Буровик» филиала «Уренгой бурение» ООО «Газпром бурение» (ведомственное).</w:t>
      </w:r>
      <w:r>
        <w:rPr>
          <w:rFonts w:ascii="Liberation Sans" w:hAnsi="Liberation Sans" w:cs="Liberation Sans"/>
          <w:sz w:val="28"/>
          <w:szCs w:val="28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Муниципальными учреждениями проведено </w:t>
      </w:r>
      <w:r>
        <w:rPr>
          <w:rFonts w:ascii="Liberation Sans" w:hAnsi="Liberation Sans" w:cs="Liberation Sans"/>
          <w:sz w:val="28"/>
          <w:szCs w:val="28"/>
        </w:rPr>
        <w:t xml:space="preserve">2</w:t>
      </w:r>
      <w:r>
        <w:rPr>
          <w:rFonts w:ascii="Liberation Sans" w:hAnsi="Liberation Sans" w:cs="Liberation Sans"/>
          <w:sz w:val="28"/>
          <w:szCs w:val="28"/>
        </w:rPr>
        <w:t xml:space="preserve"> 7</w:t>
      </w:r>
      <w:r>
        <w:rPr>
          <w:rFonts w:ascii="Liberation Sans" w:hAnsi="Liberation Sans" w:cs="Liberation Sans"/>
          <w:sz w:val="28"/>
          <w:szCs w:val="28"/>
        </w:rPr>
        <w:t xml:space="preserve">0</w:t>
      </w:r>
      <w:r>
        <w:rPr>
          <w:rFonts w:ascii="Liberation Sans" w:hAnsi="Liberation Sans" w:cs="Liberation Sans"/>
          <w:sz w:val="28"/>
          <w:szCs w:val="28"/>
        </w:rPr>
        <w:t xml:space="preserve">3 </w:t>
      </w:r>
      <w:r>
        <w:rPr>
          <w:rFonts w:ascii="Liberation Sans" w:hAnsi="Liberation Sans" w:cs="Liberation Sans"/>
          <w:sz w:val="28"/>
          <w:szCs w:val="28"/>
        </w:rPr>
        <w:t xml:space="preserve">офлайн-мероприятия</w:t>
      </w:r>
      <w:r>
        <w:rPr>
          <w:rFonts w:ascii="Liberation Sans" w:hAnsi="Liberation Sans" w:cs="Liberation Sans"/>
          <w:sz w:val="28"/>
          <w:szCs w:val="28"/>
        </w:rPr>
        <w:t xml:space="preserve">, которые посетили </w:t>
      </w:r>
      <w:r>
        <w:rPr>
          <w:rFonts w:ascii="Liberation Sans" w:hAnsi="Liberation Sans" w:cs="Liberation Sans"/>
          <w:sz w:val="28"/>
          <w:szCs w:val="28"/>
        </w:rPr>
        <w:t xml:space="preserve">7</w:t>
      </w:r>
      <w:r>
        <w:rPr>
          <w:rFonts w:ascii="Liberation Sans" w:hAnsi="Liberation Sans" w:cs="Liberation Sans"/>
          <w:sz w:val="28"/>
          <w:szCs w:val="28"/>
        </w:rPr>
        <w:t xml:space="preserve">32</w:t>
      </w:r>
      <w:r>
        <w:rPr>
          <w:rFonts w:ascii="Liberation Sans" w:hAnsi="Liberation Sans" w:cs="Liberation Sans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882</w:t>
      </w:r>
      <w:r>
        <w:rPr>
          <w:rFonts w:ascii="Liberation Sans" w:hAnsi="Liberation Sans" w:cs="Liberation Sans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челов</w:t>
      </w:r>
      <w:r>
        <w:rPr>
          <w:rFonts w:ascii="Liberation Sans" w:hAnsi="Liberation Sans" w:cs="Liberation Sans"/>
          <w:sz w:val="28"/>
          <w:szCs w:val="28"/>
        </w:rPr>
        <w:t xml:space="preserve">ека</w:t>
      </w:r>
      <w:r>
        <w:rPr>
          <w:rFonts w:ascii="Liberation Sans" w:hAnsi="Liberation Sans" w:cs="Liberation Sans"/>
          <w:sz w:val="28"/>
          <w:szCs w:val="28"/>
        </w:rPr>
        <w:t xml:space="preserve">.</w:t>
      </w:r>
      <w:r>
        <w:rPr>
          <w:rFonts w:ascii="Liberation Sans" w:hAnsi="Liberation Sans" w:cs="Liberation Sans"/>
          <w:sz w:val="28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14:ligatures w14:val="none"/>
        </w:rPr>
      </w:r>
      <w:r/>
    </w:p>
    <w:p>
      <w:pPr>
        <w:jc w:val="center"/>
        <w:tabs>
          <w:tab w:val="center" w:pos="4677" w:leader="none"/>
        </w:tabs>
      </w:pPr>
      <w:r>
        <w:rPr>
          <w:rFonts w:ascii="Liberation Sans" w:hAnsi="Liberation Sans"/>
          <w:iCs/>
          <w:szCs w:val="28"/>
          <w:lang w:eastAsia="ru-RU"/>
        </w:rPr>
        <w:drawing>
          <wp:inline distT="0" distB="0" distL="0" distR="0">
            <wp:extent cx="2789335" cy="2313989"/>
            <wp:effectExtent l="4762" t="4762" r="4762" b="4762"/>
            <wp:docPr id="4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  <w:r>
        <w:rPr>
          <w:rFonts w:ascii="Liberation Sans" w:hAnsi="Liberation Sans"/>
          <w:szCs w:val="28"/>
        </w:rPr>
        <w:tab/>
      </w:r>
      <w:r>
        <w:rPr>
          <w:rFonts w:ascii="Liberation Sans" w:hAnsi="Liberation Sans"/>
          <w:iCs/>
          <w:szCs w:val="28"/>
          <w:lang w:eastAsia="ru-RU"/>
        </w:rPr>
        <w:drawing>
          <wp:inline distT="0" distB="0" distL="0" distR="0">
            <wp:extent cx="3004119" cy="2312276"/>
            <wp:effectExtent l="0" t="0" r="0" b="0"/>
            <wp:docPr id="47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  <w:r>
        <w:rPr>
          <w:rFonts w:ascii="Liberation Sans" w:hAnsi="Liberation Sans"/>
          <w:szCs w:val="28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Проведено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148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онлайн-мероприятий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которые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просмотрели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91 322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раза. Для детей проведено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65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онлайн-мероприятий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количество просмотров 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33 247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26 февраля 2023 года на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площадке у Дворца спорта «Звёздный»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состоялись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Проводы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ямальской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зимы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Для горожан организованы конкурс </w:t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масленичных кукол</w:t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 мета</w:t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ние</w:t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 блин</w:t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ов</w:t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 на дальность, </w:t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хороводы</w:t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, семейный </w:t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квест</w:t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 «Вместе теплее» и др. </w:t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Традиционные гулянья завершились символическим сожжением масленичного чучела</w:t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t xml:space="preserve">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Численность посетителей мероприятий составила около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55 тыс. человек.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18-19 марта 2023 года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состоялся Праздник народов Севера </w:t>
        <w:br/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с участием представителей Тазовского района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.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В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рамках социально-культурного обмена организованы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костюмированное шествие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, выставки, мастер-классы, концерты, сп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орт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ивные мероприятия,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интерактивные площадки,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ярмарка северной продукции,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катания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br/>
        <w:t xml:space="preserve">на оленьих упряжках, снегоходах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.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Также организована работа гостевых чумов.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Охват составил более 28 тыс. человек.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24 марта 2023 года впервые на площадках города стартовал </w:t>
        <w:br/>
        <w:t xml:space="preserve">Джа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зовый фестиваль. В концертном зале ГДК «Октябрь» 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рестобаре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Sun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али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 проведены концерты Игоря Бутмана, Мари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Карне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 концерт с участием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кавер-группы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«Артик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фьюжн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бенд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 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Алексея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Черемизова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Также в сентябре 2023 года в ГДК «Октябрь» проведен концерт квинтета Игоря Бутмана, 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рестобаре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Sun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али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 - концерты Виталия Головнева, участников телешоу «Большой Джаз» и коллектива 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Billy`s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Band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». Общее количество посетителей мероприятий фестиваля составило более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 тыс. человек.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рамках проекта 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Ямальские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встречи» 28 апреля 2023 года </w:t>
        <w:br/>
        <w:t xml:space="preserve">в ГДК «Октябрь» организована творческая встреча с фигуристом Ильей Авербухом 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пара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лимпийцем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Миха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илом Асташевым. 30 сентября 2023 года в ГДК «Октябрь» организована встреча с актером театра и кино, певцом Антоном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Макарским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МБОУ «СШ № 17»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- с писателем Сергеем Лукьяненко.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Охват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составил более 1 тыс. человек.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рамках Фестиваля уличного дизайна YAM(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ural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)AL на фасады </w:t>
        <w:br/>
        <w:t xml:space="preserve">3 объектов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торцы жилых домов,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расположенных по ул. Северная коммунальная зона, д. 13, ул.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Надымск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д. 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 ул. Сибирск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д. 21А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художниками-муралистами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из Екатеринбурга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нанесены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муралы, определенные по итогам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голосования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 портале «Живем на Севере»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рамках мероприятий, посвященных празднованию Дня Победы,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 мая 2023 года впервые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 площади у Администрации города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состоялос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ь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поднятие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З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намени Победы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Организованы и проведены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праздничный концерт «Не забывайте о войне»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концерт 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осковского театра песни «Яр»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концерт заслуженного артиста РФ,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экс-солиста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группы «Лесоповал» Сергея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Куприка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Всероссийская акция «Свеча Памяти»,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Всероссийская акция «Поем двором» и др.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Охват составил более 85 тыс. человек.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рамках празднования Дня защиты детей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впервые организовано шоу иллюзионистов братьев Ибрагимовых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Также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организованы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театрализованная программа «Колобок», концерт 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Мультляндия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», мастер-классы, настольные игры,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аквагрим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нашествие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ростовых кукол.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Охват - более 11 тыс. человек.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летний период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продолжена реализация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проекта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Улетные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выходные в Новом».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Для горожан организованы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концерт артиста </w:t>
      </w:r>
      <w:r>
        <w:rPr>
          <w:rFonts w:ascii="Liberation Sans" w:hAnsi="Liberation Sans" w:cs="Liberation Sans"/>
          <w:sz w:val="28"/>
          <w:szCs w:val="28"/>
          <w:highlight w:val="none"/>
          <w:lang w:val="en-US"/>
        </w:rPr>
        <w:t xml:space="preserve">Guma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серия пенных вечеринок,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тематические программы,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мастер-классы, интеллектуальные игры, танцы, выступления популярных молодежных групп, детские развлекательные программы, спортивные игры и конкурсы, розыгрыши призов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Охват - более 65 тыс. человек.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последний день лета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традиционным мероприятием стало </w:t>
      </w:r>
      <w:r>
        <w:rPr>
          <w:rFonts w:ascii="Liberation Sans" w:hAnsi="Liberation Sans" w:cs="Liberation Sans"/>
          <w:sz w:val="28"/>
          <w:szCs w:val="28"/>
          <w:highlight w:val="none"/>
          <w:lang w:eastAsia="en-US"/>
        </w:rPr>
        <w:t xml:space="preserve">ТОЧКА ЛЕТА.</w:t>
      </w:r>
      <w:r>
        <w:rPr>
          <w:rFonts w:ascii="Liberation Sans" w:hAnsi="Liberation Sans" w:cs="Liberation Sans"/>
          <w:sz w:val="28"/>
          <w:szCs w:val="28"/>
          <w:highlight w:val="none"/>
          <w:lang w:val="en-US" w:eastAsia="en-US"/>
        </w:rPr>
        <w:t xml:space="preserve">NUR</w:t>
      </w:r>
      <w:r>
        <w:rPr>
          <w:rFonts w:ascii="Liberation Sans" w:hAnsi="Liberation Sans" w:cs="Liberation Sans"/>
          <w:sz w:val="28"/>
          <w:szCs w:val="28"/>
          <w:highlight w:val="none"/>
          <w:lang w:eastAsia="en-US"/>
        </w:rPr>
        <w:t xml:space="preserve">. Для горожан и гостей мероприятия выступили ведущий Виктор Кондраков, ди-джей Андрей Князев 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группа «</w:t>
      </w:r>
      <w:r>
        <w:rPr>
          <w:rFonts w:ascii="Liberation Sans" w:hAnsi="Liberation Sans" w:cs="Liberation Sans"/>
          <w:sz w:val="28"/>
          <w:szCs w:val="28"/>
          <w:highlight w:val="none"/>
          <w:lang w:val="en-US"/>
        </w:rPr>
        <w:t xml:space="preserve">Leshinskiy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lang w:val="en-US"/>
        </w:rPr>
        <w:t xml:space="preserve">Band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sz w:val="28"/>
          <w:szCs w:val="28"/>
          <w:highlight w:val="none"/>
          <w:lang w:eastAsia="en-US"/>
        </w:rPr>
        <w:t xml:space="preserve">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Охват - более 3,5 тыс. человек.</w:t>
      </w:r>
      <w:r>
        <w:rPr>
          <w:rFonts w:ascii="Liberation Sans" w:hAnsi="Liberation Sans" w:cs="Liberation Sans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2-3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сентября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2023 года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рамках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Дня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орода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4.8 СОГРЕВАЕМ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на городской площади организованы и проведен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мастер-классы, интерактивные развлекательные программы,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фестиваль уличных театров «Сны улиц», театрализованное костюмированное шествие,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файер-шоу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«Белое золото»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концерты артистов и творческих коллективов города, финалистов конкурса «Голоса молодых»,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 выступления звезд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р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оссийской эстрады,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инсталляции, эксклюзивные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фотозоны и др.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Охв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ат - 98,6 тыс. человек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9 сентября 2023 года району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Лимбяяха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исполнилось 40 лет со дня основания. Впервые организован концерт артистов российского уровня: группа </w:t>
      </w:r>
      <w:r>
        <w:rPr>
          <w:rFonts w:ascii="Liberation Sans" w:hAnsi="Liberation Sans" w:cs="Liberation Sans"/>
          <w:sz w:val="28"/>
          <w:szCs w:val="28"/>
          <w:highlight w:val="none"/>
          <w:lang w:val="en-US"/>
        </w:rPr>
        <w:t xml:space="preserve">Hi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  <w:lang w:val="en-US"/>
        </w:rPr>
        <w:t xml:space="preserve">Fi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ди-джея Егора Крапивина и ведущего Антона Тимофеева.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рамках празднования проведена церемония награждения участников конкурса «Человек года - 2023».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 площади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массовых гуляний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района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Лимбяяха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работало более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 тематических площадок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Охват - более </w:t>
        <w:br/>
        <w:t xml:space="preserve">4 тыс. человек.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4-5 октября 2023 года город впервые посетил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музыкальная группы «Алтай» - представители Монгольской государственной консерватории и дуэт профессоров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Тяньцзиньской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консерватории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Фэнъюнь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 Ван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Цзяньсиня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В рамках визита организованы творческие встречи и концертные программы. Охват - более 600 человек.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Традиционным для города стал приезд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ямальского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волшебника Ямал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Ири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который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посетил 12 локаций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включая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отдаленные районы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хват - более 4 тыс. человек.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1 - 7 декабря 2023 года в городе организован и проведен фестиваль ледовых скульптур «Хрустальные сны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евера» (далее – фестиваль). Участие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приняли 10 мастеров из городов Якутск,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Нарьян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Мар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Хабаровск, Салехард, Новый Уренгой, Санкт-Петербург и др.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Победителем фестиваля стал Данил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Цой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из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г. Хабаровск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Впервые </w:t>
        <w:br/>
        <w:t xml:space="preserve">в рамках фестиваля организован семейный конкурс ледовой скульптуры, на котором семьи совместно с мастерами создавали шедевры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из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льда.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Победителем семейного конкурса стала семья Москвитиных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из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Новый Уренгой.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Новинкой данного мероприятия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стала ежедневная вечерняя стрельба салютом из ледяных пушек.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Охват - более 4 тыс. человек.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конце года в павильо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не на городской площади традиционно была организована работа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езиденции Деда Мороза.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Охват - более </w:t>
        <w:br/>
        <w:t xml:space="preserve">2,5 тыс. человек.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Наиболее значимые достижения: </w:t>
      </w:r>
      <w:r>
        <w:rPr>
          <w:rFonts w:ascii="Liberation Sans" w:hAnsi="Liberation Sans" w:cs="Liberation Sans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Хомяков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Денис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заведующий культурно-массовым отделом МАУК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ЦКиД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«Магистраль»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обладатель специального диплома </w:t>
        <w:br/>
        <w:t xml:space="preserve">«За работу с пространством и сценографические решения» и диплома  «Приз зрительских симпатий»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V</w:t>
      </w:r>
      <w:r>
        <w:rPr>
          <w:rFonts w:ascii="Liberation Sans" w:hAnsi="Liberation Sans" w:cs="Liberation Sans"/>
          <w:sz w:val="28"/>
          <w:szCs w:val="28"/>
          <w:highlight w:val="none"/>
          <w:lang w:val="en-US"/>
        </w:rPr>
        <w:t xml:space="preserve">I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окружного конкурса профессионального мастерства «Лучший клубный работник Ямала»;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Гордеева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Людмила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режиссер-постановщик МАУК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ЦКиД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«Магистраль»,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- обладатель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знака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«Серебряная га</w:t>
      </w:r>
      <w:r>
        <w:rPr>
          <w:rFonts w:ascii="Liberation Sans" w:hAnsi="Liberation Sans" w:cs="Liberation Sans"/>
          <w:sz w:val="28"/>
          <w:szCs w:val="28"/>
        </w:rPr>
        <w:t xml:space="preserve">гара» в номинации </w:t>
      </w:r>
      <w:r>
        <w:rPr>
          <w:rFonts w:ascii="Liberation Sans" w:hAnsi="Liberation Sans" w:cs="Liberation Sans"/>
          <w:sz w:val="28"/>
          <w:szCs w:val="28"/>
        </w:rPr>
        <w:t xml:space="preserve">«Ветеран профессии»</w:t>
      </w:r>
      <w:r>
        <w:rPr>
          <w:rFonts w:ascii="Liberation Sans" w:hAnsi="Liberation Sans" w:cs="Liberation Sans"/>
          <w:sz w:val="28"/>
          <w:szCs w:val="28"/>
        </w:rPr>
        <w:t xml:space="preserve">;</w:t>
      </w:r>
      <w:r>
        <w:rPr>
          <w:rFonts w:ascii="Liberation Sans" w:hAnsi="Liberation Sans" w:cs="Liberation Sans"/>
          <w:sz w:val="28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- </w:t>
      </w:r>
      <w:r>
        <w:rPr>
          <w:rFonts w:ascii="Liberation Sans" w:hAnsi="Liberation Sans" w:cs="Liberation Sans"/>
          <w:sz w:val="28"/>
          <w:szCs w:val="28"/>
        </w:rPr>
        <w:t xml:space="preserve">хор казачьей песни «Раздолье» МАУК </w:t>
      </w:r>
      <w:r>
        <w:rPr>
          <w:rFonts w:ascii="Liberation Sans" w:hAnsi="Liberation Sans" w:cs="Liberation Sans"/>
          <w:sz w:val="28"/>
          <w:szCs w:val="28"/>
        </w:rPr>
        <w:t xml:space="preserve">ЦКиД</w:t>
      </w:r>
      <w:r>
        <w:rPr>
          <w:rFonts w:ascii="Liberation Sans" w:hAnsi="Liberation Sans" w:cs="Liberation Sans"/>
          <w:sz w:val="28"/>
          <w:szCs w:val="28"/>
        </w:rPr>
        <w:t xml:space="preserve"> «Магистраль»</w:t>
      </w:r>
      <w:r>
        <w:rPr>
          <w:rFonts w:ascii="Liberation Sans" w:hAnsi="Liberation Sans" w:cs="Liberation Sans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</w:rPr>
        <w:t xml:space="preserve">- обладатель Гран-при окружного фестиваля казачьей культуры «Разгуляй»;</w:t>
      </w:r>
      <w:r>
        <w:rPr>
          <w:rFonts w:ascii="Liberation Sans" w:hAnsi="Liberation Sans" w:cs="Liberation Sans"/>
          <w:sz w:val="28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- сводный хор МАУК </w:t>
      </w:r>
      <w:r>
        <w:rPr>
          <w:rFonts w:ascii="Liberation Sans" w:hAnsi="Liberation Sans" w:cs="Liberation Sans"/>
          <w:sz w:val="28"/>
          <w:szCs w:val="28"/>
        </w:rPr>
        <w:t xml:space="preserve">ЦКиД</w:t>
      </w:r>
      <w:r>
        <w:rPr>
          <w:rFonts w:ascii="Liberation Sans" w:hAnsi="Liberation Sans" w:cs="Liberation Sans"/>
          <w:sz w:val="28"/>
          <w:szCs w:val="28"/>
        </w:rPr>
        <w:t xml:space="preserve"> «Магистраль» - лауреат 1 степени городского конкурса-фестиваля «Битва хоров»;</w:t>
      </w:r>
      <w:r>
        <w:rPr>
          <w:rFonts w:ascii="Liberation Sans" w:hAnsi="Liberation Sans" w:cs="Liberation Sans"/>
          <w:sz w:val="28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</w:rPr>
        <w:t xml:space="preserve">- </w:t>
      </w:r>
      <w:r>
        <w:rPr>
          <w:rFonts w:ascii="Liberation Sans" w:hAnsi="Liberation Sans" w:cs="Liberation Sans"/>
          <w:sz w:val="28"/>
          <w:szCs w:val="28"/>
        </w:rPr>
        <w:t xml:space="preserve">хор казач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ьей песни «Раздолье»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МАУК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ЦКиД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«Магистраль» - лауреат 1 степени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V Открыт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ого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кружн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ого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фестивал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я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казачьей песни «Лейся, песня казака, по земле России!»;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 детский вокальный ансамбль «Нотки» МАУК «ЦКС» - лауреат </w:t>
        <w:br/>
        <w:t xml:space="preserve">2 степени </w:t>
      </w:r>
      <w:r>
        <w:rPr>
          <w:rFonts w:ascii="Liberation Sans" w:hAnsi="Liberation Sans" w:cs="Liberation Sans"/>
          <w:sz w:val="28"/>
          <w:szCs w:val="28"/>
          <w:highlight w:val="none"/>
          <w:lang w:val="en-US"/>
        </w:rPr>
        <w:t xml:space="preserve">XXVI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Открытого Межрегионального конкурса эстрадного творчества «Полярная звезда»;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 вокальная студия Людмилы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Ушанлы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МАУК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ЦКС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- лауреаты </w:t>
        <w:br/>
        <w:t xml:space="preserve">2 степени окружного конкурса «Дорогами поколений»;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ансамбль народной и казачьей песни 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Златница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 МАУК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ЦКС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занял 2 и 3 места в V Открытом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кружном фестивале казачьей песни «Лейся, песня казака, по земле России!»;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народный ансамбль кавказского танца «Горные вершины»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МАУК «ЦКС» 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обладатель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гранта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на сумму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500,0 тыс. руб.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на пошив костюмов </w:t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 итогам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конкурсного отбора заявок по предоставлению в 2024 году грантов автономному или бюджетному государственному (муниципальному) учреждению культуры клубного типа.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рамках регионального проекта «Творческие люди»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национальный проект «Культура) в 2023 году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15 сотрудников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МАУК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ЦКС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МАУК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ЦКиД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«Магистраль»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обучены по 11 программам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на базе творческих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вуз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ов Российской Федерации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 городах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ермь,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Москва,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Краснодар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рамках программы «Волонтеры культуры», направленной </w:t>
        <w:br/>
        <w:t xml:space="preserve">на обеспечение поддержки доб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ровольческих движений, в 2023 году численность волонтеров составил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434 человека. С их участием проведено более 30 крупных мероприятий.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Cs w:val="28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МАУК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ЦКиД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«Магистр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аль» о</w:t>
      </w:r>
      <w:r>
        <w:rPr>
          <w:rFonts w:ascii="Liberation Sans" w:hAnsi="Liberation Sans" w:cs="Liberation Sans"/>
          <w:sz w:val="28"/>
          <w:szCs w:val="28"/>
        </w:rPr>
        <w:t xml:space="preserve">тметило </w:t>
      </w:r>
      <w:r>
        <w:rPr>
          <w:rFonts w:ascii="Liberation Sans" w:hAnsi="Liberation Sans" w:cs="Liberation Sans"/>
          <w:sz w:val="28"/>
          <w:szCs w:val="28"/>
        </w:rPr>
        <w:t xml:space="preserve">35-летний юбилей своей деятельности</w:t>
      </w:r>
      <w:r>
        <w:rPr>
          <w:rFonts w:ascii="Liberation Sans" w:hAnsi="Liberation Sans" w:cs="Liberation Sans"/>
          <w:sz w:val="28"/>
          <w:szCs w:val="28"/>
        </w:rPr>
        <w:t xml:space="preserve">.</w:t>
      </w:r>
      <w:r>
        <w:rPr>
          <w:rFonts w:ascii="Liberation Sans" w:hAnsi="Liberation Sans" w:cs="Liberation Sans"/>
          <w:szCs w:val="28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widowControl w:val="off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sz w:val="28"/>
          <w:szCs w:val="28"/>
          <w:highlight w:val="none"/>
        </w:rPr>
        <w:t xml:space="preserve">Клубные формирования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осуществлялась работа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103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клубных формирований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(2022 год - 100, 2021 год - 98), из них для детей - 47. Численность участников клубных формирований составила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1 414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человек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из них детей - 642.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jc w:val="center"/>
      </w:pPr>
      <w:r>
        <w:rPr>
          <w:rFonts w:ascii="Liberation Sans" w:hAnsi="Liberation Sans"/>
          <w:szCs w:val="28"/>
          <w:lang w:eastAsia="ru-RU"/>
        </w:rPr>
        <w:drawing>
          <wp:inline distT="0" distB="0" distL="0" distR="0">
            <wp:extent cx="5530848" cy="1698891"/>
            <wp:effectExtent l="9525" t="9525" r="9525" b="9525"/>
            <wp:docPr id="48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  <w:r>
        <w:rPr>
          <w:rFonts w:ascii="Liberation Sans" w:hAnsi="Liberation Sans"/>
          <w:b/>
          <w:bCs/>
          <w:szCs w:val="28"/>
        </w:rPr>
      </w:r>
      <w:r/>
    </w:p>
    <w:p>
      <w:pPr>
        <w:ind w:firstLine="709"/>
        <w:spacing w:after="0" w:afterAutospacing="0" w:line="240" w:lineRule="auto"/>
        <w:rPr>
          <w:sz w:val="28"/>
          <w:szCs w:val="28"/>
        </w:rPr>
      </w:pPr>
      <w:r>
        <w:rPr>
          <w:rFonts w:ascii="Liberation Sans" w:hAnsi="Liberation Sans" w:eastAsia="Calibri"/>
          <w:sz w:val="28"/>
          <w:szCs w:val="28"/>
        </w:rPr>
      </w:r>
      <w:r>
        <w:rPr>
          <w:sz w:val="28"/>
          <w:szCs w:val="28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1 002 участника клубных формирований стали призерами/победителями фестивалей и конкурсов различного уровня.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spacing w:after="0" w:afterAutospacing="0" w:line="240" w:lineRule="auto"/>
        <w:rPr>
          <w:sz w:val="28"/>
          <w:szCs w:val="28"/>
        </w:rPr>
      </w:pPr>
      <w:r>
        <w:rPr>
          <w:rFonts w:ascii="Liberation Sans" w:hAnsi="Liberation Sans" w:eastAsia="Calibri"/>
          <w:sz w:val="28"/>
          <w:szCs w:val="28"/>
        </w:rPr>
      </w:r>
      <w:r>
        <w:rPr>
          <w:sz w:val="28"/>
          <w:szCs w:val="28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eastAsia="Calibri"/>
          <w:szCs w:val="28"/>
          <w:lang w:eastAsia="ru-RU"/>
        </w:rPr>
        <w:drawing>
          <wp:inline distT="0" distB="0" distL="0" distR="0">
            <wp:extent cx="5301648" cy="1935027"/>
            <wp:effectExtent l="9525" t="9525" r="9525" b="9525"/>
            <wp:docPr id="49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widowControl w:val="off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b/>
          <w:sz w:val="28"/>
          <w:szCs w:val="28"/>
          <w:highlight w:val="none"/>
        </w:rPr>
        <w:t xml:space="preserve">Библиотечное обслуживание населения</w:t>
      </w:r>
      <w:r>
        <w:rPr>
          <w:rFonts w:ascii="Liberation Sans" w:hAnsi="Liberation Sans" w:cs="Liberation Sans"/>
          <w:highlight w:val="none"/>
        </w:rPr>
      </w:r>
      <w:r/>
    </w:p>
    <w:p>
      <w:pPr>
        <w:jc w:val="center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Библиотечное обслуживание осуществляется </w:t>
      </w:r>
      <w:r>
        <w:rPr>
          <w:rFonts w:ascii="Liberation Sans" w:hAnsi="Liberation Sans" w:cs="Liberation Sans"/>
          <w:iCs/>
          <w:sz w:val="28"/>
          <w:szCs w:val="28"/>
          <w:highlight w:val="none"/>
        </w:rPr>
        <w:t xml:space="preserve">МБУК Централизованная библиотечная система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(далее - МБУК ЦБС), которое включает в себя 5 общедоступных библиотек, из них 3 - в районе Южный, 1 - в районе Северный, 1 - в ра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йоне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Коротчаево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1 - в районе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Лимбяяха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роведены мероприятия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 реструктуризации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структурного по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дразделения Б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иблиотек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на Набережной </w:t>
        <w:br/>
        <w:t xml:space="preserve">(рай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он Южный).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Численность зарегистрированных пользователей в библиотеках составила 66 335 человек, из них 20 799 детей.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jc w:val="center"/>
        <w:rPr>
          <w:sz w:val="28"/>
          <w:szCs w:val="28"/>
        </w:rPr>
      </w:pPr>
      <w:r>
        <w:rPr>
          <w:rFonts w:ascii="Liberation Sans" w:hAnsi="Liberation Sans" w:eastAsia="Calibri"/>
          <w:szCs w:val="28"/>
          <w:lang w:eastAsia="ru-RU"/>
        </w:rPr>
        <w:drawing>
          <wp:inline distT="0" distB="0" distL="0" distR="0">
            <wp:extent cx="5484088" cy="1990089"/>
            <wp:effectExtent l="9525" t="9525" r="9525" b="9525"/>
            <wp:docPr id="50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  <w:r>
        <w:rPr>
          <w:sz w:val="28"/>
          <w:szCs w:val="28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количество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посещений библиотек составило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803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из них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детских библиотек - 121 452. Книговыдача составила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882 855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ед.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spacing w:after="0" w:afterAutospacing="0" w:line="240" w:lineRule="auto"/>
        <w:tabs>
          <w:tab w:val="left" w:pos="720" w:leader="none"/>
        </w:tabs>
        <w:rPr>
          <w:sz w:val="28"/>
          <w:szCs w:val="28"/>
        </w:rPr>
      </w:pPr>
      <w:r>
        <w:rPr>
          <w:rFonts w:ascii="Liberation Sans" w:hAnsi="Liberation Sans"/>
          <w:sz w:val="28"/>
          <w:szCs w:val="28"/>
        </w:rPr>
      </w:r>
      <w:r>
        <w:rPr>
          <w:sz w:val="28"/>
          <w:szCs w:val="28"/>
        </w:rPr>
      </w:r>
      <w:r/>
    </w:p>
    <w:p>
      <w:pPr>
        <w:tabs>
          <w:tab w:val="left" w:pos="720" w:leader="none"/>
        </w:tabs>
      </w:pPr>
      <w:r>
        <w:rPr>
          <w:rFonts w:ascii="Liberation Sans" w:hAnsi="Liberation Sans"/>
          <w:szCs w:val="28"/>
          <w:lang w:eastAsia="ru-RU"/>
        </w:rPr>
        <w:drawing>
          <wp:inline distT="0" distB="0" distL="0" distR="0">
            <wp:extent cx="2764177" cy="2021629"/>
            <wp:effectExtent l="4762" t="4762" r="4762" b="4762"/>
            <wp:docPr id="5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  <w:r>
        <w:rPr>
          <w:rFonts w:ascii="Liberation Sans" w:hAnsi="Liberation Sans"/>
          <w:szCs w:val="28"/>
          <w:lang w:eastAsia="ru-RU"/>
        </w:rPr>
        <w:drawing>
          <wp:inline distT="0" distB="0" distL="0" distR="0">
            <wp:extent cx="3078501" cy="2009772"/>
            <wp:effectExtent l="4762" t="4762" r="4762" b="4762"/>
            <wp:docPr id="5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  <w:r>
        <w:rPr>
          <w:rFonts w:ascii="Liberation Sans" w:hAnsi="Liberation Sans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yellow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yellow"/>
        </w:rPr>
      </w:r>
      <w:r>
        <w:rPr>
          <w:rFonts w:ascii="Liberation Sans" w:hAnsi="Liberation Sans" w:cs="Liberation Sans"/>
          <w:sz w:val="28"/>
          <w:szCs w:val="28"/>
          <w:highlight w:val="yellow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Приобретено 5 156 экз. литературы, списано 8 259 экз. периодических изданий с истекшим сроком хранения и ветхих изданий библиотечного фонда (в рамках реструктуризации библиотечной сети). Размер совокупного книжного фонда составил 224 254 экз.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(2022 год - 227 357 экз., 2021 год - 224 562 экз.).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электронный каталог библиотек внесено 231 627 ед. хранения; оцифровано 860 номеров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Новоуренгойской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городской общественно-политической газеты 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Правда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Севера», из них в 2023 году - 180.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МБУК ЦБС проведено 1 056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культурно-досуговых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офлайн-мероприятий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которые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посетили 28 022 человека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(2022 год - 970/</w:t>
        <w:br/>
        <w:t xml:space="preserve">28 874, 2021 год - 815/27 237)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Для детей проведено 503 мероприятия, их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посетили 11 702 человека. Проведено 58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онлайн-мероприятий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количество просмотров составило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6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3 038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Наиболее значимые проведенные мероприятия и достижения: 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 Мироненко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Марина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библиотекарь МБУК ЦБС, - победитель муниципального конкурса проектов «Модель здоровья» окружного межведомственного проекта «Женщины Ямала за здоровое общество» с проектом «Здоровая семья»;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Турдай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Ирина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заведующая Центральной городской библиотекой имени журнала «Смена» МБУК ЦБС, - обладатель диплома за лучший доклад </w:t>
      </w:r>
      <w:r>
        <w:rPr>
          <w:rFonts w:ascii="Liberation Sans" w:hAnsi="Liberation Sans" w:cs="Liberation Sans"/>
          <w:sz w:val="28"/>
          <w:szCs w:val="28"/>
          <w:highlight w:val="none"/>
          <w:lang w:val="en-US"/>
        </w:rPr>
        <w:t xml:space="preserve">XIII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Епархиальных Рождественских образовательных чтений «Православие и отечественная культура: потери и приобретения минувшего, образ будущего» в номинации «Православие и молодежь»;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 Никитина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Елизавета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Сафарова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Арзу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библиотекари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МБУК ЦБС,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участники культурно-познавательной п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ездки в Москву </w:t>
        <w:br/>
        <w:t xml:space="preserve">по итогам конкурсного отбора специального проекта поощрения активной молодежи в ЯНАО «Лидеры региона - 2023»; 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auto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- </w:t>
      </w:r>
      <w:r>
        <w:rPr>
          <w:rFonts w:ascii="Liberation Sans" w:hAnsi="Liberation Sans"/>
          <w:color w:val="auto"/>
          <w:sz w:val="28"/>
          <w:szCs w:val="28"/>
          <w:highlight w:val="none"/>
        </w:rPr>
        <w:t xml:space="preserve">Штепа</w:t>
      </w:r>
      <w:r>
        <w:rPr>
          <w:rFonts w:ascii="Liberation Sans" w:hAnsi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/>
          <w:color w:val="auto"/>
          <w:sz w:val="28"/>
          <w:szCs w:val="28"/>
          <w:highlight w:val="none"/>
        </w:rPr>
        <w:t xml:space="preserve">Марина</w:t>
      </w:r>
      <w:r>
        <w:rPr>
          <w:rFonts w:ascii="Liberation Sans" w:hAnsi="Liberation Sans"/>
          <w:color w:val="auto"/>
          <w:sz w:val="28"/>
          <w:szCs w:val="28"/>
          <w:highlight w:val="none"/>
        </w:rPr>
        <w:t xml:space="preserve">, </w:t>
      </w:r>
      <w:r>
        <w:rPr>
          <w:rFonts w:ascii="Liberation Sans" w:hAnsi="Liberation Sans"/>
          <w:color w:val="auto"/>
          <w:sz w:val="28"/>
          <w:szCs w:val="28"/>
        </w:rPr>
        <w:t xml:space="preserve">специалист по проектной деятельности </w:t>
      </w:r>
      <w:r>
        <w:rPr>
          <w:rFonts w:ascii="Liberation Sans" w:hAnsi="Liberation Sans" w:cs="Liberation Sans"/>
          <w:color w:val="auto"/>
          <w:sz w:val="28"/>
          <w:szCs w:val="28"/>
        </w:rPr>
        <w:t xml:space="preserve">МБУК ЦБС</w:t>
      </w:r>
      <w:r>
        <w:rPr>
          <w:rFonts w:ascii="Liberation Sans" w:hAnsi="Liberation Sans"/>
          <w:color w:val="auto"/>
          <w:sz w:val="28"/>
          <w:szCs w:val="28"/>
          <w:highlight w:val="none"/>
        </w:rPr>
        <w:t xml:space="preserve">, - обладатель </w:t>
      </w:r>
      <w:r>
        <w:rPr>
          <w:rFonts w:ascii="Liberation Sans" w:hAnsi="Liberation Sans"/>
          <w:color w:val="auto"/>
          <w:sz w:val="28"/>
          <w:szCs w:val="28"/>
          <w:highlight w:val="none"/>
        </w:rPr>
        <w:t xml:space="preserve">гранта </w:t>
      </w:r>
      <w:r>
        <w:rPr>
          <w:rFonts w:ascii="Liberation Sans" w:hAnsi="Liberation Sans"/>
          <w:color w:val="auto"/>
          <w:sz w:val="28"/>
          <w:szCs w:val="28"/>
          <w:highlight w:val="none"/>
        </w:rPr>
        <w:t xml:space="preserve">в размере 58,6 тыс. руб. по итогам участия </w:t>
        <w:br/>
        <w:t xml:space="preserve">в конкурсе </w:t>
      </w:r>
      <w:r>
        <w:rPr>
          <w:rFonts w:ascii="Liberation Sans" w:hAnsi="Liberation Sans" w:cs="Arial"/>
          <w:color w:val="auto"/>
          <w:sz w:val="28"/>
          <w:szCs w:val="28"/>
          <w:highlight w:val="none"/>
        </w:rPr>
        <w:t xml:space="preserve">Российского движения детей и молодежи «Движение первых»</w:t>
      </w:r>
      <w:r>
        <w:rPr>
          <w:rFonts w:ascii="Liberation Sans" w:hAnsi="Liberation Sans"/>
          <w:color w:val="auto"/>
          <w:sz w:val="28"/>
          <w:szCs w:val="28"/>
          <w:highlight w:val="none"/>
        </w:rPr>
        <w:t xml:space="preserve"> в ЯНАО на реализацию проекта «</w:t>
      </w:r>
      <w:r>
        <w:rPr>
          <w:rFonts w:ascii="Liberation Sans" w:hAnsi="Liberation Sans"/>
          <w:color w:val="auto"/>
          <w:sz w:val="28"/>
          <w:szCs w:val="28"/>
          <w:highlight w:val="none"/>
        </w:rPr>
        <w:t xml:space="preserve">КиноЗОЖ</w:t>
      </w:r>
      <w:r>
        <w:rPr>
          <w:rFonts w:ascii="Liberation Sans" w:hAnsi="Liberation Sans"/>
          <w:color w:val="auto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14:ligatures w14:val="none"/>
        </w:rPr>
        <w:t xml:space="preserve">;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Центральная городская библиотека имени журнала «Смена» - победитель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федерального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проекта «Точки притяжения» в рейтинг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по ЯНАО.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Библиотека получила знак качества «Одобрено молодежью» </w:t>
        <w:br/>
        <w:t xml:space="preserve">и отражена на интерактивной карте лучших молодежных пространств на сайте точки-</w:t>
      </w:r>
      <w:r>
        <w:rPr>
          <w:rFonts w:ascii="Liberation Sans" w:hAnsi="Liberation Sans" w:cs="Liberation Sans"/>
          <w:sz w:val="28"/>
          <w:szCs w:val="28"/>
          <w:highlight w:val="none"/>
        </w:rPr>
        <w:fldChar w:fldCharType="begin"/>
      </w:r>
      <w:r>
        <w:rPr>
          <w:rFonts w:ascii="Liberation Sans" w:hAnsi="Liberation Sans" w:cs="Liberation Sans"/>
          <w:sz w:val="28"/>
          <w:szCs w:val="28"/>
          <w:highlight w:val="none"/>
        </w:rPr>
        <w:instrText xml:space="preserve">HYPERLINK "https://vk.com/away.php?to=http%3A%2F%2F%EF%F0%E8%F2%FF%E6%E5%ED%E8%FF.%F0%F4&amp;post=-103293846_10044&amp;cc_key=" \t "_blank"</w:instrText>
      </w:r>
      <w:r>
        <w:rPr>
          <w:rFonts w:ascii="Liberation Sans" w:hAnsi="Liberation Sans" w:cs="Liberation Sans"/>
          <w:sz w:val="28"/>
          <w:szCs w:val="28"/>
          <w:highlight w:val="none"/>
        </w:rPr>
        <w:fldChar w:fldCharType="separate"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притяжения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ф</w:t>
      </w:r>
      <w:r>
        <w:rPr>
          <w:rFonts w:ascii="Liberation Sans" w:hAnsi="Liberation Sans" w:cs="Liberation Sans"/>
          <w:sz w:val="28"/>
          <w:szCs w:val="28"/>
          <w:highlight w:val="none"/>
        </w:rPr>
        <w:fldChar w:fldCharType="end"/>
      </w:r>
      <w:r>
        <w:rPr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также вошла в список финалистов Всероссийского конкурса по выявлению лучших практик формирования и продвижения фондов библиотек «Золотая полка».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9 -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13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октября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2023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года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впервые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городе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Новый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Уренгой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состоялся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lang w:val="en-US"/>
        </w:rPr>
        <w:t xml:space="preserve">V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Окружной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фестиваль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мальской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книги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который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посетили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молодые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библиотекари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писатели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всех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муниципальных и городских округов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автономного округа.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 рамках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ф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естиваля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для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участников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организованы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творческие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встречи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с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российскими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писателями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Ульяной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Черкасовой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Ниной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Дашевской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Романом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Кругловым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Джеком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Гельб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Тиной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Крейн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также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лекция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аталь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Кондратюк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созданию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комиксов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Охват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более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lang w:val="ru-RU"/>
        </w:rPr>
        <w:t xml:space="preserve">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тыс.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человек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рамках регионального проекта «Творческие люди»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национальный проект «Культура)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6 специалистов МБУК ЦБС прошли курсы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повышения квалификации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 6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программам</w:t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 базе творческих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вуз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ов Российской Федерации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городах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Челяби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нск,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Краснодар,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Пермь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0"/>
        <w:jc w:val="center"/>
        <w:spacing w:after="0" w:line="240" w:lineRule="auto"/>
        <w:widowControl w:val="off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b/>
          <w:sz w:val="28"/>
          <w:szCs w:val="28"/>
          <w:highlight w:val="none"/>
        </w:rPr>
        <w:t xml:space="preserve">Развитие местного традиционного</w:t>
      </w:r>
      <w:r>
        <w:rPr>
          <w:rFonts w:ascii="Liberation Sans" w:hAnsi="Liberation Sans" w:cs="Liberation Sans"/>
          <w:b/>
          <w:sz w:val="28"/>
          <w:szCs w:val="28"/>
          <w:highlight w:val="none"/>
        </w:rPr>
        <w:t xml:space="preserve"> народного </w:t>
        <w:br/>
        <w:t xml:space="preserve">художественного творчества (музейное дело)</w:t>
      </w:r>
      <w:bookmarkEnd w:id="0"/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муниципальном образовании функционирует один общедоступный муниципальный музей - МБУК 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Новоуренгойский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городской музей изобразительных искусств» (далее - МБУК НГМИИ).  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музеем п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роведено 119 выставок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из них: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39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выставок в музее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40 285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посетителей);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выездная выставка (96 800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посетителей);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 59 виртуальных выставок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на сайте музея (15 750 посещений).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1"/>
        <w:spacing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b/>
          <w:bCs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0" w:right="0" w:firstLine="0"/>
      </w:pPr>
      <w:r>
        <w:rPr>
          <w:rFonts w:ascii="Liberation Serif" w:hAnsi="Liberation Serif" w:cs="Liberation Serif"/>
          <w:szCs w:val="28"/>
          <w:lang w:eastAsia="ru-RU"/>
        </w:rPr>
      </w:r>
      <w:r>
        <w:rPr>
          <w:rFonts w:ascii="Liberation Serif" w:hAnsi="Liberation Serif" w:cs="Liberation Serif"/>
          <w:szCs w:val="28"/>
          <w:lang w:eastAsia="ru-RU"/>
        </w:rPr>
        <w:drawing>
          <wp:inline distT="0" distB="0" distL="0" distR="0">
            <wp:extent cx="5643267" cy="2210413"/>
            <wp:effectExtent l="4762" t="4762" r="4762" b="4762"/>
            <wp:docPr id="5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  <w:r>
        <w:rPr>
          <w:rFonts w:ascii="Liberation Sans" w:hAnsi="Liberation Sans"/>
          <w:b/>
          <w:bCs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Проведено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610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экскурсий по выставкам, которые посетили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12 137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 человек.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Количество индивидуальных посещений составило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18 910.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Организовано 347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мероприятий (мастер-классы, лекции и пр.), которые посетили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9 238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человек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121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арт-занятие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посетили </w:t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1 15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6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человек,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также 1 занятие было проведено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онлайн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количество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просмо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тров составило 67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60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онлайн-мероприятий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музея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посмотрели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более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16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тыс. раз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1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  <w:highlight w:val="none"/>
        </w:rPr>
      </w:r>
      <w:bookmarkEnd w:id="0"/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</w:pPr>
      <w:r>
        <w:rPr>
          <w:rFonts w:ascii="Liberation Sans" w:hAnsi="Liberation Sans"/>
          <w:szCs w:val="28"/>
          <w:lang w:eastAsia="ru-RU"/>
        </w:rPr>
        <w:drawing>
          <wp:inline distT="0" distB="0" distL="0" distR="0">
            <wp:extent cx="4638673" cy="1962149"/>
            <wp:effectExtent l="0" t="0" r="0" b="0"/>
            <wp:docPr id="5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  <w:r>
        <w:rPr>
          <w:rFonts w:ascii="Liberation Sans" w:hAnsi="Liberation Sans"/>
          <w:spacing w:val="-1"/>
          <w:szCs w:val="28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отчетном году наибольшее внимание населения привлекли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выставк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«Крепость»,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посвященная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обороне Брестской крепости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выставка 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Дыхание Севера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Индт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Нгэрм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», выставка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ворческ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ой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резиденци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ArtBombing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«Ультрафиолет»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выставка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Оживающие легенды», выставка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Добрая пчела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реализован масштабный проект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«Реконструкция события «50 лет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Уренгойскому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санно-тракторному десанту» (далее – Реконструкция). 09.11.2023 в ГДК «Октябрь» организован показ спектакля «Новые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зимогоры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Ноябрьского городского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еатра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МАУК «Городской Дворец культуры и кино «Русь»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10.12.2023 дан торжественный старт Реконструкции из п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ос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Пангоды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Надымского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района и торжественная встреча в г. Новый Уренгой. Организованы выставка «Десант»,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концертная программа с участием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  <w:t xml:space="preserve"> групп «Самоцветы» и «Цветы» (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  <w:t xml:space="preserve">г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  <w:t xml:space="preserve">. Москва). По итогам мероприятий снят документальный фильм. Охват - около 4 тыс. человек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  <w:t xml:space="preserve">20 мая 2023 года МБУК НГМИИ присоединилось к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  <w:t xml:space="preserve">Всероссийской акции «Ночь музеев». Впервые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  <w:t xml:space="preserve">в акции принял участие </w:t>
      </w:r>
      <w:r>
        <w:rPr>
          <w:rFonts w:ascii="Liberation Sans" w:hAnsi="Liberation Sans" w:eastAsia="Liberation Sans" w:cs="Liberation Sans"/>
          <w:b w:val="0"/>
          <w:bCs w:val="0"/>
          <w:color w:val="000000"/>
          <w:sz w:val="28"/>
          <w:szCs w:val="28"/>
          <w:highlight w:val="none"/>
        </w:rPr>
        <w:t xml:space="preserve">Аэропорт Новый Уренгой имени И.М. Губкина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14:ligatures w14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путем организации выставки 17 ед. специализированной техники и экскурсии для преподавателей города в рамках Года педагога и наставника. В рамках акции впервые запущен ночной экскурсионный автобус. 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МБУК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НГМИИ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организованы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выставки, мастер-классы,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арт-занятия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 лекции.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Охват - более </w:t>
        <w:br/>
        <w:t xml:space="preserve">1 тыс. человек.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Продолжена работа мини-музея 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Луврик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 в МАДОУ ДС 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Виниклюзия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организовано 4 выставки: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«Новогоднее путешествие», «В тундре», выставка работ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новоуренгойского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художника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Юнкеровой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Л.М. «Вальс цветов», выставка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«Мой удивительный город»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посвященная истории город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а.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рамках регионального проекта «Творческие люди»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национальный проект «Культура)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 специалист МБУК НГМИИ прошел обучение на курсах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повышения квалификации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по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программе: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«Музейная педагогика на современном этапе»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на базе творческого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вуз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 Российской Федерации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Краснодар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Наиболее значимые достижения: 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Солошенко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Ксения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специалист МБУК НГМИИ, 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лауреат </w:t>
        <w:br/>
        <w:t xml:space="preserve">III степени 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кружного конкурса профессионального мастерства «Лучший экскурсовод»;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Бирюкова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Инна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специалист МБУК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НГМИИ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- обладатель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специального приза конкурса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профессионального мастерства «Лучший экскурсовод»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- дипломом 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За проявленное творчество и любовь </w:t>
        <w:br/>
        <w:t xml:space="preserve">к родному краю».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/>
      <w:bookmarkStart w:id="58" w:name="_Toc58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sz w:val="28"/>
          <w:szCs w:val="28"/>
        </w:rPr>
        <w:t xml:space="preserve"> </w:t>
      </w:r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Ф</w:t>
      </w:r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изическ</w:t>
      </w:r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ая</w:t>
      </w:r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 культур</w:t>
      </w:r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а</w:t>
      </w:r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 и массов</w:t>
      </w:r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ый</w:t>
      </w:r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 спорт</w:t>
      </w:r>
      <w:bookmarkEnd w:id="0"/>
      <w:r/>
      <w:bookmarkEnd w:id="58"/>
      <w:r>
        <w:rPr>
          <w:rFonts w:ascii="Liberation Sans" w:hAnsi="Liberation Sans" w:cs="Liberation Sans"/>
          <w:sz w:val="28"/>
          <w:szCs w:val="28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yellow"/>
        </w:rPr>
      </w:pPr>
      <w:r>
        <w:rPr>
          <w:rFonts w:ascii="Liberation Sans" w:hAnsi="Liberation Sans" w:cs="Liberation Sans"/>
          <w:sz w:val="28"/>
          <w:szCs w:val="28"/>
          <w:highlight w:val="yellow"/>
        </w:rPr>
      </w:r>
      <w:r>
        <w:rPr>
          <w:rFonts w:ascii="Liberation Sans" w:hAnsi="Liberation Sans" w:cs="Liberation Sans"/>
          <w:sz w:val="28"/>
          <w:szCs w:val="28"/>
          <w:highlight w:val="yellow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В сфере физической культуры и спорта функционирует 2 муниципальных учреждения: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МАУ «Дворец спорта «Звездный» (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далее - МАУ «ДС «Звездный»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), МАУ «Центр развития физической культуры и спорта»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В сентябре 2023 года в целях реализации требований Федерального закона от 30.04.2021 № 127-ФЗ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(ред. от 17.02.2023) </w:t>
        <w:br/>
        <w:t xml:space="preserve">«О внесении изменений в Федеральный закон «О физической культуре и спорте в Российско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й Федерации» и Федеральный закон </w:t>
        <w:br/>
        <w:t xml:space="preserve">«Об образовании в Российской Федерации»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завершен процесс перехода 6 муни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ципальных спортивных школ, из них 2 учреждений дополнительного образования (ДЮСШ)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на реализацию дополнительных общеобразовательных программ (дополнительных образовательных программ спортивной подготовки по видам спорта и общеразвивающих программ в области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в области физической культуры и спорта)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. Утверждены новые редакции уставов муниципальных спортивных школ.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Для занятий спортом организована работа 340 спортивных сооружений: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- 95 спортивных залов площадью 42 062 кв. м;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- 47 плоскостных сооружений площадью 34 004 кв. м;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- 23 плавательных бассейн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а (площадью зеркала воды </w:t>
        <w:br/>
        <w:t xml:space="preserve">2 436 кв. м), из которых 7 ед. 25-метровых бассейнов;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- 13 лыжных баз; 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- 8 стрелковых тиров;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- 4 крытых спортивных объекта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с искусственным льдом;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- 126 иных спортивных сооружений - приспособленны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х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нежилы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х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помещени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й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под тренажерные залы, залы для занятий хореографией, ритмикой;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- 24 объект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а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городской и рекреационной инфраструктуры, из них 9 универсальных игровых площадок, 9 уличных площадок </w:t>
        <w:br/>
        <w:t xml:space="preserve">с тренажерами, 4 сезонных катка, 1 дистанция (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велодорожка), 1 спот (плаза начального уровня).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jc w:val="center"/>
        <w:spacing w:line="240" w:lineRule="auto"/>
        <w:rPr>
          <w:highlight w:val="none"/>
        </w:rPr>
      </w:pPr>
      <w:r>
        <w:rPr>
          <w:rFonts w:ascii="Liberation Sans" w:hAnsi="Liberation Sans" w:eastAsia="Calibri" w:cs="Liberation Sans"/>
          <w:bCs/>
          <w:szCs w:val="28"/>
          <w:highlight w:val="none"/>
          <w:lang w:eastAsia="ru-RU"/>
        </w:rPr>
        <w:drawing>
          <wp:inline distT="0" distB="0" distL="0" distR="0">
            <wp:extent cx="4095748" cy="1419224"/>
            <wp:effectExtent l="0" t="0" r="0" b="0"/>
            <wp:docPr id="5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  <w:r>
        <w:rPr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В 2023 году в эксплуатацию введен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9 спортивных сооружений различного типа с ЕПС 241 человек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(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из них в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МБОУ «Арктический лицей»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2 спортивных зала общей площадью 1 257 кв. м,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плавательный бассейн 25 м,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лыжная трасса,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универсальная игровая площадка,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площадка с тренажерами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; на многофункциональной площадке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«Аллея моей мечты» в районе Лимбяяха (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лыжероллерная трасса,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универсальная игровая площадка,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площадка с тре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нажерами). 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Е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диновременная пропускная способность спортивных сооружений (далее - ЕПС) увеличилась на 2,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7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% и составила </w:t>
        <w:br/>
        <w:t xml:space="preserve">9 208 человек (2022 год - 8 967 человек).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Продолжена работа по вовлечению жителей города в занятия физической культурой и спортом. Численность населения,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систематически зани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мающегося физической культурой и спортом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 составила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70 108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человек или 68,5% от общего числа жителей </w:t>
        <w:br/>
        <w:t xml:space="preserve">в возрасте от 3 до 79 лет, из них: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 дети и молодежь в возрасте от 3 до 29 лет - 34 87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3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человека (96,2%);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 граждане среднего возраста (женщины от 30 до 54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лет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 мужчины от 30 до 59 лет) - 32 615 человек (63,3%);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 граждане старшего возраста (женщины от 55 до 79 лет, мужчины от 60 до 79 лет) - 2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620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человек (18%).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8"/>
        <w:spacing w:after="0" w:afterAutospacing="0" w:line="240" w:lineRule="auto"/>
        <w:rPr>
          <w:rFonts w:ascii="Liberation Sans" w:hAnsi="Liberation Sans" w:cs="Liberation Sans"/>
          <w:sz w:val="28"/>
          <w:szCs w:val="36"/>
          <w:highlight w:val="none"/>
        </w:rPr>
      </w:pPr>
      <w:r>
        <w:rPr>
          <w:rFonts w:ascii="Liberation Sans" w:hAnsi="Liberation Sans" w:eastAsia="Calibri" w:cs="Liberation Sans"/>
          <w:sz w:val="28"/>
          <w:szCs w:val="36"/>
          <w:highlight w:val="none"/>
        </w:rPr>
      </w:r>
      <w:r>
        <w:rPr>
          <w:rFonts w:ascii="Liberation Sans" w:hAnsi="Liberation Sans" w:cs="Liberation Sans"/>
          <w:sz w:val="28"/>
          <w:szCs w:val="36"/>
          <w:highlight w:val="none"/>
        </w:rPr>
      </w:r>
      <w:r/>
    </w:p>
    <w:p>
      <w:pPr>
        <w:pStyle w:val="1122"/>
        <w:ind w:left="0"/>
        <w:jc w:val="center"/>
        <w:spacing w:line="0" w:lineRule="atLeast"/>
        <w:rPr>
          <w:highlight w:val="yellow"/>
        </w:rPr>
      </w:pPr>
      <w:r>
        <w:rPr>
          <w:rFonts w:ascii="Liberation Sans" w:hAnsi="Liberation Sans" w:eastAsia="Calibri" w:cs="Liberation Sans"/>
          <w:bCs/>
          <w:sz w:val="28"/>
          <w:szCs w:val="28"/>
          <w:highlight w:val="yellow"/>
          <w:shd w:val="clear" w:color="cf93db" w:fill="cf93db"/>
        </w:rPr>
        <w:drawing>
          <wp:inline distT="0" distB="0" distL="0" distR="0">
            <wp:extent cx="5808614" cy="2464674"/>
            <wp:effectExtent l="0" t="0" r="0" b="0"/>
            <wp:docPr id="5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  <w:r>
        <w:rPr>
          <w:highlight w:val="yellow"/>
        </w:rPr>
      </w:r>
      <w:r/>
    </w:p>
    <w:p>
      <w:pPr>
        <w:ind w:firstLine="709"/>
        <w:spacing w:after="0" w:afterAutospacing="0" w:line="240" w:lineRule="auto"/>
        <w:rPr>
          <w:sz w:val="28"/>
          <w:szCs w:val="28"/>
          <w:highlight w:val="yellow"/>
        </w:rPr>
      </w:pPr>
      <w:r>
        <w:rPr>
          <w:sz w:val="28"/>
          <w:szCs w:val="36"/>
          <w:highlight w:val="yellow"/>
        </w:rPr>
      </w:r>
      <w:r>
        <w:rPr>
          <w:sz w:val="28"/>
          <w:szCs w:val="28"/>
          <w:highlight w:val="yellow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На территории муниципального образования организовано </w:t>
        <w:br/>
        <w:t xml:space="preserve">и проведено 1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033 физкультурно-спортивных мероприятий </w:t>
        <w:br/>
        <w:t xml:space="preserve">и соревнований, включая соревнования регионального </w:t>
        <w:br/>
        <w:t xml:space="preserve">и всероссийского уровня, численность участников составила </w:t>
        <w:br/>
        <w:t xml:space="preserve">56 595 человек. 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spacing w:after="0" w:afterAutospacing="0" w:line="240" w:lineRule="auto"/>
        <w:rPr>
          <w:sz w:val="28"/>
          <w:szCs w:val="28"/>
          <w:highlight w:val="none"/>
        </w:rPr>
      </w:pPr>
      <w:r>
        <w:rPr>
          <w:rFonts w:ascii="Liberation Sans" w:hAnsi="Liberation Sans" w:cs="Liberation Sans"/>
          <w:bCs/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/>
    </w:p>
    <w:p>
      <w:pPr>
        <w:jc w:val="center"/>
        <w:rPr>
          <w:highlight w:val="yellow"/>
        </w:rPr>
      </w:pPr>
      <w:r>
        <w:rPr>
          <w:rFonts w:ascii="Liberation Sans" w:hAnsi="Liberation Sans" w:cs="Liberation Sans"/>
          <w:szCs w:val="28"/>
          <w:highlight w:val="none"/>
          <w:lang w:eastAsia="ru-RU"/>
        </w:rPr>
        <w:drawing>
          <wp:inline distT="0" distB="0" distL="0" distR="0">
            <wp:extent cx="5273917" cy="2555912"/>
            <wp:effectExtent l="4762" t="4762" r="4762" b="4762"/>
            <wp:docPr id="57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  <w:r>
        <w:rPr>
          <w:highlight w:val="yellow"/>
        </w:rPr>
      </w:r>
      <w:r/>
    </w:p>
    <w:p>
      <w:pPr>
        <w:pStyle w:val="1151"/>
        <w:ind w:firstLine="709"/>
        <w:spacing w:before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В рамках муниципальных спартакиад ср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е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ди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различных групп населения (трудящиеся, пожилые, люди с ограниченными возможностями здоровья, дети, молодежь), параспартакиады </w:t>
        <w:br/>
        <w:t xml:space="preserve">и президентских состязаний среди школьников организованно </w:t>
        <w:br/>
        <w:t xml:space="preserve">и проведено 82 соревнования, в которых приняли участие </w:t>
        <w:br/>
        <w:t xml:space="preserve">3 860 человек.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Организовано и проведено 129 соревнований всероссийского, регионального и межрегионального уровня (туры чемпионата России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br/>
        <w:t xml:space="preserve">по волейболу,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чемпионат России по тяжелой атлетике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 первенства России по мини-футболу, чемпионат по снегоходному спорту, первенства Ямало-Ненецкого автономного округа, Уральского федерального округа по различн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ым видам спорта), в которых принял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и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участие 13 473 спортсмена, в том числе: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>
        <w:rPr>
          <w:highlight w:val="none"/>
        </w:rPr>
      </w:r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- 13 - 16 февраля 2023 года в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МАУ «ДС «Звездный»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проведен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р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егиональный этап Всероссийского чемпионата школьной баскетбольной лиги «КЭС-БАСКЕТ» в Ямало-Ненецком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а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вт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номном округе среди команд общеобразовательных организаций сезона </w:t>
        <w:br/>
        <w:t xml:space="preserve">2022-2023 годов. В соревнованиях приняли участие 100 спортсменов </w:t>
        <w:br/>
        <w:t xml:space="preserve">из городов Новый Уренгой, Губкинский, Ноябрьск, Надым, а также </w:t>
        <w:br/>
        <w:t xml:space="preserve">из Приуральского и Тазовского районов. Победителями стали: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среди девушек: 1 место - МБОУ «СШ № 1»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г. Новый Уренгой, 2 место - МОУ «Гимназия г. Надыма», 3 место - МБОУ «СОШ № 6»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г. Ноябрьск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;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среди юношей: 1 место - МАОУ СОШ № 3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г. Новый Уренгой, 2 место - МБОУ СОШ № 3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г. Ноябрьск, 3 место - МБОУ Тазовская средняя образовательная школа;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 в марте 2023 года проведен традиционный Арктический благотворительный турнир по волейболу «Кубок Губернатора Ямала – 2023». Участие приняли 32 любительские волейбольные команды администраций городов и районов,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учреждений и организаций, политических и общественных объеди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нений округа. Победителями стали: 1 место - коман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да ООО «Газпром добыча Ямбург», 2 место - команда г. Ноябрьска, 3 место -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команда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Тазовск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ого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район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а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;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7 - 9 апреля 2023 года на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многофункциональной площадке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«Виадук» проведен финал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Кубка России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по волейболу на снегу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. </w:t>
        <w:br/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В соревнованиях приняли участие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команды мужчин и женщин </w:t>
        <w:br/>
        <w:t xml:space="preserve">из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Московской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и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Калининградской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обл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астей,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городов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Санкт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Петербург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 </w:t>
        <w:br/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Казань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Брянск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Анапа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Новый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Уренгой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.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Победителями стали: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среди женщин: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1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место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- «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Локомотив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СШОР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г.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Калининград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2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мест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 - «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Спартак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г.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Брянск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3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место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- «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Заречье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г.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Одинцово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Московская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обл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;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среди мужчин: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1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место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- «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Факел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1»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г.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Новый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Уренгой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2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место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- «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Факел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2»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г.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Новый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Уренгой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 3 место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 «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Зенит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г.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Санкт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Петербург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;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ab/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9 - 13 июня 2023 года в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МАУ «ДС «Звездный»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проведено масштабное соревнование среди тяжёлоатлетов - чемпи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онат России по тяжелой атлетике. Приняли участие более 250 спортсменов со всей страны. В эти же дни прошел Кубок Федерации, его участниками стали спортсмены из России, Беларуси, Узбе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кист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ана, Абхазии и Ирана. </w:t>
        <w:br/>
        <w:t xml:space="preserve">На чемпионате установлены новые рекорды Росс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ии: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Исмаил Гаджибеков из Республики Дагестан в в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есовой категории 55 кг стал рекордсменом в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рывке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- 112 кг и сумме двоеборья - 237 кг;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Роман Чепик из г. Москвы в весовой категории 89 кг установил рекорд в двух упражнениях -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рывке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на 168 кг и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толчке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на 197 кг;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Яна Сотиева </w:t>
        <w:br/>
        <w:t xml:space="preserve">из Нижегородской области в весовой категории 81 кг стала чемпионкой России, установив новый рекорд в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рывке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- 116 кг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;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11 - 18 сентября 2023 года в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МАУ «ДС «Звездный»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проведен Арктический международный детский турнир по волейболу «Кубок Губернатора Ямала - 2023». В турнире приняли участие 6 кома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нд юношей и 6 команд девушек из Москвы, ХМАО - Югры, ЯНАО,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Калининградской, Нижегородской и Вологодской областей, Р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еспублики Беларусь и Болгарии.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Победителями стали: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среди девушек: 1 место -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команда из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Вологодской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области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 2 место -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команда из Республики Болгария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 3 место -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команда из г. Москва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;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среди юношей: 1 место -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команда из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Нижегородской области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 2 место -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команда из ЯНАО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 </w:t>
        <w:br/>
        <w:t xml:space="preserve">3 место -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команда из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Р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еспублики Беларусь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;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- 21 - 23 декабря 2023 года в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МАУ «ДС «Звездный»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проведен Международный фестиваль бокса в Ямало-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Н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енецком автономном округе – «Северный характер». В соревнованиях приняли участие с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борные команды Донецкой и Луганской Народных Республик, сборные Республики Беларусь и Кыргы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зстана. По итогам соревнований 1 место заняла сборная команда ЯНАО, 2 место - сборная команда Республики Беларусь, 3 место – сборная команда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Р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еспублики Кыргызстан.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Численность лиц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с ограниченными возможностями здоровья </w:t>
        <w:br/>
        <w:t xml:space="preserve">и инвалидов, систематически занимающихся физической культурой </w:t>
        <w:br/>
        <w:t xml:space="preserve">и спортом,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по состоянию на 31.12.2023 составила 785 человек </w:t>
        <w:br/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или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46,8%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от общей численности данной категории.</w:t>
      </w:r>
      <w:r>
        <w:rPr>
          <w:rFonts w:ascii="Liberation Sans" w:hAnsi="Liberation Sans" w:cs="Liberation Sans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Новоуренгойские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спортсмены с ограниченными возможностями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здоровья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показали высокие спортивные достижения на соревнованиях различного уровня:</w:t>
      </w:r>
      <w:r>
        <w:rPr>
          <w:rFonts w:ascii="Liberation Sans" w:hAnsi="Liberation Sans" w:cs="Liberation Sans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 Подшивалов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Кирилл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и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Лукьянчук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Анна, спортсмены МАУ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«ДС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«Звездный», - бронзовые призёры Кубка России по танцам </w:t>
        <w:br/>
        <w:t xml:space="preserve">на колясках;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Лукьянчук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Анна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Подшивалов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Кирилл,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Кудряшов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Кирилл </w:t>
        <w:br/>
        <w:t xml:space="preserve">и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Киричук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Анастасия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спортсмены МАУ «ДС «Звездный»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победители и призёры чемпионата Урала по танцам на колясках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;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 сборная команда города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Новый Уренгой -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победители </w:t>
        <w:br/>
        <w:t xml:space="preserve">и призёры соревнований по настольному теннису, дартс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у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 бочча, шахматам, пулевой стрельбе в рамках Параспартакиады Ямало-Ненецкого автономного округа (18 лет и старше)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По итогам соревнований различного уровня 2 476 спортсменов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br/>
        <w:t xml:space="preserve">в 2023 году показали высокие спортивные результаты, из них: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 Истомин Артём, спортсмен ООО «Газпром добыча Уренгой»,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двукратный чемпион России по бильярду;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 Захаров  Александр, спортсмен спортивно-технического клуба «Факел»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 -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побед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и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тель Всероссийских соревнований по аквабайку </w:t>
        <w:br/>
        <w:t xml:space="preserve">в классе «Ski Division GP3 junior», победитель 2-го этапа Кубка России по водно-моторному спорту «аквабайк», абсолютный чемпион Кубка Поволжья по аквабайку в классе «SKI DIVISION JUNIOR GP3.3»,  абсолютный чемп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ион Кубка России по водно-моторному спорту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«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аквабайк-ски дивижн GP3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и Кубка ФВМС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«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аквабайк-ски дивижин GP3 слалом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 победитель первенства России и ВФМСР по водно-моторному спорту в дисциплинах «Аквабайк-ски дивижин GP3» и «Аквабайк-ски дивижин GP3 слалом»;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 Сидоренко Александр, спортсмен спортивно-стрелкового клуба «Ямбург»,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серебряный призёр первенства России по пулевой стрельбе;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 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Корепанова Марина, спортсмен - ветеран ООО «Газпром добыча Ямбург»,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чемпионка международного турнира по теннису категории МТ700 HUNGARIAN INDOOR CHAMPIONSHIP в женском одиночном разряде;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 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Демиденко Евгений, спортсмен ООО «Газпром добыча Уренгой»,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серебряный призер международных соревнований </w:t>
        <w:br/>
        <w:t xml:space="preserve">по дартс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у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;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 Боронников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Анатолий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 спортсмен ООО «Газпром добыча Уренгой», -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бронзовый призер чемпионата мира по киокусинкай среди ветеранов; 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 Павлов Константин, спортсмен - ветеран МАУ «ДС «Звездный», - победитель первенства России по пауэ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р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лифтингу среди ветеранов, установил два рекорда России среди ветеранов по жиму штанги лёжа с результатом 158 и 162 кг, обладатель 2 золотых медалей </w:t>
        <w:br/>
        <w:t xml:space="preserve">в экипировочном и классическом дивизионе на Всероссийских соревнованиях по пауэрлифтингу среди ветеранов; 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 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Павин Дмитрий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, президент РОО «Федерация армрестлинга ЯНАО», -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победитель Кубка России по армрестлингу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;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 спортсмены спортивного клуба «Викинг», Федерации рукопашного боя, - победители и призёры Открытого турнира </w:t>
        <w:br/>
        <w:t xml:space="preserve">по бразильскому джиу-джитсу «Ugra Open 2023»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;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 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команды филиала ПАО «Газпром» Северо-Уральское межрегиональное управление охраны ПАО «Газпром» в Новом Уренгое и ООО «Газпром добыча Уренгой» -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победители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</w:t>
        <w:br/>
        <w:t xml:space="preserve">VII Всероссийской Спартакиад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ы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среди трудящихся, посвященной </w:t>
        <w:br/>
        <w:t xml:space="preserve">100 -летию образования государственного органа управления в сфере физической культуры и спорта Российской Федерации;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сборная команда города Новый Уренгой - бронзовые призеры Спартакиады пенсионеров Ямала - зона «Восток»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В рамках Всероссийского физкультурно-спортивного комплекса «Готов к труду и обороне» (далее - ГТО) проведено 104 мероприятия, в которых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приняли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участие 5 219 человек (2022 год – 92/2 722),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в том числе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3 301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обучающийся общеобразовательных организаций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.</w:t>
      </w:r>
      <w:r>
        <w:rPr>
          <w:rFonts w:ascii="Liberation Sans" w:hAnsi="Liberation Sans" w:cs="Liberation Sans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Численно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сть граждан, выполнивших нормативы комплекса ГТО по итогам 2023 года, составила 4 144 человека (2022 год - 1 493), </w:t>
        <w:br/>
        <w:t xml:space="preserve">из них: на золотой знак отличия - 1 729 человек, серебряный – </w:t>
        <w:br/>
        <w:t xml:space="preserve">1 196 человек, бронзовый - 1 219 человек.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Доля граждан, выполнивших нормативы ГТО, в общей численности принявших участие в их сдаче, составила 79,4%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.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rPr>
          <w:rFonts w:ascii="Liberation Sans" w:hAnsi="Liberation Sans" w:cs="Liberation Sans"/>
          <w:sz w:val="28"/>
          <w:szCs w:val="28"/>
          <w:highlight w:val="yellow"/>
        </w:rPr>
      </w:pPr>
      <w:r>
        <w:rPr>
          <w:rFonts w:ascii="Liberation Sans" w:hAnsi="Liberation Sans" w:cs="Liberation Sans"/>
          <w:sz w:val="28"/>
          <w:szCs w:val="36"/>
          <w:highlight w:val="yellow"/>
        </w:rPr>
      </w:r>
      <w:r>
        <w:rPr>
          <w:rFonts w:ascii="Liberation Sans" w:hAnsi="Liberation Sans" w:cs="Liberation Sans"/>
          <w:sz w:val="28"/>
          <w:szCs w:val="28"/>
          <w:highlight w:val="yellow"/>
        </w:rPr>
      </w:r>
      <w:r/>
    </w:p>
    <w:p>
      <w:pPr>
        <w:jc w:val="center"/>
        <w:spacing w:after="0" w:afterAutospacing="0" w:line="240" w:lineRule="auto"/>
        <w:rPr>
          <w:highlight w:val="yellow"/>
        </w:rPr>
      </w:pPr>
      <w:r>
        <w:rPr>
          <w:rFonts w:ascii="Liberation Sans" w:hAnsi="Liberation Sans" w:cs="Liberation Sans"/>
          <w:szCs w:val="28"/>
          <w:highlight w:val="yellow"/>
          <w:lang w:eastAsia="ru-RU"/>
        </w:rPr>
        <w:drawing>
          <wp:inline distT="0" distB="0" distL="0" distR="0">
            <wp:extent cx="5918833" cy="2185668"/>
            <wp:effectExtent l="19050" t="19050" r="6350" b="5715"/>
            <wp:docPr id="5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  <w:r>
        <w:rPr>
          <w:highlight w:val="yellow"/>
        </w:rPr>
      </w:r>
      <w:r/>
    </w:p>
    <w:p>
      <w:pPr>
        <w:ind w:firstLine="709"/>
        <w:spacing w:after="0" w:afterAutospacing="0" w:line="240" w:lineRule="auto"/>
        <w:tabs>
          <w:tab w:val="center" w:pos="4677" w:leader="none"/>
          <w:tab w:val="right" w:pos="9355" w:leader="none"/>
        </w:tabs>
        <w:rPr>
          <w:rFonts w:ascii="Liberation Sans" w:hAnsi="Liberation Sans" w:cs="Liberation Sans"/>
          <w:sz w:val="28"/>
          <w:szCs w:val="28"/>
          <w:highlight w:val="yellow"/>
        </w:rPr>
      </w:pPr>
      <w:r>
        <w:rPr>
          <w:rFonts w:ascii="Liberation Sans" w:hAnsi="Liberation Sans" w:cs="Liberation Sans"/>
          <w:szCs w:val="28"/>
          <w:highlight w:val="yellow"/>
        </w:rPr>
      </w:r>
      <w:r>
        <w:rPr>
          <w:rFonts w:ascii="Liberation Sans" w:hAnsi="Liberation Sans" w:cs="Liberation Sans"/>
          <w:sz w:val="28"/>
          <w:szCs w:val="28"/>
          <w:highlight w:val="yellow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В 2023 году 1 541 человек повысили спортивное мастерство, </w:t>
        <w:br/>
        <w:t xml:space="preserve">из них: масте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р спорта международного класса - 1 человек (бокс), мастер спорта России - 4 человека (прыжки на батуте, спортивная борьба), кандидат в мастера спорта - 81 человек, первый разряд - </w:t>
        <w:br/>
        <w:t xml:space="preserve">100 спортсменов.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Квалификационные категории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спортивных судей повысили 139 специалистов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.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81 работнику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спортивных учреждений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вручены ведомственные награды в области спорта.</w:t>
      </w:r>
      <w:r>
        <w:rPr>
          <w:rFonts w:ascii="Liberation Sans" w:hAnsi="Liberation Sans" w:cs="Liberation Sans"/>
          <w:sz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В 2023 году начато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строитель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ство мини-футбольной арены площадью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10 421 кв. м и крытой пешеходной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галереи-променад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а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 </w:t>
        <w:br/>
        <w:t xml:space="preserve">со встроенными спортивными объектами площадью не менее </w:t>
        <w:br/>
        <w:t xml:space="preserve">70 тыс. кв. м. Планируемый срок завершения строительства - 2025 год.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rPr>
          <w:rStyle w:val="947"/>
          <w:rFonts w:ascii="Liberation Sans" w:hAnsi="Liberation Sans" w:cs="Liberation Sans"/>
          <w:b/>
          <w:bCs/>
          <w:sz w:val="28"/>
          <w:szCs w:val="28"/>
          <w14:ligatures w14:val="none"/>
        </w:rPr>
      </w:pPr>
      <w:r/>
      <w:bookmarkStart w:id="59" w:name="_Toc59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 </w:t>
      </w:r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Р</w:t>
      </w:r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абот</w:t>
      </w:r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а</w:t>
      </w:r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 с молод</w:t>
      </w:r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е</w:t>
      </w:r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жью</w:t>
      </w:r>
      <w:bookmarkEnd w:id="0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 и несовершеннолетними</w:t>
      </w:r>
      <w:r>
        <w:rPr>
          <w:rFonts w:ascii="Liberation Sans" w:hAnsi="Liberation Sans" w:cs="Liberation Sans"/>
          <w:sz w:val="28"/>
          <w:szCs w:val="28"/>
        </w:rPr>
      </w:r>
      <w:bookmarkEnd w:id="59"/>
      <w:r>
        <w:rPr>
          <w:rStyle w:val="947"/>
          <w:rFonts w:ascii="Liberation Sans" w:hAnsi="Liberation Sans" w:cs="Liberation Sans"/>
          <w:b/>
          <w:bCs/>
          <w:sz w:val="28"/>
          <w:szCs w:val="28"/>
          <w14:ligatures w14:val="none"/>
        </w:rPr>
      </w:r>
      <w:r/>
    </w:p>
    <w:p>
      <w:pPr>
        <w:spacing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  <w:rPr>
          <w:sz w:val="28"/>
        </w:rPr>
      </w:pPr>
      <w:r>
        <w:rPr>
          <w:rFonts w:ascii="Liberation Sans" w:hAnsi="Liberation Sans" w:eastAsia="Liberation Sans" w:cs="Liberation Sans"/>
          <w:sz w:val="28"/>
          <w:szCs w:val="28"/>
        </w:rPr>
        <w:t xml:space="preserve">С</w:t>
      </w:r>
      <w:r>
        <w:rPr>
          <w:rFonts w:ascii="Liberation Sans" w:hAnsi="Liberation Sans" w:eastAsia="Liberation Sans" w:cs="Liberation Sans"/>
          <w:spacing w:val="-2"/>
          <w:sz w:val="28"/>
          <w:szCs w:val="28"/>
        </w:rPr>
        <w:t xml:space="preserve">еть учреждений в сфере молодежной политики представлена </w:t>
      </w:r>
      <w:r>
        <w:rPr>
          <w:rFonts w:ascii="Liberation Sans" w:hAnsi="Liberation Sans" w:eastAsia="Liberation Sans" w:cs="Liberation Sans"/>
          <w:spacing w:val="-2"/>
          <w:sz w:val="28"/>
          <w:szCs w:val="28"/>
        </w:rPr>
        <w:br/>
        <w:t xml:space="preserve">2 учреждениями: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 </w:t>
      </w:r>
      <w:r>
        <w:rPr>
          <w:rFonts w:ascii="Liberation Sans" w:hAnsi="Liberation Sans" w:eastAsia="Liberation Sans" w:cs="Liberation Sans"/>
          <w:spacing w:val="-2"/>
          <w:sz w:val="28"/>
          <w:szCs w:val="28"/>
        </w:rPr>
        <w:t xml:space="preserve">МБУ «Молодежный ресурсный центр»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(далее - МБУ «МРЦ»)</w:t>
      </w:r>
      <w:r>
        <w:rPr>
          <w:rFonts w:ascii="Liberation Sans" w:hAnsi="Liberation Sans" w:eastAsia="Liberation Sans" w:cs="Liberation Sans"/>
          <w:spacing w:val="-2"/>
          <w:sz w:val="28"/>
          <w:szCs w:val="28"/>
        </w:rPr>
        <w:t xml:space="preserve">,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 </w:t>
      </w:r>
      <w:r>
        <w:rPr>
          <w:rFonts w:ascii="Liberation Sans" w:hAnsi="Liberation Sans" w:eastAsia="Liberation Sans" w:cs="Liberation Sans"/>
          <w:spacing w:val="-2"/>
          <w:sz w:val="28"/>
          <w:szCs w:val="28"/>
        </w:rPr>
        <w:t xml:space="preserve">МАУ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Молодежный центр креативных пространств </w:t>
      </w:r>
      <w:r>
        <w:rPr>
          <w:rFonts w:ascii="Liberation Sans" w:hAnsi="Liberation Sans" w:eastAsia="Liberation Sans" w:cs="Liberation Sans"/>
          <w:sz w:val="28"/>
          <w:szCs w:val="28"/>
        </w:rPr>
        <w:br/>
        <w:t xml:space="preserve">и творческого развития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«АРТ-резиденция» (далее -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МАУ МЦКП </w:t>
      </w:r>
      <w:r>
        <w:rPr>
          <w:rFonts w:ascii="Liberation Sans" w:hAnsi="Liberation Sans" w:eastAsia="Liberation Sans" w:cs="Liberation Sans"/>
          <w:sz w:val="28"/>
          <w:szCs w:val="28"/>
        </w:rPr>
        <w:br/>
        <w:t xml:space="preserve">и 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ТР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 «АРТ-резиденция»). </w:t>
      </w:r>
      <w:r>
        <w:rPr>
          <w:sz w:val="28"/>
        </w:rPr>
      </w:r>
      <w:r/>
    </w:p>
    <w:p>
      <w:pPr>
        <w:ind w:firstLine="709"/>
        <w:jc w:val="both"/>
        <w:spacing w:after="0" w:afterAutospacing="0" w:line="240" w:lineRule="auto"/>
        <w:rPr>
          <w:sz w:val="28"/>
          <w:szCs w:val="28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На базе учреждений работали 21 клубное формирование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br/>
        <w:t xml:space="preserve">и 22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ресурсные площадки, в которых занимались 1 146 человек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br/>
        <w:t xml:space="preserve">(2022 год - 22/20/1 075, 2021 год - 20/22/1 089)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.</w:t>
      </w:r>
      <w:r>
        <w:rPr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  <w:rPr>
          <w:sz w:val="28"/>
          <w:szCs w:val="28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В 2023 году учреждениями в сфере молодежной политики согласно муниципальным заданиям проведено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600 мероприятий, </w:t>
        <w:br/>
        <w:t xml:space="preserve">из них 27 в онлайн-формате.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Численность участников мероприятий со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ставила 37 979 человек.</w:t>
      </w:r>
      <w:r>
        <w:rPr>
          <w:sz w:val="28"/>
          <w:szCs w:val="28"/>
        </w:rPr>
      </w:r>
      <w:r/>
    </w:p>
    <w:p>
      <w:pPr>
        <w:spacing w:after="0" w:afterAutospacing="0" w:line="240" w:lineRule="auto"/>
        <w:rPr>
          <w:sz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sz w:val="28"/>
        </w:rPr>
      </w:r>
      <w:r/>
    </w:p>
    <w:p>
      <w:pPr>
        <w:spacing w:after="0" w:afterAutospacing="0" w:line="240" w:lineRule="auto"/>
      </w:pPr>
      <w:r>
        <w:rPr>
          <w:rFonts w:ascii="Liberation Serif" w:hAnsi="Liberation Serif"/>
          <w:szCs w:val="28"/>
          <w:lang w:eastAsia="ru-RU"/>
        </w:rPr>
        <w:drawing>
          <wp:inline distT="0" distB="0" distL="0" distR="0">
            <wp:extent cx="5931238" cy="1922263"/>
            <wp:effectExtent l="4762" t="4762" r="4762" b="4762"/>
            <wp:docPr id="5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  <w:r>
        <w:rPr>
          <w:rFonts w:ascii="Liberation Sans" w:hAnsi="Liberation Sans" w:cs="Liberation Sans"/>
          <w:szCs w:val="28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</w:rPr>
        <w:t xml:space="preserve">Для реализации потенциала молодежи в социально-экономической с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фере молодежь города принимала активное участие </w:t>
        <w:br/>
        <w:t xml:space="preserve">в мероприятиях Всероссийской форумной кампании всех уровней. Численность участников составила 160 человек (2022 год - 154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, </w:t>
        <w:br/>
        <w:t xml:space="preserve">2021 год - 88).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sz w:val="28"/>
          <w:szCs w:val="28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sz w:val="28"/>
          <w:szCs w:val="28"/>
        </w:rPr>
      </w:r>
      <w:r/>
    </w:p>
    <w:p>
      <w:pPr>
        <w:spacing w:after="0" w:afterAutospacing="0" w:line="240" w:lineRule="auto"/>
      </w:pPr>
      <w:r>
        <w:rPr>
          <w:rFonts w:ascii="Liberation Sans" w:hAnsi="Liberation Sans"/>
          <w:szCs w:val="28"/>
          <w:lang w:eastAsia="ru-RU"/>
        </w:rPr>
      </w:r>
      <w:r>
        <w:rPr>
          <w:rFonts w:ascii="Liberation Sans" w:hAnsi="Liberation Sans"/>
          <w:szCs w:val="28"/>
          <w:lang w:eastAsia="ru-RU"/>
        </w:rPr>
        <w:drawing>
          <wp:inline distT="0" distB="0" distL="0" distR="0">
            <wp:extent cx="6463675" cy="2751884"/>
            <wp:effectExtent l="4762" t="4762" r="4762" b="4762"/>
            <wp:docPr id="60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  <w:r>
        <w:rPr>
          <w:rFonts w:ascii="Liberation Sans" w:hAnsi="Liberation Sans" w:eastAsia="Liberation Sans" w:cs="Liberation Sans"/>
          <w:szCs w:val="28"/>
        </w:rPr>
      </w:r>
      <w:r/>
    </w:p>
    <w:p>
      <w:pPr>
        <w:ind w:firstLine="567"/>
        <w:spacing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eastAsia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30"/>
        <w:contextualSpacing/>
        <w:ind w:firstLine="708"/>
        <w:jc w:val="both"/>
        <w:spacing w:before="0" w:beforeAutospacing="0" w:after="0" w:afterAutospacing="0"/>
        <w:rPr>
          <w:rFonts w:ascii="Liberation Sans" w:hAnsi="Liberation Sans" w:eastAsia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  <w:lang w:eastAsia="en-US" w:bidi="en-US"/>
        </w:rPr>
        <w:t xml:space="preserve">Р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eastAsia="en-US" w:bidi="en-US"/>
        </w:rPr>
        <w:t xml:space="preserve">еализация молодежного самоуправления на те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eastAsia="en-US" w:bidi="en-US"/>
        </w:rPr>
        <w:t xml:space="preserve">рритории муниципального образования осуществляется через деятельность Молодежного совета Нового Уренгоя при Главе города Новый Уренгой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(далее - Молодежный совет)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eastAsia="en-US" w:bidi="en-US"/>
        </w:rPr>
        <w:t xml:space="preserve">.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состав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Молодежного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совета включены 16 представителей в возрасте от 18 до 35 лет, активно у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частвующих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br/>
        <w:t xml:space="preserve">в реализации основных направлений молодёжной политики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br/>
        <w:t xml:space="preserve">и значимых событиях го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рода.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2023 году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5 представителей Нового Уренгоя входили в состав молодёжных структур ЯНАО: Молодёжного парламента при Законодательном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С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обрании ЯНАО и Молодёжного правительства ЯНА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/>
    </w:p>
    <w:p>
      <w:pPr>
        <w:pStyle w:val="1130"/>
        <w:contextualSpacing/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eastAsia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течение 2023 года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ч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лены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Молодежного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совета оказывали социальную помощь ветеранам, пожилым людям, участвовали </w:t>
        <w:br/>
        <w:t xml:space="preserve">в мероприятиях патриотической направленности, я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влялись организаторами благотворительных ак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ций, проводили для учащихся тренинги, принимали активное участие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научно-практических конференциях и конкурсах профессионального мастерства, семинарах и выставках - как в качестве участников, так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и в качестве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соорганизаторов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и спикеров.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/>
    </w:p>
    <w:p>
      <w:pPr>
        <w:contextualSpacing/>
        <w:ind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С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4 по 15 апреля 2023 года в Новом Уренгое проходил Молодёжный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форум 2023 - «Грелка 48» (далее - форум). В рамках форума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проведен Первый креативный чемпионат РДДМ «Движение первых», по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дведены итоги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кейс-чемпионата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«Теплый тур в НУР», награждены победители «ТОП-48»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 организованы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развлекательные и познавательные площадки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Про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веден ко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нкурс молодёжных проектов «Конвейер проектов». В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2023 году финансирование по предоставлению грантов в форме субсидий физическим лицам и молодежным общественным объединениям составило 1 650,0 тыс. руб., что </w:t>
        <w:br/>
        <w:t xml:space="preserve">в 10,9 раз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больше, чем в 2022 году (2022 год - 150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,0 тыс. руб.). 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br/>
        <w:t xml:space="preserve">Для участия в конкурсе проектов подано 32 заявки. 6 проектов получили грантовую поддержку: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Тимофеева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Кристина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(проект «Инклюзивная творческая швейная мастерская «Зиг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Заг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»), грант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в размере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490,0 тыс. руб.; Джавадов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Равшан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(проект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«Универсальный солдат Ямала»), грант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в размере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352,0 тыс. руб.; Григорьев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Александр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(проект 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Кинопарк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» - ночной кинотеатр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скейт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-парке «Скатерть), грант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в размере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323,0 тыс. руб.; Карасев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Василий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(проект «Подвал»), грант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в размере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249,0 тыс. руб.;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Хамутаев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Расул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и 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Елено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Андрей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(проект </w:t>
        <w:br/>
        <w:t xml:space="preserve">«25-й кадр»), грант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в размере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121,0 тыс. руб.; </w:t>
      </w:r>
      <w:r>
        <w:rPr>
          <w:rFonts w:ascii="Liberation Sans" w:hAnsi="Liberation Sans" w:eastAsia="Roboto" w:cs="Liberation Sans"/>
          <w:color w:val="000000" w:themeColor="text1"/>
          <w:sz w:val="28"/>
          <w:szCs w:val="28"/>
          <w:highlight w:val="none"/>
        </w:rPr>
        <w:t xml:space="preserve">Сафарова </w:t>
      </w:r>
      <w:r>
        <w:rPr>
          <w:rFonts w:ascii="Liberation Sans" w:hAnsi="Liberation Sans" w:eastAsia="Roboto" w:cs="Liberation Sans"/>
          <w:color w:val="000000" w:themeColor="text1"/>
          <w:sz w:val="28"/>
          <w:szCs w:val="28"/>
          <w:highlight w:val="none"/>
        </w:rPr>
        <w:t xml:space="preserve">Арзу</w:t>
      </w:r>
      <w:r>
        <w:rPr>
          <w:rFonts w:ascii="Liberation Sans" w:hAnsi="Liberation Sans" w:eastAsia="Roboto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Roboto" w:cs="Liberation Sans"/>
          <w:color w:val="000000" w:themeColor="text1"/>
          <w:sz w:val="28"/>
          <w:szCs w:val="28"/>
          <w:highlight w:val="none"/>
        </w:rPr>
        <w:t xml:space="preserve">(проект «Кадр НУР»), грант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размере </w:t>
      </w:r>
      <w:r>
        <w:rPr>
          <w:rFonts w:ascii="Liberation Sans" w:hAnsi="Liberation Sans" w:eastAsia="Roboto" w:cs="Liberation Sans"/>
          <w:color w:val="000000" w:themeColor="text1"/>
          <w:sz w:val="28"/>
          <w:szCs w:val="28"/>
          <w:highlight w:val="none"/>
        </w:rPr>
        <w:t xml:space="preserve">115,0 тыс. руб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contextualSpacing/>
        <w:ind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Также в рамках форума проведен мун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иципальный этап конкурса «Институт развития личности (ШТАБ)». Программа мероприятия включала образовательные и практические модули по теме лидерства,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тайм-менеджмента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 т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ипы и уровни лидерства, стадии развития лидерства и многое другое. Победителями муницип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ального этапа конкурса «Институт развития личности (ШТАБ)» стали 5 участников, которые были приглашены на окружной этап конкурса.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Х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е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длайнером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мероприятия стал российский рэп-исполнитель WHYBABY. Форум посетили более 900 человек.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Liberation Serif" w:cs="Liberation Sans"/>
          <w:color w:val="000000" w:themeColor="text1"/>
          <w:sz w:val="28"/>
          <w:highlight w:val="none"/>
          <w14:ligatures w14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В рамках концепции Федерального агентства по делам молодежи «Росмолодежь» с 24 июня на Ямале проходила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Н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еделя молодёжи. Кульминацией стал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и праздничные мероприятия, проведенные в городе Новый Уренгой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1 июля.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Мероприятия про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ходили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на 4 локациях </w:t>
        <w:br/>
        <w:t xml:space="preserve">по 8 тематическим линиям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творческого, патриотического, креативного направлений.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Организованы образовательные площадки от ведущих спикеров всероссийск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ого уровня.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Хедлайнерами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праздника стали известные артисты - Тима Акимов,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Эсми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, Родион Газманов, Клава Кока. Ох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ват - более 27,0 тыс. человек.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  <w14:ligatures w14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Liberation Serif" w:cs="Liberation Sans"/>
          <w:color w:val="000000" w:themeColor="text1"/>
          <w:sz w:val="28"/>
          <w:highlight w:val="none"/>
          <w14:ligatures w14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В рамках Дня молодежи в ГДК «Октябрь» проведен 3-й этап конкурса «Голоса молодых», участниками которого стали 11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человек </w:t>
        <w:br/>
        <w:t xml:space="preserve">из ЯНАО. Все финалисты приняли участие в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Г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а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ла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-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кон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церте.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  <w14:ligatures w14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26 января 2023 года открыт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скейт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-парк «Скатерть»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, расположенный по адресу: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мкр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. Монтажников, д. 61.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Скейт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-парк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оборудован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горками, трамплинами с мягким приземлением,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фанбоксами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и другими элементами. В универсальном зале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могут тренироваться роллеры,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скейтеры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, самокатчики, ВМХ-райдеры. </w:t>
        <w:br/>
        <w:t xml:space="preserve">Для постоянных членов клуба посещение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скейт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-парка - бесплатное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.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br/>
        <w:t xml:space="preserve">В течение года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ск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ейт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-парк был местом для тренировочного процесса и локацией для проведения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молодежных субкультурных программ, показательных выступлений,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фестивалей по экстремальным видам спорта («Ямал-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Баттл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», «Ямал-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Райд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»,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«Ночь экстрима», участие </w:t>
        <w:br/>
        <w:t xml:space="preserve">в которых при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нимали райдер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ы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с мировым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имен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ем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из Москвы, Санкт-Петербурга, Екатеринбурга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и т.д.).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Скейт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-парк является основной площадкой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для репетиций и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выступления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резидентов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МАУ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МЦКП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и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ТР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«АРТ-резиденция»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: групп «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Brosco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», «5kitties», «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Seventeen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», «Эй, как там тебя зовут?»,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«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Destapler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», «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Лишинский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Бэнд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».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25 и 26 ноября 2023 года состоялся 20-й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юбилейный фестиваль молодежных субкультур «Виниловая стружка». Программа фестиваля включала мастер-классы ведущих хореографов: Дианы Большаковой - представительницы стилей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h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ip-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h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op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и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d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an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cehall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Виталия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Киргинцева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(«Змей») - победителя фестивалей уличных танцев муниципальных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br/>
        <w:t xml:space="preserve">и всероссийских уровней; педагога, основателя школы танцев «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Snow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Beat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»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Анны Тихой - финалистки шоу «Танцы» на «ТНТ», Ивана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Криштофоренко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(VANO) - экс-участника групп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ы «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Quest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Pistols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Show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», </w:t>
        <w:br/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семи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кратного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ч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емпиона Москвы по хип-хопу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, трех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кратного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ч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емпиона России по хип-хопу. Численность участников мероприятия составила 290 человек, численность посетителей - 500 человек.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27 декабря 2023 года на площадке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скейт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-парка по инициативе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подростков состоялась программа для активистов Российского движения детей и молодежи «Движение первых» (далее - РДДМ «Движение первых»). Чис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ленность участников составила 140 человек.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На площадке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скейт-парка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успешно реализован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грантовый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кросскультурный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проект - «Кино Парк»,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л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итературный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косплей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-фест «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Storybook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Parade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», состоялась театральная премьера </w:t>
        <w:br/>
        <w:t xml:space="preserve">«Я, пулеметчик» театра-студии «Человек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И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», проводятся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контесты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  <w:br/>
        <w:t xml:space="preserve">с приглашением чемпионов России и мира в неформальных видах спорта.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В 2023 году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скейт-парк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«Скатерть»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в конкурсе «Точки притяжения»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вошёл в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топ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-300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.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В течение года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скейт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-парк посетили более 12 тыс. человек.</w:t>
        <w:br/>
        <w:t xml:space="preserve">На постоянной основе тренируются 60 участников клубных формирований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экстремальных видов спорта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«Формула адреналина» и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«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Самокатерть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».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Liberation Serif" w:cs="Liberation Sans"/>
          <w:color w:val="000000" w:themeColor="text1"/>
          <w:sz w:val="28"/>
          <w:highlight w:val="none"/>
          <w14:ligatures w14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В 2023 году на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базе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многопрофильного колледж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создано универсальное молодёжное пространство с адаптивным дизайном в стилистике бренда «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Ямолод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» пл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ощадью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115,7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кв. м. </w:t>
        <w:br/>
        <w:t xml:space="preserve">В помещении проводятся встречи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участников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р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оссийских студенческих отрядов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собрания руководителей первичных отделений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  <w:br/>
        <w:t xml:space="preserve">РДДМ «Движение первых». В течение года пространство посетили </w:t>
        <w:br/>
        <w:t xml:space="preserve">5 тыс. человек.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В 14 общеобразовательных органи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зациях города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также открыты подоб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ные многофункциональные площадки, которые станут штабами для ребят, вступивших в региональное отделение </w:t>
        <w:br/>
        <w:t xml:space="preserve">РДДМ «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Движение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п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ервых». На базе общеобразовательных организаций города, учреждений молодежной политики, культуры и спорта зарегистрирова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но 23 первичных отделения РДДМ «Движение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п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ервых», в которых участниками являются более 2,7 тыс. человек.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  <w14:ligatures w14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В рамках серии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городской интеллектуальной игры «Лига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с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овы»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проводились игры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сезона 2022-2023 год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а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в формате интеллектуального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квиза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. Команды игроков соревнуются между собой в формате «Что? Где? Когда?» в различных областях знаний. Сезон состоял из 6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игр,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в которых приняли участие 43 команды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из 16 образовательных организаций города,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суз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ов, организаций дополнительного образов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ания.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Общий охват составил более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1,5 тыс. человек.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Команды, набравшие больше всего баллов по сумме всех игр, получили образовательные сертификаты на каждого члена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команды: команда «Банкиры» МБОУ СШ № 11 - по 100,0 тыс. руб., команда «Горе от ума» МБОУ «С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Ш № 17» - по 50,0 тыс. руб., команда «Гимназические сычи» МБОУ Гимназия - по 30,0 тыс. руб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Liberation Serif" w:cs="Liberation Sans"/>
          <w:color w:val="000000" w:themeColor="text1"/>
          <w:sz w:val="28"/>
          <w:highlight w:val="none"/>
          <w14:ligatures w14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:lang w:eastAsia="ru-RU"/>
        </w:rPr>
        <w:t xml:space="preserve">16 декабря 2023 года на базе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:lang w:eastAsia="ru-RU"/>
        </w:rPr>
        <w:t xml:space="preserve"> МБОУ «Арктический лицей» прошел турнир по интеллектуальным играм «Кубок Главы города Новый Уренгой», который собрал 53 детских и 28 взрослых команд.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:lang w:eastAsia="ru-RU"/>
        </w:rPr>
        <w:t xml:space="preserve">В мероприятии приняли участие представители Нового Уренгоя, команды из Надыма, Ноябрьска,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:lang w:eastAsia="ru-RU"/>
        </w:rPr>
        <w:t xml:space="preserve">Губкинского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:lang w:eastAsia="ru-RU"/>
        </w:rPr>
        <w:t xml:space="preserve">, Та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:lang w:eastAsia="ru-RU"/>
        </w:rPr>
        <w:t xml:space="preserve">зовского и Пуровского районов, а также Волновахского района Донецкой Народной Республики. Дети сыграли в 3 дисциплинах: «Что? Где? Когда?», «Брейн-ринг», «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:lang w:eastAsia="ru-RU"/>
        </w:rPr>
        <w:t xml:space="preserve">Мультиигры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:lang w:eastAsia="ru-RU"/>
        </w:rPr>
        <w:t xml:space="preserve">», взрослые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:lang w:eastAsia="ru-RU"/>
        </w:rPr>
        <w:t xml:space="preserve">-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:lang w:eastAsia="ru-RU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:lang w:eastAsia="ru-RU"/>
        </w:rPr>
        <w:t xml:space="preserve">в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:lang w:eastAsia="ru-RU"/>
        </w:rPr>
        <w:t xml:space="preserve"> «Что? Где? Когда?».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:lang w:eastAsia="ru-RU"/>
        </w:rPr>
        <w:t xml:space="preserve">Общая численность участников - 567 человек.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Победителями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стали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9 детских команд </w:t>
        <w:br/>
        <w:t xml:space="preserve">(7 из г. Новый Уренгой, по 1 команде из г. Ноябрьск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а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и г. Губкинский) и 3 взрослые команды (2 из г. Новый Уренгой,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1 из г. Ноябрьск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а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).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Переходящий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ку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бок Главы города Нов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ый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Уренго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й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уехал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в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г.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Ноябрьск с детской командой «2049».</w:t>
      </w:r>
      <w:r>
        <w:rPr>
          <w:rFonts w:ascii="Liberation Sans" w:hAnsi="Liberation Sans" w:eastAsia="Liberation Serif" w:cs="Liberation Sans"/>
          <w:color w:val="000000" w:themeColor="text1"/>
          <w:sz w:val="28"/>
          <w:highlight w:val="none"/>
          <w14:ligatures w14:val="none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Calibri" w:cs="Liberation Sans"/>
          <w:spacing w:val="-2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widowControl w:val="off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sz w:val="28"/>
          <w:szCs w:val="28"/>
          <w:highlight w:val="none"/>
        </w:rPr>
        <w:t xml:space="preserve">Патриотическое воспитание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contextualSpacing/>
        <w:spacing w:after="0" w:line="240" w:lineRule="auto"/>
        <w:shd w:val="clear" w:color="auto" w:fill="ffffff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contextualSpacing/>
        <w:ind w:firstLine="709"/>
        <w:jc w:val="both"/>
        <w:spacing w:before="0" w:beforeAutospacing="0" w:after="0" w:afterAutospacing="0" w:line="240" w:lineRule="auto"/>
        <w:widowControl w:val="off"/>
        <w:tabs>
          <w:tab w:val="left" w:pos="709" w:leader="none"/>
        </w:tabs>
        <w:rPr>
          <w:rFonts w:ascii="Liberation Sans" w:hAnsi="Liberation Sans" w:cs="Liberation Sans"/>
          <w:sz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2023 году действовало 21 патриотическое объединение различных направлений (военно-спортивные, военно-патриотические клубы, патриотические центры и прочее) (2022 год - 21, 2021 год - 20). Численность их участников составила 1 993 челове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ка (2022 год - 1 946, 2021 год - 1 863)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На территории муниципального образования проведено 785 мероприятий. Численность участников составила 145 948 человек, что на 7,0% больше, чем в 2022 году.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Из них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135 мероприятий проведено учреждениями сферы молодежн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ой политики в рамках муниципального задания с охватом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23 157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 человек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 </w:t>
      </w:r>
      <w:r>
        <w:rPr>
          <w:rFonts w:ascii="Liberation Sans" w:hAnsi="Liberation Sans" w:cs="Liberation Sans"/>
          <w:sz w:val="28"/>
          <w:highlight w:val="none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highlight w:val="none"/>
        </w:rPr>
      </w:r>
      <w:r/>
    </w:p>
    <w:p>
      <w:pPr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</w:r>
      <w:r>
        <w:rPr>
          <w:rFonts w:ascii="Liberation Sans" w:hAnsi="Liberation Sans" w:cs="Liberation Sans"/>
          <w:sz w:val="28"/>
          <w:szCs w:val="28"/>
          <w:highlight w:val="none"/>
          <w:lang w:eastAsia="ru-RU"/>
        </w:rPr>
        <w:drawing>
          <wp:inline distT="0" distB="0" distL="0" distR="0">
            <wp:extent cx="4825659" cy="1333498"/>
            <wp:effectExtent l="3175" t="3175" r="3175" b="3175"/>
            <wp:docPr id="61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  <w:r>
        <w:rPr>
          <w:rFonts w:ascii="Liberation Sans" w:hAnsi="Liberation Sans" w:cs="Liberation Sans"/>
          <w:sz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widowControl w:val="off"/>
        <w:rPr>
          <w:rFonts w:ascii="Liberation Sans" w:hAnsi="Liberation Sans" w:cs="Liberation Sans"/>
          <w:sz w:val="28"/>
          <w:highlight w:val="none"/>
        </w:rPr>
      </w:pPr>
      <w:r>
        <w:rPr>
          <w:rFonts w:ascii="Liberation Sans" w:hAnsi="Liberation Sans" w:cs="Liberation Sans"/>
          <w:b/>
          <w:bCs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рамках месячника оборонно-массовой и спортивной работы, посвященного Дню защитника Отечества, проведено 152 мероприятия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br/>
        <w:t xml:space="preserve">с охватом 68 071 человек</w:t>
      </w:r>
      <w:r>
        <w:rPr>
          <w:rFonts w:ascii="Liberation Sans" w:hAnsi="Liberation Sans" w:eastAsia="Liberation Sans" w:cs="Liberation Sans"/>
          <w:b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(2022 год - 143 мероприятия/58 345 человек, 2021 год - 131 мероприятие/56 120 человек). Наиболее крупными </w:t>
        <w:br/>
        <w:t xml:space="preserve">из них являются:</w:t>
      </w:r>
      <w:r>
        <w:rPr>
          <w:rFonts w:ascii="Liberation Sans" w:hAnsi="Liberation Sans" w:cs="Liberation Sans"/>
          <w:sz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 акция «Посылка солдату» (охват - 11 430 человек); </w:t>
      </w:r>
      <w:r>
        <w:rPr>
          <w:rFonts w:ascii="Liberation Sans" w:hAnsi="Liberation Sans" w:cs="Liberation Sans"/>
          <w:sz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 торжественные линейки, посвященные Дню защитника Отечества (охват - 13 953 чел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овека);</w:t>
      </w:r>
      <w:r>
        <w:rPr>
          <w:rFonts w:ascii="Liberation Sans" w:hAnsi="Liberation Sans" w:cs="Liberation Sans"/>
          <w:sz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 уроки, тематические классные часы, уроки внеклассного чтения, библиотечные уроки, посвященные Дню защитника Отечества (охват – 18 211 человек);</w:t>
      </w:r>
      <w:r>
        <w:rPr>
          <w:rFonts w:ascii="Liberation Sans" w:hAnsi="Liberation Sans" w:cs="Liberation Sans"/>
          <w:sz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 уроки мужества (охват - 5 506 человек).</w:t>
      </w:r>
      <w:r>
        <w:rPr>
          <w:rFonts w:ascii="Liberation Sans" w:hAnsi="Liberation Sans" w:cs="Liberation Sans"/>
          <w:sz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течение 2023 года более 30 представителей поисковых отрядо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города «Поисковик» и «Дивизион» приняли участие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7 выездных поисковых экспедициях всероссийского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и международного уровня.</w:t>
      </w:r>
      <w:r>
        <w:rPr>
          <w:rFonts w:ascii="Liberation Sans" w:hAnsi="Liberation Sans" w:cs="Liberation Sans"/>
          <w:sz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Наиболее значимые патриотические мероприятия, проведенные в 2023 году:</w:t>
      </w:r>
      <w:r>
        <w:rPr>
          <w:rFonts w:ascii="Liberation Sans" w:hAnsi="Liberation Sans" w:cs="Liberation Sans"/>
          <w:sz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 муниципальный этап патриотического музыкального проекта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«Дорогами поколений»</w:t>
      </w:r>
      <w:r>
        <w:rPr>
          <w:rFonts w:ascii="Liberation Sans" w:hAnsi="Liberation Sans" w:eastAsia="Liberation Sans" w:cs="Liberation Sans"/>
          <w:bCs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Охват - 75 человек, из них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38 участников,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br/>
      </w:r>
      <w:r>
        <w:rPr>
          <w:rFonts w:ascii="Liberation Sans" w:hAnsi="Liberation Sans" w:eastAsia="Liberation Sans" w:cs="Liberation Sans"/>
          <w:bCs/>
          <w:sz w:val="28"/>
          <w:szCs w:val="28"/>
          <w:highlight w:val="none"/>
        </w:rPr>
        <w:t xml:space="preserve">17 победителей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sz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</w:rPr>
      </w:pPr>
      <w:r>
        <w:rPr>
          <w:rFonts w:ascii="Liberation Sans" w:hAnsi="Liberation Sans" w:eastAsia="Liberation Sans" w:cs="Liberation Sans"/>
          <w:bCs/>
          <w:sz w:val="28"/>
          <w:szCs w:val="28"/>
          <w:highlight w:val="none"/>
        </w:rPr>
        <w:t xml:space="preserve">- Всероссийская акция «Георгиевская ленточка». Охват – </w:t>
      </w:r>
      <w:r>
        <w:rPr>
          <w:rFonts w:ascii="Liberation Sans" w:hAnsi="Liberation Sans" w:eastAsia="Liberation Sans" w:cs="Liberation Sans"/>
          <w:bCs/>
          <w:sz w:val="28"/>
          <w:szCs w:val="28"/>
          <w:highlight w:val="none"/>
        </w:rPr>
        <w:br/>
        <w:t xml:space="preserve">2 500 человек;</w:t>
      </w:r>
      <w:r>
        <w:rPr>
          <w:rFonts w:ascii="Liberation Sans" w:hAnsi="Liberation Sans" w:cs="Liberation Sans"/>
          <w:sz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</w:rPr>
      </w:pPr>
      <w:r>
        <w:rPr>
          <w:rFonts w:ascii="Liberation Sans" w:hAnsi="Liberation Sans" w:eastAsia="Liberation Sans" w:cs="Liberation Sans"/>
          <w:bCs/>
          <w:sz w:val="28"/>
          <w:szCs w:val="28"/>
          <w:highlight w:val="none"/>
        </w:rPr>
        <w:t xml:space="preserve">- акция «Свеча </w:t>
      </w:r>
      <w:r>
        <w:rPr>
          <w:rFonts w:ascii="Liberation Sans" w:hAnsi="Liberation Sans" w:eastAsia="Liberation Sans" w:cs="Liberation Sans"/>
          <w:bCs/>
          <w:iCs/>
          <w:sz w:val="28"/>
          <w:szCs w:val="28"/>
          <w:highlight w:val="none"/>
        </w:rPr>
        <w:t xml:space="preserve">Победы</w:t>
      </w:r>
      <w:r>
        <w:rPr>
          <w:rFonts w:ascii="Liberation Sans" w:hAnsi="Liberation Sans" w:eastAsia="Liberation Sans" w:cs="Liberation Sans"/>
          <w:bCs/>
          <w:sz w:val="28"/>
          <w:szCs w:val="28"/>
          <w:highlight w:val="none"/>
        </w:rPr>
        <w:t xml:space="preserve">». Охват - 300 человек;</w:t>
      </w:r>
      <w:r>
        <w:rPr>
          <w:rFonts w:ascii="Liberation Sans" w:hAnsi="Liberation Sans" w:cs="Liberation Sans"/>
          <w:sz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</w:rPr>
      </w:pPr>
      <w:r>
        <w:rPr>
          <w:rFonts w:ascii="Liberation Sans" w:hAnsi="Liberation Sans" w:eastAsia="Liberation Sans" w:cs="Liberation Sans"/>
          <w:bCs/>
          <w:sz w:val="28"/>
          <w:szCs w:val="28"/>
          <w:highlight w:val="none"/>
        </w:rPr>
        <w:t xml:space="preserve">- акция «Свеча Памяти». Охват - 200 человек;</w:t>
      </w:r>
      <w:r>
        <w:rPr>
          <w:rFonts w:ascii="Liberation Sans" w:hAnsi="Liberation Sans" w:cs="Liberation Sans"/>
          <w:sz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</w:rPr>
      </w:pPr>
      <w:r>
        <w:rPr>
          <w:rFonts w:ascii="Liberation Sans" w:hAnsi="Liberation Sans" w:eastAsia="Liberation Sans" w:cs="Liberation Sans"/>
          <w:bCs/>
          <w:sz w:val="28"/>
          <w:szCs w:val="28"/>
          <w:highlight w:val="none"/>
        </w:rPr>
        <w:t xml:space="preserve">- акция «День </w:t>
      </w:r>
      <w:r>
        <w:rPr>
          <w:rFonts w:ascii="Liberation Sans" w:hAnsi="Liberation Sans" w:eastAsia="Liberation Sans" w:cs="Liberation Sans"/>
          <w:bCs/>
          <w:sz w:val="28"/>
          <w:szCs w:val="28"/>
          <w:highlight w:val="none"/>
        </w:rPr>
        <w:t xml:space="preserve">неизвестного солдата». Охват - 200 человек;</w:t>
      </w:r>
      <w:r>
        <w:rPr>
          <w:rFonts w:ascii="Liberation Sans" w:hAnsi="Liberation Sans" w:cs="Liberation Sans"/>
          <w:sz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 Всероссийская акция «Красная гвоздика». Собрано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br/>
        <w:t xml:space="preserve">90,6 тыс. руб. Охват - 500 человек;</w:t>
      </w:r>
      <w:r>
        <w:rPr>
          <w:rFonts w:ascii="Liberation Sans" w:hAnsi="Liberation Sans" w:cs="Liberation Sans"/>
          <w:sz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 Всероссийская акция «Триколор», приуроченная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br/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к празднованию Дня Государственного флага Российской Федерации. Охват - 2 500 человек;</w:t>
      </w:r>
      <w:r>
        <w:rPr>
          <w:rFonts w:ascii="Liberation Sans" w:hAnsi="Liberation Sans" w:cs="Liberation Sans"/>
          <w:sz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 встреча на тему «Трагедия Беслана в наших сердцах», приуроченная ко Дню солидарности в борьбе с терроризмом. Охват – 400 человек.</w:t>
      </w:r>
      <w:r>
        <w:rPr>
          <w:rFonts w:ascii="Liberation Sans" w:hAnsi="Liberation Sans" w:cs="Liberation Sans"/>
          <w:sz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течение 2023 года представители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новоуренгойского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штаба ВОД «Волонтеры Победы» у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частвовали в 21 мероприятии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br/>
        <w:t xml:space="preserve">с привлечением 237 волонтеров (2022 год - 22 мероприятия,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br/>
        <w:t xml:space="preserve">315 волонтеров, 2021 год - 31 мероприятие 390 волонтеров).</w:t>
      </w:r>
      <w:r>
        <w:rPr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highlight w:val="none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/>
    </w:p>
    <w:p>
      <w:pPr>
        <w:contextualSpacing/>
        <w:ind w:firstLine="709"/>
        <w:jc w:val="both"/>
        <w:spacing w:after="0" w:line="240" w:lineRule="auto"/>
        <w:widowControl w:val="off"/>
        <w:tabs>
          <w:tab w:val="left" w:pos="709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widowControl w:val="off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sz w:val="28"/>
          <w:szCs w:val="28"/>
          <w:highlight w:val="none"/>
        </w:rPr>
        <w:t xml:space="preserve">Развитие добровольчества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  <w:spacing w:before="0" w:beforeAutospacing="0" w:after="0" w:afterAutospacing="0" w:line="240" w:lineRule="auto"/>
        <w:widowControl w:val="off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contextualSpacing/>
        <w:ind w:firstLine="709"/>
        <w:jc w:val="both"/>
        <w:spacing w:before="0" w:beforeAutospacing="0" w:after="0" w:afterAutospacing="0" w:line="240" w:lineRule="auto"/>
        <w:shd w:val="clear" w:color="auto" w:fill="ffffff" w:themeFill="background1"/>
        <w:rPr>
          <w:sz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муниципальном образовании в 2023 г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оду волонтерскую деятельность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осуществляли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62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добровольческие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организации </w:t>
        <w:br/>
        <w:t xml:space="preserve">(2022 год - 54, 2021 год - 52). Количество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ffffff" w:themeFill="background1"/>
        </w:rPr>
        <w:t xml:space="preserve">добровольцев, зарегистрированных на платформе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ffffff" w:themeFill="background1"/>
        </w:rPr>
        <w:t xml:space="preserve">Добро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ffffff" w:themeFill="background1"/>
        </w:rPr>
        <w:t xml:space="preserve">.р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ffffff" w:themeFill="background1"/>
        </w:rPr>
        <w:t xml:space="preserve">у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ffffff" w:themeFill="background1"/>
        </w:rPr>
        <w:t xml:space="preserve"> и активно принимающих участие в добровольческой деятельности, составило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2 779 человек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(2022 год - 2 656, 2021 год - 2 541)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.</w:t>
      </w:r>
      <w:r>
        <w:rPr>
          <w:sz w:val="28"/>
          <w:highlight w:val="none"/>
        </w:rPr>
      </w:r>
      <w:r/>
    </w:p>
    <w:p>
      <w:pPr>
        <w:contextualSpacing/>
        <w:ind w:firstLine="709"/>
        <w:spacing w:before="0" w:beforeAutospacing="0" w:after="0" w:afterAutospacing="0" w:line="240" w:lineRule="auto"/>
        <w:shd w:val="clear" w:color="auto" w:fill="ffffff" w:themeFill="background1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contextualSpacing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</w:rPr>
        <w:t xml:space="preserve">Н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а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правления волонтерск</w:t>
      </w:r>
      <w:r>
        <w:rPr>
          <w:rFonts w:ascii="Liberation Sans" w:hAnsi="Liberation Sans" w:eastAsia="Liberation Sans" w:cs="Liberation Sans"/>
          <w:sz w:val="28"/>
          <w:szCs w:val="28"/>
        </w:rPr>
        <w:t xml:space="preserve">ой деятельности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contextualSpacing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</w:rPr>
        <w:t xml:space="preserve">в муниципальном образовании, ед.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contextualSpacing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contextualSpacing/>
        <w:jc w:val="right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Таблица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10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tbl>
      <w:tblPr>
        <w:tblStyle w:val="974"/>
        <w:tblW w:w="0" w:type="auto"/>
        <w:tblLayout w:type="fixed"/>
        <w:tblLook w:val="04A0" w:firstRow="1" w:lastRow="0" w:firstColumn="1" w:lastColumn="0" w:noHBand="0" w:noVBand="1"/>
      </w:tblPr>
      <w:tblGrid>
        <w:gridCol w:w="992"/>
        <w:gridCol w:w="3949"/>
        <w:gridCol w:w="2287"/>
        <w:gridCol w:w="2268"/>
      </w:tblGrid>
      <w:tr>
        <w:trPr/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№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  <w:p>
            <w:pPr>
              <w:ind w:firstLine="0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п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/п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3949" w:type="dxa"/>
            <w:textDirection w:val="lrTb"/>
            <w:noWrap w:val="false"/>
          </w:tcPr>
          <w:p>
            <w:pPr>
              <w:ind w:firstLine="709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Направление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2287" w:type="dxa"/>
            <w:textDirection w:val="lrTb"/>
            <w:noWrap w:val="false"/>
          </w:tcPr>
          <w:p>
            <w:pPr>
              <w:ind w:firstLine="709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2022 год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ind w:firstLine="709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2023 год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</w:tr>
      <w:tr>
        <w:trPr/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  <w:suppressLineNumbers w:val="0"/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3949" w:type="dxa"/>
            <w:vMerge w:val="restart"/>
            <w:textDirection w:val="lrTb"/>
            <w:noWrap w:val="false"/>
          </w:tcPr>
          <w:p>
            <w:pPr>
              <w:ind w:firstLine="709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2287" w:type="dxa"/>
            <w:vMerge w:val="restart"/>
            <w:textDirection w:val="lrTb"/>
            <w:noWrap w:val="false"/>
          </w:tcPr>
          <w:p>
            <w:pPr>
              <w:ind w:firstLine="709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3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2268" w:type="dxa"/>
            <w:vMerge w:val="restart"/>
            <w:textDirection w:val="lrTb"/>
            <w:noWrap w:val="false"/>
          </w:tcPr>
          <w:p>
            <w:pPr>
              <w:ind w:firstLine="709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4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</w:tr>
      <w:tr>
        <w:trPr/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  <w:suppressLineNumbers w:val="0"/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3949" w:type="dxa"/>
            <w:textDirection w:val="lrTb"/>
            <w:noWrap w:val="false"/>
          </w:tcPr>
          <w:p>
            <w:pPr>
              <w:ind w:firstLine="709"/>
              <w:jc w:val="left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Профилактическое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2287" w:type="dxa"/>
            <w:textDirection w:val="lrTb"/>
            <w:noWrap w:val="false"/>
          </w:tcPr>
          <w:p>
            <w:pPr>
              <w:ind w:firstLine="709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902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ind w:firstLine="709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904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</w:tr>
      <w:tr>
        <w:trPr/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  <w:suppressLineNumbers w:val="0"/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3949" w:type="dxa"/>
            <w:textDirection w:val="lrTb"/>
            <w:noWrap w:val="false"/>
          </w:tcPr>
          <w:p>
            <w:pPr>
              <w:ind w:firstLine="709"/>
              <w:jc w:val="left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Социальное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2287" w:type="dxa"/>
            <w:textDirection w:val="lrTb"/>
            <w:noWrap w:val="false"/>
          </w:tcPr>
          <w:p>
            <w:pPr>
              <w:ind w:firstLine="709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799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ind w:firstLine="709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812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</w:tr>
      <w:tr>
        <w:trPr/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  <w:suppressLineNumbers w:val="0"/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3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3949" w:type="dxa"/>
            <w:textDirection w:val="lrTb"/>
            <w:noWrap w:val="false"/>
          </w:tcPr>
          <w:p>
            <w:pPr>
              <w:ind w:firstLine="709"/>
              <w:jc w:val="left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Экологическое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2287" w:type="dxa"/>
            <w:textDirection w:val="lrTb"/>
            <w:noWrap w:val="false"/>
          </w:tcPr>
          <w:p>
            <w:pPr>
              <w:ind w:firstLine="709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408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ind w:firstLine="709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411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</w:tr>
      <w:tr>
        <w:trPr/>
        <w:tc>
          <w:tcPr>
            <w:tcW w:w="992" w:type="dxa"/>
            <w:vMerge w:val="restart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  <w:suppressLineNumbers w:val="0"/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4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3949" w:type="dxa"/>
            <w:vMerge w:val="restart"/>
            <w:textDirection w:val="lrTb"/>
            <w:noWrap w:val="false"/>
          </w:tcPr>
          <w:p>
            <w:pPr>
              <w:ind w:firstLine="709"/>
              <w:jc w:val="left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Волонтеры Победы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2287" w:type="dxa"/>
            <w:vMerge w:val="restart"/>
            <w:textDirection w:val="lrTb"/>
            <w:noWrap w:val="false"/>
          </w:tcPr>
          <w:p>
            <w:pPr>
              <w:ind w:firstLine="709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275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2268" w:type="dxa"/>
            <w:vMerge w:val="restart"/>
            <w:textDirection w:val="lrTb"/>
            <w:noWrap w:val="false"/>
          </w:tcPr>
          <w:p>
            <w:pPr>
              <w:ind w:firstLine="709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285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</w:tr>
      <w:tr>
        <w:trPr/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  <w:suppressLineNumbers w:val="0"/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5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3949" w:type="dxa"/>
            <w:textDirection w:val="lrTb"/>
            <w:noWrap w:val="false"/>
          </w:tcPr>
          <w:p>
            <w:pPr>
              <w:ind w:firstLine="709"/>
              <w:jc w:val="left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Волонтеры культуры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2287" w:type="dxa"/>
            <w:textDirection w:val="lrTb"/>
            <w:noWrap w:val="false"/>
          </w:tcPr>
          <w:p>
            <w:pPr>
              <w:ind w:firstLine="709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117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ind w:firstLine="709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195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</w:tr>
      <w:tr>
        <w:trPr/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  <w:suppressLineNumbers w:val="0"/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6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3949" w:type="dxa"/>
            <w:textDirection w:val="lrTb"/>
            <w:noWrap w:val="false"/>
          </w:tcPr>
          <w:p>
            <w:pPr>
              <w:ind w:firstLine="709"/>
              <w:jc w:val="left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Волонтеры медики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2287" w:type="dxa"/>
            <w:textDirection w:val="lrTb"/>
            <w:noWrap w:val="false"/>
          </w:tcPr>
          <w:p>
            <w:pPr>
              <w:ind w:firstLine="709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85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ind w:firstLine="709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99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</w:tr>
      <w:tr>
        <w:trPr/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  <w:suppressLineNumbers w:val="0"/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7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3949" w:type="dxa"/>
            <w:textDirection w:val="lrTb"/>
            <w:noWrap w:val="false"/>
          </w:tcPr>
          <w:p>
            <w:pPr>
              <w:ind w:firstLine="709"/>
              <w:jc w:val="left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Волонтеры ЧС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2287" w:type="dxa"/>
            <w:textDirection w:val="lrTb"/>
            <w:noWrap w:val="false"/>
          </w:tcPr>
          <w:p>
            <w:pPr>
              <w:ind w:firstLine="709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70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ind w:firstLine="709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73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</w:tr>
      <w:tr>
        <w:trPr/>
        <w:tc>
          <w:tcPr>
            <w:tcW w:w="992" w:type="dxa"/>
            <w:textDirection w:val="lrTb"/>
            <w:noWrap w:val="false"/>
          </w:tcPr>
          <w:p>
            <w:pPr>
              <w:ind w:firstLine="0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  <w:suppressLineNumbers w:val="0"/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3949" w:type="dxa"/>
            <w:textDirection w:val="lrTb"/>
            <w:noWrap w:val="false"/>
          </w:tcPr>
          <w:p>
            <w:pPr>
              <w:ind w:firstLine="709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Итого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2287" w:type="dxa"/>
            <w:textDirection w:val="lrTb"/>
            <w:noWrap w:val="false"/>
          </w:tcPr>
          <w:p>
            <w:pPr>
              <w:ind w:firstLine="709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b/>
                <w:bCs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4"/>
                <w:szCs w:val="24"/>
                <w:highlight w:val="none"/>
              </w:rPr>
              <w:t xml:space="preserve">2 656</w:t>
            </w:r>
            <w:r>
              <w:rPr>
                <w:rFonts w:ascii="Liberation Sans" w:hAnsi="Liberation Sans" w:eastAsia="Liberation Sans" w:cs="Liberation Sans"/>
                <w:b/>
                <w:bCs/>
                <w:sz w:val="24"/>
                <w:szCs w:val="24"/>
                <w:highlight w:val="none"/>
                <w14:ligatures w14:val="none"/>
              </w:rPr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pPr>
              <w:ind w:firstLine="709"/>
              <w:jc w:val="center"/>
              <w:spacing w:before="0" w:beforeAutospacing="0" w:after="0" w:afterAutospacing="0" w:line="240" w:lineRule="auto"/>
              <w:tabs>
                <w:tab w:val="left" w:pos="709" w:leader="none"/>
              </w:tabs>
              <w:rPr>
                <w:rFonts w:ascii="Liberation Sans" w:hAnsi="Liberation Sans" w:eastAsia="Liberation Sans" w:cs="Liberation Sans"/>
                <w:b/>
                <w:bCs/>
                <w:sz w:val="24"/>
                <w:szCs w:val="24"/>
                <w:highlight w:val="none"/>
                <w14:ligatures w14:val="none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4"/>
                <w:szCs w:val="24"/>
                <w:highlight w:val="none"/>
              </w:rPr>
              <w:t xml:space="preserve">2 779</w:t>
            </w:r>
            <w:r>
              <w:rPr>
                <w:rFonts w:ascii="Liberation Sans" w:hAnsi="Liberation Sans" w:eastAsia="Liberation Sans" w:cs="Liberation Sans"/>
                <w:b/>
                <w:bCs/>
                <w:sz w:val="24"/>
                <w:szCs w:val="24"/>
                <w:highlight w:val="none"/>
                <w14:ligatures w14:val="none"/>
              </w:rPr>
            </w:r>
            <w:r/>
          </w:p>
        </w:tc>
      </w:tr>
    </w:tbl>
    <w:p>
      <w:pPr>
        <w:contextualSpacing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tabs>
          <w:tab w:val="left" w:pos="709" w:leader="none"/>
        </w:tabs>
        <w:rPr>
          <w:sz w:val="28"/>
          <w:szCs w:val="28"/>
          <w:highlight w:val="none"/>
        </w:rPr>
        <w:suppressLineNumbers w:val="0"/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Городским волонтерским штабом взаимопомощи #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МыВместе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при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нят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а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и отработан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а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101 заявка (79 на доставку продуктов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br/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и социально-бытовую помощь, 22 заяв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ки на доставку медикаментов, помощь членам семей лиц, участвующих в СВО).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Общая численность добровольцев - 665 человек (2022 год - 633,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2021 год - 535).</w:t>
      </w:r>
      <w:r>
        <w:rPr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sz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Волонтеры принимали участие в сопровождении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общегородских, окружных, всероссийских, международных мероприятий. Охват -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 более 3,0 тыс. волонтеров. </w:t>
      </w:r>
      <w:r>
        <w:rPr>
          <w:sz w:val="28"/>
          <w:highlight w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eastAsia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5 декабря 2023 года состоялось итоговое мероприятие «Доброволец года - 2023». Проведена торжественная церемония награждения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физических лиц, общественных организаций, предпринимателей и предприятий города Новый Уренгой, внесших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</w:t>
      </w:r>
      <w:r>
        <w:rPr>
          <w:rStyle w:val="1163"/>
          <w:rFonts w:ascii="Liberation Sans" w:hAnsi="Liberation Sans"/>
          <w:sz w:val="28"/>
          <w:szCs w:val="28"/>
          <w:highlight w:val="none"/>
          <w:shd w:val="clear" w:color="auto" w:fill="ffffff"/>
        </w:rPr>
        <w:t xml:space="preserve">значительный вклад в развитие добровольческого</w:t>
      </w:r>
      <w:r>
        <w:rPr>
          <w:rStyle w:val="1163"/>
          <w:rFonts w:ascii="Liberation Sans" w:hAnsi="Liberation Sans"/>
          <w:sz w:val="28"/>
          <w:szCs w:val="28"/>
          <w:highlight w:val="none"/>
          <w:shd w:val="clear" w:color="auto" w:fill="ffffff"/>
        </w:rPr>
        <w:t xml:space="preserve"> движения в </w:t>
      </w:r>
      <w:r>
        <w:rPr>
          <w:rFonts w:ascii="Liberation Sans" w:hAnsi="Liberation Sans" w:eastAsia="Times New Roman"/>
          <w:sz w:val="28"/>
          <w:szCs w:val="28"/>
          <w:highlight w:val="none"/>
          <w:lang w:eastAsia="ru-RU"/>
        </w:rPr>
        <w:t xml:space="preserve">муниципальном образовании.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Всего на территории муниципаль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ного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образования за 2023 год проведено 811 мероприятий по направлению «Вовлечение молодежи в добровольческую деятельность». Общий охват - 32 900 человек </w:t>
        <w:br/>
        <w:t xml:space="preserve">(2022 год - 799/32 100, 2021 год - 702/31 300). Из них 77 мероприятий проведено в рамках муниципального зад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ания, охват - 11 341 человек, из них 3 134 участников.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contextualSpacing/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b/>
          <w:bCs/>
          <w:sz w:val="28"/>
          <w:szCs w:val="28"/>
        </w:rPr>
        <w:t xml:space="preserve">Организация отдыха и трудовой занятости детей и молодежи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spacing w:after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eastAsia="Calibri" w:cs="Liberation Sans"/>
          <w:bCs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22"/>
        <w:ind w:left="0" w:firstLine="709"/>
        <w:jc w:val="both"/>
        <w:spacing w:after="0" w:afterAutospacing="0" w:line="240" w:lineRule="auto"/>
        <w:rPr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2023 году за счет бюджетных и внебюджетных средств реализовано 1 664 путёвки в выездные оздоровительные лагеря и центры, из них 781 путевка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для детей из льготных категорий.</w:t>
      </w:r>
      <w:r>
        <w:rPr>
          <w:highlight w:val="none"/>
        </w:rPr>
      </w:r>
      <w:r/>
    </w:p>
    <w:p>
      <w:pPr>
        <w:spacing w:after="0" w:afterAutospacing="0" w:line="240" w:lineRule="auto"/>
        <w:rPr>
          <w:highlight w:val="none"/>
        </w:rPr>
      </w:pPr>
      <w:r>
        <w:rPr>
          <w:rFonts w:ascii="Liberation Sans" w:hAnsi="Liberation Sans" w:cs="Liberation Sans"/>
          <w:highlight w:val="none"/>
        </w:rPr>
      </w:r>
      <w:r>
        <w:rPr>
          <w:highlight w:val="none"/>
        </w:rPr>
      </w:r>
      <w:r/>
    </w:p>
    <w:p>
      <w:pPr>
        <w:jc w:val="center"/>
        <w:spacing w:after="0" w:afterAutospacing="0" w:line="240" w:lineRule="auto"/>
        <w:rPr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Количество путевок,</w:t>
      </w:r>
      <w:r>
        <w:rPr>
          <w:sz w:val="28"/>
          <w:szCs w:val="28"/>
          <w:highlight w:val="none"/>
        </w:rPr>
      </w:r>
      <w:r/>
    </w:p>
    <w:p>
      <w:pPr>
        <w:jc w:val="center"/>
        <w:spacing w:after="0" w:afterAutospacing="0" w:line="240" w:lineRule="auto"/>
        <w:rPr>
          <w:sz w:val="32"/>
          <w:szCs w:val="32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реализованных за счет всех источников финансирования, ед.</w:t>
      </w:r>
      <w:r>
        <w:rPr>
          <w:sz w:val="32"/>
          <w:szCs w:val="32"/>
          <w:highlight w:val="none"/>
        </w:rPr>
      </w:r>
      <w:r/>
    </w:p>
    <w:p>
      <w:pPr>
        <w:ind w:firstLine="709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4"/>
          <w:szCs w:val="24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right"/>
        <w:spacing w:after="0" w:afterAutospacing="0" w:line="240" w:lineRule="auto"/>
        <w:rPr>
          <w:color w:val="auto"/>
          <w:sz w:val="22"/>
          <w:szCs w:val="22"/>
          <w:highlight w:val="none"/>
        </w:rPr>
      </w:pPr>
      <w:r>
        <w:rPr>
          <w:rFonts w:ascii="Liberation Sans" w:hAnsi="Liberation Sans" w:eastAsia="Liberation Sans" w:cs="Liberation Sans"/>
          <w:color w:val="ff0000"/>
          <w:sz w:val="24"/>
          <w:szCs w:val="24"/>
          <w:highlight w:val="none"/>
        </w:rPr>
        <w:tab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аблица 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</w:t>
      </w:r>
      <w:r>
        <w:rPr>
          <w:color w:val="auto"/>
          <w:sz w:val="22"/>
          <w:szCs w:val="22"/>
          <w:highlight w:val="none"/>
        </w:rPr>
      </w:r>
      <w:r/>
    </w:p>
    <w:tbl>
      <w:tblPr>
        <w:tblpPr w:horzAnchor="margin" w:tblpXSpec="left" w:vertAnchor="text" w:tblpY="26" w:leftFromText="180" w:topFromText="0" w:rightFromText="180" w:bottomFromText="200"/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"/>
        <w:gridCol w:w="3659"/>
        <w:gridCol w:w="1843"/>
        <w:gridCol w:w="1559"/>
        <w:gridCol w:w="1560"/>
      </w:tblGrid>
      <w:tr>
        <w:trPr>
          <w:trHeight w:val="1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15" w:type="dxa"/>
              <w:right w:w="108" w:type="dxa"/>
              <w:bottom w:w="0" w:type="dxa"/>
            </w:tcMar>
            <w:tcW w:w="734" w:type="dxa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  <w:t xml:space="preserve">№</w:t>
            </w:r>
            <w:r>
              <w:rPr>
                <w:sz w:val="24"/>
                <w:szCs w:val="24"/>
                <w:highlight w:val="none"/>
              </w:rPr>
            </w:r>
            <w:r/>
          </w:p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  <w:t xml:space="preserve">п</w:t>
            </w: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  <w:t xml:space="preserve">/п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15" w:type="dxa"/>
              <w:right w:w="108" w:type="dxa"/>
              <w:bottom w:w="0" w:type="dxa"/>
            </w:tcMar>
            <w:tcW w:w="3659" w:type="dxa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  <w:t xml:space="preserve">Источники финансирования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15" w:type="dxa"/>
              <w:right w:w="108" w:type="dxa"/>
              <w:bottom w:w="0" w:type="dxa"/>
            </w:tcMar>
            <w:tcW w:w="4962" w:type="dxa"/>
            <w:vAlign w:val="center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  <w:t xml:space="preserve">Количество путёвок</w:t>
            </w: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</w:r>
            <w:r/>
          </w:p>
        </w:tc>
      </w:tr>
      <w:tr>
        <w:trPr>
          <w:trHeight w:val="1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0" w:lineRule="atLeast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sz w:val="24"/>
                <w:szCs w:val="24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continue"/>
            <w:textDirection w:val="lrTb"/>
            <w:noWrap w:val="false"/>
          </w:tcPr>
          <w:p>
            <w:pPr>
              <w:spacing w:line="0" w:lineRule="atLeast"/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  <w:sz w:val="24"/>
                <w:szCs w:val="24"/>
              </w:rPr>
            </w:r>
            <w:r>
              <w:rPr>
                <w:rFonts w:ascii="Liberation Serif" w:hAnsi="Liberation Serif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  <w:t xml:space="preserve">2021 </w:t>
            </w: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  <w:t xml:space="preserve">год</w:t>
            </w:r>
            <w:r>
              <w:rPr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  <w:t xml:space="preserve">2022 </w:t>
            </w: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  <w:t xml:space="preserve">год</w:t>
            </w:r>
            <w:r>
              <w:rPr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  <w:t xml:space="preserve">2023 </w:t>
            </w: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  <w:t xml:space="preserve">год</w:t>
            </w:r>
            <w:r>
              <w:rPr>
                <w:sz w:val="24"/>
                <w:szCs w:val="24"/>
                <w:highlight w:val="none"/>
              </w:rPr>
            </w:r>
            <w:r/>
          </w:p>
        </w:tc>
      </w:tr>
      <w:tr>
        <w:trPr>
          <w:trHeight w:val="1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1</w:t>
            </w:r>
            <w:r>
              <w:rPr>
                <w:rFonts w:ascii="Liberation Serif" w:hAnsi="Liberation Serif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2</w:t>
            </w:r>
            <w:r>
              <w:rPr>
                <w:rFonts w:ascii="Liberation Serif" w:hAnsi="Liberation Serif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  <w:t xml:space="preserve">3</w:t>
            </w: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  <w:t xml:space="preserve">4</w:t>
            </w: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  <w:t xml:space="preserve">5</w:t>
            </w: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</w:r>
            <w:r/>
          </w:p>
        </w:tc>
      </w:tr>
      <w:tr>
        <w:trPr>
          <w:trHeight w:val="30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15" w:type="dxa"/>
              <w:right w:w="108" w:type="dxa"/>
              <w:bottom w:w="0" w:type="dxa"/>
            </w:tcMar>
            <w:tcW w:w="734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  <w:t xml:space="preserve">1 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15" w:type="dxa"/>
              <w:right w:w="108" w:type="dxa"/>
              <w:bottom w:w="0" w:type="dxa"/>
            </w:tcMar>
            <w:tcW w:w="3659" w:type="dxa"/>
            <w:textDirection w:val="lrTb"/>
            <w:noWrap w:val="false"/>
          </w:tcPr>
          <w:p>
            <w:pPr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  <w:t xml:space="preserve">Федеральный бюджет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39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35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41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</w:tr>
      <w:tr>
        <w:trPr>
          <w:trHeight w:val="14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15" w:type="dxa"/>
              <w:right w:w="108" w:type="dxa"/>
              <w:bottom w:w="0" w:type="dxa"/>
            </w:tcMar>
            <w:tcW w:w="734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  <w:t xml:space="preserve">2 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15" w:type="dxa"/>
              <w:right w:w="108" w:type="dxa"/>
              <w:bottom w:w="0" w:type="dxa"/>
            </w:tcMar>
            <w:tcW w:w="3659" w:type="dxa"/>
            <w:textDirection w:val="lrTb"/>
            <w:noWrap w:val="false"/>
          </w:tcPr>
          <w:p>
            <w:pPr>
              <w:spacing w:after="0" w:afterAutospacing="0" w:line="240" w:lineRule="auto"/>
              <w:shd w:val="clear" w:color="auto" w:fill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  <w:t xml:space="preserve">Окружной бюджет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shd w:val="clear" w:color="auto" w:fill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861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shd w:val="clear" w:color="auto" w:fill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1 162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shd w:val="clear" w:color="auto" w:fill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1 623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</w:tr>
      <w:tr>
        <w:trPr>
          <w:trHeight w:val="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15" w:type="dxa"/>
              <w:right w:w="108" w:type="dxa"/>
              <w:bottom w:w="0" w:type="dxa"/>
            </w:tcMar>
            <w:tcW w:w="734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  <w:t xml:space="preserve">3 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15" w:type="dxa"/>
              <w:right w:w="108" w:type="dxa"/>
              <w:bottom w:w="0" w:type="dxa"/>
            </w:tcMar>
            <w:tcW w:w="3659" w:type="dxa"/>
            <w:textDirection w:val="lrTb"/>
            <w:noWrap w:val="false"/>
          </w:tcPr>
          <w:p>
            <w:pPr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  <w:t xml:space="preserve">Местный бюджет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153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-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-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</w:tr>
      <w:tr>
        <w:trPr>
          <w:trHeight w:val="1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15" w:type="dxa"/>
              <w:right w:w="108" w:type="dxa"/>
              <w:bottom w:w="0" w:type="dxa"/>
            </w:tcMar>
            <w:tcW w:w="734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15" w:type="dxa"/>
              <w:right w:w="108" w:type="dxa"/>
              <w:bottom w:w="0" w:type="dxa"/>
            </w:tcMar>
            <w:tcW w:w="3659" w:type="dxa"/>
            <w:textDirection w:val="lrTb"/>
            <w:noWrap w:val="false"/>
          </w:tcPr>
          <w:p>
            <w:pPr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  <w:t xml:space="preserve">Межбюджетная субсидия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-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-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-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</w:tr>
      <w:tr>
        <w:trPr>
          <w:trHeight w:val="1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15" w:type="dxa"/>
              <w:right w:w="108" w:type="dxa"/>
              <w:bottom w:w="0" w:type="dxa"/>
            </w:tcMar>
            <w:tcW w:w="734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15" w:type="dxa"/>
              <w:right w:w="108" w:type="dxa"/>
              <w:bottom w:w="0" w:type="dxa"/>
            </w:tcMar>
            <w:tcW w:w="3659" w:type="dxa"/>
            <w:textDirection w:val="lrTb"/>
            <w:noWrap w:val="false"/>
          </w:tcPr>
          <w:p>
            <w:pPr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Cs/>
                <w:sz w:val="24"/>
                <w:szCs w:val="24"/>
                <w:highlight w:val="none"/>
              </w:rPr>
              <w:t xml:space="preserve">Средства предприятий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655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sz w:val="24"/>
                <w:szCs w:val="24"/>
                <w:highlight w:val="none"/>
              </w:rPr>
              <w:t xml:space="preserve">279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579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</w:tr>
      <w:tr>
        <w:trPr>
          <w:trHeight w:val="137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15" w:type="dxa"/>
              <w:right w:w="108" w:type="dxa"/>
              <w:bottom w:w="0" w:type="dxa"/>
            </w:tcMar>
            <w:tcW w:w="4393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sz w:val="24"/>
                <w:szCs w:val="24"/>
                <w:highlight w:val="none"/>
              </w:rPr>
              <w:t xml:space="preserve">Итого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43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bCs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/>
                <w:sz w:val="24"/>
                <w:szCs w:val="24"/>
                <w:highlight w:val="none"/>
              </w:rPr>
              <w:t xml:space="preserve">1 708</w:t>
            </w:r>
            <w:r>
              <w:rPr>
                <w:rFonts w:ascii="Liberation Sans" w:hAnsi="Liberation Sans" w:cs="Liberation Sans"/>
                <w:bCs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bCs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/>
                <w:sz w:val="24"/>
                <w:szCs w:val="24"/>
                <w:highlight w:val="none"/>
              </w:rPr>
              <w:t xml:space="preserve">1 476</w:t>
            </w:r>
            <w:r>
              <w:rPr>
                <w:rFonts w:ascii="Liberation Sans" w:hAnsi="Liberation Sans" w:cs="Liberation Sans"/>
                <w:bCs/>
                <w:sz w:val="24"/>
                <w:szCs w:val="24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60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tabs>
                <w:tab w:val="left" w:pos="1872" w:leader="none"/>
              </w:tabs>
              <w:rPr>
                <w:rFonts w:ascii="Liberation Sans" w:hAnsi="Liberation Sans" w:cs="Liberation Sans"/>
                <w:bCs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eastAsia="Liberation Sans" w:cs="Liberation Sans"/>
                <w:b/>
                <w:sz w:val="24"/>
                <w:szCs w:val="24"/>
                <w:highlight w:val="none"/>
              </w:rPr>
              <w:t xml:space="preserve">2 243</w:t>
            </w:r>
            <w:r>
              <w:rPr>
                <w:rFonts w:ascii="Liberation Sans" w:hAnsi="Liberation Sans" w:cs="Liberation Sans"/>
                <w:bCs/>
                <w:sz w:val="24"/>
                <w:szCs w:val="24"/>
                <w:highlight w:val="none"/>
              </w:rPr>
            </w:r>
            <w:r/>
          </w:p>
        </w:tc>
      </w:tr>
    </w:tbl>
    <w:p>
      <w:pPr>
        <w:ind w:firstLine="708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Услуг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и по организации сопровождения организованных детских групп к месту отдыха и обратн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 оказали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для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120 человек на сумму затрат местного бюджета 2 615,0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тыс. руб.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Отдых детей за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счет окружных и федеральных средств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 </w:t>
        <w:br/>
        <w:t xml:space="preserve">в 2023 году организован в 13 лагерях: АНО ОДООЦ «Ребячья республика», АНО ОДООЦ «Олимпийская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ребячка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»; АНО ООЦ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СТ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 «Серебряный бор»; АНО ОДООЛ «Остров детства», АНО ДООЦ «Алые паруса»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(Тюменская область), ФГБОУ МДЦ «Артек», «Код 250.240.89» (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Р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еспублика Крым), ФГБОУ ВДЦ «Смена», МБУ УБО «Эллада», ФГБОУ ВДЦ «Орлёнок», ДОЛ «Мадагаскар», ДОЛ «Юбилейный»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auto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(Краснодарский кра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й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auto"/>
        </w:rPr>
        <w:t xml:space="preserve">),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ГБУ ЯНАО «РЦПВ «Авангард» в г. Ноябрьск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е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 (ЯНАО).</w:t>
      </w:r>
      <w:r>
        <w:rPr>
          <w:sz w:val="28"/>
          <w:szCs w:val="28"/>
          <w:highlight w:val="none"/>
        </w:rPr>
      </w:r>
      <w:r/>
    </w:p>
    <w:p>
      <w:pPr>
        <w:pStyle w:val="1122"/>
        <w:ind w:left="0" w:firstLine="709"/>
        <w:jc w:val="both"/>
        <w:spacing w:after="0" w:afterAutospacing="0" w:line="240" w:lineRule="auto"/>
        <w:rPr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eastAsia="en-US"/>
        </w:rPr>
        <w:t xml:space="preserve">Все дети, направленные на отдых и оздоровление, были застрахованы от несчастных случаев во время пребывания в детских учреждениях, а также во время трансфера к местам отдыха.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течение всей оздоровител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ьной кампании осуществлялся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контроль за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качеством предоставления услуг по отдыху и оздоровлению, проводился постоянный мониторинг положения дел в детских лагерях. </w:t>
      </w:r>
      <w:r>
        <w:rPr>
          <w:highlight w:val="none"/>
        </w:rPr>
      </w:r>
      <w:r/>
    </w:p>
    <w:p>
      <w:pPr>
        <w:contextualSpacing/>
        <w:ind w:firstLine="708"/>
        <w:jc w:val="both"/>
        <w:spacing w:after="0" w:afterAutospacing="0" w:line="240" w:lineRule="auto"/>
        <w:rPr>
          <w:rFonts w:ascii="Liberation Sans" w:hAnsi="Liberation Sans" w:cs="Liberation Sans"/>
          <w:color w:val="000000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ffffff"/>
        </w:rPr>
        <w:t xml:space="preserve">В 2023 году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организована работа 9 летних лагерей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с дневным пребыванием детей на базе 7 образовательных организаций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  <w:shd w:val="clear" w:color="auto" w:fill="ffffff"/>
        </w:rPr>
        <w:t xml:space="preserve">в 3 смены д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  <w:shd w:val="clear" w:color="auto" w:fill="ffffff"/>
        </w:rPr>
        <w:t xml:space="preserve">ля 1 116 детей по следующим профилям: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</w:r>
      <w:r/>
    </w:p>
    <w:p>
      <w:pPr>
        <w:contextualSpacing/>
        <w:ind w:firstLine="708"/>
        <w:jc w:val="both"/>
        <w:spacing w:after="0" w:afterAutospacing="0" w:line="240" w:lineRule="auto"/>
        <w:rPr>
          <w:rFonts w:ascii="Liberation Sans" w:hAnsi="Liberation Sans" w:cs="Liberation Sans"/>
          <w:color w:val="000000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спортивно-оздоровительная и нравственно-патриотическая - </w:t>
        <w:br/>
        <w:t xml:space="preserve">93 ребёнка (МБДОУ «ДС 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Семицветик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);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</w:r>
      <w:r/>
    </w:p>
    <w:p>
      <w:pPr>
        <w:contextualSpacing/>
        <w:ind w:firstLine="708"/>
        <w:jc w:val="both"/>
        <w:spacing w:after="0" w:afterAutospacing="0" w:line="240" w:lineRule="auto"/>
        <w:rPr>
          <w:rFonts w:ascii="Liberation Sans" w:hAnsi="Liberation Sans" w:cs="Liberation Sans"/>
          <w:color w:val="000000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для детей с ОВЗ и инвалидов - 40 детей (МБОУС(К)Ш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№ 18);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</w:r>
      <w:r/>
    </w:p>
    <w:p>
      <w:pPr>
        <w:contextualSpacing/>
        <w:ind w:firstLine="708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безопасная среда, здоровый образ жизни - 195 детей (</w:t>
      </w:r>
      <w:r>
        <w:rPr>
          <w:rFonts w:ascii="Liberation Sans" w:hAnsi="Liberation Sans" w:cs="Liberation Sans"/>
          <w:color w:val="2d1600"/>
          <w:sz w:val="28"/>
          <w:szCs w:val="28"/>
          <w:highlight w:val="none"/>
        </w:rPr>
        <w:t xml:space="preserve">МБОУ «СШ № 5»)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contextualSpacing/>
        <w:ind w:firstLine="708"/>
        <w:jc w:val="both"/>
        <w:spacing w:after="0" w:afterAutospacing="0" w:line="240" w:lineRule="auto"/>
        <w:rPr>
          <w:rFonts w:ascii="Liberation Sans" w:hAnsi="Liberation Sans" w:cs="Liberation Sans"/>
          <w:color w:val="2d1600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спортивно-оздоровительная и техническая - 210 детей (</w:t>
      </w:r>
      <w:r>
        <w:rPr>
          <w:rFonts w:ascii="Liberation Sans" w:hAnsi="Liberation Sans" w:cs="Liberation Sans"/>
          <w:color w:val="2d1600"/>
          <w:sz w:val="28"/>
          <w:szCs w:val="28"/>
          <w:highlight w:val="none"/>
        </w:rPr>
        <w:t xml:space="preserve">МБОУ «СШ № 17»);</w:t>
      </w:r>
      <w:r>
        <w:rPr>
          <w:rFonts w:ascii="Liberation Sans" w:hAnsi="Liberation Sans" w:cs="Liberation Sans"/>
          <w:color w:val="2d1600"/>
          <w:sz w:val="28"/>
          <w:szCs w:val="28"/>
          <w:highlight w:val="none"/>
        </w:rPr>
      </w:r>
      <w:r/>
    </w:p>
    <w:p>
      <w:pPr>
        <w:contextualSpacing/>
        <w:ind w:firstLine="708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2d1600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творческая, спортивно-оздоровительная - 155 детей (</w:t>
      </w:r>
      <w:r>
        <w:rPr>
          <w:rFonts w:ascii="Liberation Sans" w:hAnsi="Liberation Sans" w:cs="Liberation Sans"/>
          <w:color w:val="2d1600"/>
          <w:sz w:val="28"/>
          <w:szCs w:val="28"/>
          <w:highlight w:val="none"/>
        </w:rPr>
        <w:t xml:space="preserve">МБОУ ДО ГДТ «Академия талантов»)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contextualSpacing/>
        <w:ind w:firstLine="708"/>
        <w:jc w:val="both"/>
        <w:spacing w:after="0" w:afterAutospacing="0" w:line="240" w:lineRule="auto"/>
        <w:rPr>
          <w:rFonts w:ascii="Liberation Sans" w:hAnsi="Liberation Sans" w:cs="Liberation Sans"/>
          <w:color w:val="000000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патриотическая, спортивно-оздоровительная - 275 детей (</w:t>
      </w:r>
      <w:r>
        <w:rPr>
          <w:rFonts w:ascii="Liberation Sans" w:hAnsi="Liberation Sans" w:cs="Liberation Sans"/>
          <w:color w:val="2d1600"/>
          <w:sz w:val="28"/>
          <w:szCs w:val="28"/>
          <w:highlight w:val="none"/>
        </w:rPr>
        <w:t xml:space="preserve">МБОУ КСОШ имени Героя РФ В.И. </w:t>
      </w:r>
      <w:r>
        <w:rPr>
          <w:rFonts w:ascii="Liberation Sans" w:hAnsi="Liberation Sans" w:cs="Liberation Sans"/>
          <w:color w:val="2d1600"/>
          <w:sz w:val="28"/>
          <w:szCs w:val="28"/>
          <w:highlight w:val="none"/>
        </w:rPr>
        <w:t xml:space="preserve">Шарпатова</w:t>
      </w:r>
      <w:r>
        <w:rPr>
          <w:rFonts w:ascii="Liberation Sans" w:hAnsi="Liberation Sans" w:cs="Liberation Sans"/>
          <w:color w:val="2d1600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</w:r>
      <w:r/>
    </w:p>
    <w:p>
      <w:pPr>
        <w:contextualSpacing/>
        <w:ind w:firstLine="708"/>
        <w:jc w:val="both"/>
        <w:spacing w:after="0" w:afterAutospacing="0" w:line="240" w:lineRule="auto"/>
        <w:rPr>
          <w:rFonts w:ascii="Liberation Sans" w:hAnsi="Liberation Sans" w:cs="Liberation Sans"/>
          <w:color w:val="000000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спортивно-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оздоровительная, гражданско-патриотическая - </w:t>
        <w:br/>
        <w:t xml:space="preserve">148 детей (</w:t>
      </w:r>
      <w:r>
        <w:rPr>
          <w:rFonts w:ascii="Liberation Sans" w:hAnsi="Liberation Sans" w:cs="Liberation Sans"/>
          <w:color w:val="2d1600"/>
          <w:sz w:val="28"/>
          <w:szCs w:val="28"/>
          <w:highlight w:val="none"/>
        </w:rPr>
        <w:t xml:space="preserve">МБОУ «СШ № 15»).</w:t>
      </w:r>
      <w:r>
        <w:rPr>
          <w:rFonts w:ascii="Liberation Sans" w:hAnsi="Liberation Sans" w:cs="Liberation Sans"/>
          <w:color w:val="000000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На территории города для вр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еменного трудоустройства граждан в возрасте от 14 до 18 лет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создано 1 251 рабочее место </w:t>
        <w:br/>
        <w:t xml:space="preserve">(+9,2% к уровню 2022 года),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трудоустроены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:</w:t>
      </w:r>
      <w:r>
        <w:rPr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- 464 человек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а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в организации города (+8,4% к уровню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2022 года);</w:t>
      </w:r>
      <w:r>
        <w:rPr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 630 человек в трудовые отряды Главы города, из них в районах Коротчаево и Лимбяяха - 135 человек (+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10,3%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к уровню 2022 г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ода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).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В трудовую деятельность был вовлечен 1 ребенок с ОВЗ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- 157 человек в муниципальные учреждения (+6,8% к уровню </w:t>
        <w:br/>
        <w:t xml:space="preserve">2022 года).</w:t>
      </w:r>
      <w:r>
        <w:rPr>
          <w:sz w:val="28"/>
          <w:szCs w:val="28"/>
          <w:highlight w:val="none"/>
        </w:rPr>
      </w:r>
      <w:r/>
    </w:p>
    <w:p>
      <w:pPr>
        <w:spacing w:after="0" w:afterAutospacing="0" w:line="240" w:lineRule="auto"/>
        <w:rPr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sz w:val="28"/>
          <w:szCs w:val="28"/>
        </w:rPr>
      </w:r>
      <w:r/>
    </w:p>
    <w:p>
      <w:pPr>
        <w:jc w:val="center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erif" w:hAnsi="Liberation Serif"/>
          <w:szCs w:val="28"/>
          <w:lang w:eastAsia="ru-RU"/>
        </w:rPr>
        <w:drawing>
          <wp:inline distT="0" distB="0" distL="0" distR="0">
            <wp:extent cx="5191124" cy="1342677"/>
            <wp:effectExtent l="9524" t="9524" r="9524" b="9524"/>
            <wp:docPr id="6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both"/>
        <w:spacing w:after="0" w:afterAutospacing="0" w:line="240" w:lineRule="auto"/>
        <w:rPr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000000"/>
          <w:spacing w:val="-3"/>
          <w:sz w:val="28"/>
          <w:szCs w:val="28"/>
          <w:highlight w:val="none"/>
        </w:rPr>
        <w:t xml:space="preserve">П</w:t>
      </w:r>
      <w:r>
        <w:rPr>
          <w:rFonts w:ascii="Liberation Sans" w:hAnsi="Liberation Sans" w:eastAsia="Liberation Sans" w:cs="Liberation Sans"/>
          <w:color w:val="000000"/>
          <w:spacing w:val="-3"/>
          <w:sz w:val="28"/>
          <w:szCs w:val="28"/>
          <w:highlight w:val="none"/>
        </w:rPr>
        <w:t xml:space="preserve">ервоочередное право на включение в список на временные рабочие места в Трудовой отряд Главы города в 2023 году имели несовершеннолетние граждане льготных категорий.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Ос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новны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е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вид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ы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работ в 2023 году для временного трудоустройства подростков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–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убо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рка, благоустройство и озеленение территорий, подсобные работы, ремонтные работы, курьерская деятельность, делопроизводство и др.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Временные рабочие места для трудоустройства несовершеннолетних в летний период 2023 года организованы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в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74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 организаци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ях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и учреждениях города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.</w:t>
      </w:r>
      <w:r>
        <w:rPr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000000"/>
          <w:spacing w:val="-3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Liberation Sans" w:cs="Liberation Sans"/>
          <w:color w:val="000000"/>
          <w:spacing w:val="-3"/>
          <w:sz w:val="28"/>
          <w:szCs w:val="28"/>
          <w:highlight w:val="none"/>
        </w:rPr>
        <w:t xml:space="preserve">Обеспечение трудовых отрядов специальной одеждой и обувью, </w:t>
        <w:br/>
        <w:t xml:space="preserve">а также расходными материалами осуществлялось за счет благотворительных средств.</w:t>
      </w:r>
      <w:r>
        <w:rPr>
          <w:rFonts w:ascii="Liberation Sans" w:hAnsi="Liberation Sans" w:eastAsia="Liberation Sans" w:cs="Liberation Sans"/>
          <w:color w:val="000000"/>
          <w:spacing w:val="-3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left="0" w:right="0" w:firstLine="0"/>
        <w:jc w:val="center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sz w:val="28"/>
          <w:szCs w:val="28"/>
          <w:highlight w:val="none"/>
        </w:rPr>
        <w:t xml:space="preserve">Профилактическая работа </w:t>
        <w:br/>
        <w:t xml:space="preserve">с несовершеннолетними </w:t>
      </w:r>
      <w:r>
        <w:rPr>
          <w:rFonts w:ascii="Liberation Sans" w:hAnsi="Liberation Sans" w:cs="Liberation Sans"/>
          <w:b/>
          <w:sz w:val="28"/>
          <w:szCs w:val="28"/>
          <w:highlight w:val="none"/>
        </w:rPr>
        <w:t xml:space="preserve">гражданами, молодежью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Состояние оперативной обстановки в городе Новый Уренгой </w:t>
        <w:br/>
        <w:t xml:space="preserve">по линии несовершеннолетних характеризуется значительным ростом подростковой преступности.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оду несовершеннолетним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 и при их участии совершено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45 преступлений 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(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2022 год - 8, 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2021 год - 12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)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Из них: 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краж,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34 преступления, св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язанные с незаконным оборотом наркотиков,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прочие 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6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(мошенничество, умышленное причинение вреда здоровью, вымогательство, оскорбление представителя власти, 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наруш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ение правил дорожного движения, повлекшее смерть двух </w:t>
        <w:br/>
        <w:t xml:space="preserve">и более лиц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 др.)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1118"/>
        <w:ind w:left="0"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совершении преступлений по итогам отчетного периода приняло участие 13 подростков, из них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5 несовершеннолетних являются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иногородними гражданами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left="0"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Рост преступлений обусловлен совершением 32 преступлений несовершеннолетними из г. Ирку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тск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прибывшими в горо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 Новый Уренгой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с целью распространения наркотиков. Также изменен подход к квалификации преступлений (ранее несколько эпизо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дов (закла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док) квалифици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овалось как единое преступление, в настоящее время каждый эпизод выделяется в отдельное преступление).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left="0" w:right="0" w:firstLine="0"/>
        <w:jc w:val="center"/>
        <w:spacing w:after="0" w:line="240" w:lineRule="auto"/>
        <w:rPr>
          <w:highlight w:val="none"/>
        </w:rPr>
      </w:pPr>
      <w:r>
        <w:rPr>
          <w:rFonts w:ascii="Liberation Serif" w:hAnsi="Liberation Serif" w:cs="Liberation Serif"/>
          <w:sz w:val="28"/>
          <w:szCs w:val="28"/>
          <w:highlight w:val="none"/>
        </w:rPr>
      </w:r>
      <w:r>
        <w:rPr>
          <w:rFonts w:ascii="Liberation Serif" w:hAnsi="Liberation Serif" w:cs="Liberation Serif"/>
          <w:highlight w:val="none"/>
        </w:rPr>
        <w:drawing>
          <wp:inline distT="0" distB="0" distL="0" distR="0">
            <wp:extent cx="5940966" cy="2071534"/>
            <wp:effectExtent l="4762" t="4762" r="4762" b="4762"/>
            <wp:docPr id="6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36"/>
          <w:szCs w:val="36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рамках административной и правовой юрисдикции в 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году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на заседаниях Комиссии по делам несовершеннолетних и защите </w:t>
        <w:br/>
        <w:t xml:space="preserve">их прав при 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дминистрации города Новый Уренгой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(далее - Комиссия) рассмотрен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517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материал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отношении несовершеннолетних, их законных представителей и иных граждан, в том числе в отношении несовершеннолетних количество рассмотренных материалов составило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93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(2022 год - 158, 2021 год - 177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 отношении родителей - 405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(2022 год - 390, 2021 год 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425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auto"/>
        </w:rPr>
        <w:t xml:space="preserve">иных граждан 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19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(2022 год - 22, 2021 год - 13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). 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  <w:spacing w:line="240" w:lineRule="auto"/>
        <w:rPr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drawing>
          <wp:inline distT="0" distB="0" distL="0" distR="0">
            <wp:extent cx="5479187" cy="1607942"/>
            <wp:effectExtent l="4762" t="4762" r="4762" b="4762"/>
            <wp:docPr id="6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  <w:r>
        <w:rPr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результатам рассмотрения материалов в 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году </w:t>
        <w:br/>
        <w:t xml:space="preserve">на профилакти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ческий учет Комиссии п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оставлен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5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подростков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34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сем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ьи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В результате проведенных профилактических мероприятий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снят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профилактического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учета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38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несовершеннолетни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х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39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семей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 конец 2023 года на учете Комиссии состоя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32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несовершеннолетних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 47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семей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находящихся в социально опасном положении. 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  <w:spacing w:line="240" w:lineRule="auto"/>
        <w:rPr>
          <w:highlight w:val="none"/>
        </w:rPr>
      </w:pPr>
      <w:r>
        <w:rPr>
          <w:rFonts w:ascii="Liberation Sans" w:hAnsi="Liberation Sans" w:cs="Liberation Sans"/>
          <w:highlight w:val="none"/>
        </w:rPr>
        <w:drawing>
          <wp:inline distT="0" distB="0" distL="0" distR="0">
            <wp:extent cx="5765693" cy="2362541"/>
            <wp:effectExtent l="4762" t="4762" r="4762" b="4762"/>
            <wp:docPr id="6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  <w:r>
        <w:rPr>
          <w:highlight w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  <w:spacing w:line="240" w:lineRule="auto"/>
        <w:rPr>
          <w:highlight w:val="none"/>
        </w:rPr>
      </w:pPr>
      <w:r>
        <w:rPr>
          <w:rFonts w:ascii="Liberation Sans" w:hAnsi="Liberation Sans" w:cs="Liberation Sans"/>
          <w:highlight w:val="none"/>
        </w:rPr>
      </w:r>
      <w:r>
        <w:rPr>
          <w:rFonts w:ascii="Liberation Sans" w:hAnsi="Liberation Sans" w:cs="Liberation Sans"/>
          <w:highlight w:val="none"/>
        </w:rPr>
        <w:drawing>
          <wp:inline distT="0" distB="0" distL="0" distR="0">
            <wp:extent cx="5633112" cy="2321162"/>
            <wp:effectExtent l="4762" t="4762" r="4762" b="4762"/>
            <wp:docPr id="6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  <w:r>
        <w:rPr>
          <w:highlight w:val="none"/>
        </w:rPr>
      </w:r>
      <w:r/>
    </w:p>
    <w:p>
      <w:pPr>
        <w:contextualSpacing/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contextualSpacing/>
        <w:ind w:firstLine="708"/>
        <w:jc w:val="both"/>
        <w:spacing w:after="0" w:line="240" w:lineRule="auto"/>
        <w:rPr>
          <w:rFonts w:ascii="Liberation Sans" w:hAnsi="Liberation Sans" w:eastAsia="Calibri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С целью повышения эффективности проведения инди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видуальной п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филактической работы, организации летнего отдыха несовершеннолетних «группы особого внимания», уровня педагогической грамотности родителей, раннего выявления семейного неблагополучия и недопущения фактов жестокого обращения </w:t>
        <w:br/>
        <w:t xml:space="preserve">с детьми в 2023 году проведено 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20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9 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профилактических мероприятий различного формата с обучающимися, 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студентами, 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их родителями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педагогами образовательных организаций 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(2022 год - 200, 2021 год - 130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)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 Общий охват составил 9 740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 человек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 (2022 год - 7 172, 2021 год - 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3 68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9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)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</w:r>
      <w:r/>
    </w:p>
    <w:p>
      <w:pPr>
        <w:pStyle w:val="1118"/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С целью </w:t>
      </w:r>
      <w:r>
        <w:rPr>
          <w:rFonts w:ascii="Liberation Sans" w:hAnsi="Liberation Sans" w:eastAsia="Liberation Serif" w:cs="Liberation Sans"/>
          <w:color w:val="auto"/>
          <w:sz w:val="28"/>
          <w:szCs w:val="28"/>
          <w:highlight w:val="none"/>
        </w:rPr>
        <w:t xml:space="preserve">выяснения и контроля обстановки, организации внеурочной занятости, защиты прав несовершеннолетних, в том числе по сообщениям органов и учреждений системы п</w:t>
      </w:r>
      <w:r>
        <w:rPr>
          <w:rFonts w:ascii="Liberation Sans" w:hAnsi="Liberation Sans" w:eastAsia="Liberation Serif" w:cs="Liberation Sans"/>
          <w:color w:val="auto"/>
          <w:sz w:val="28"/>
          <w:szCs w:val="28"/>
          <w:highlight w:val="none"/>
        </w:rPr>
        <w:t xml:space="preserve">рофилактики, обращениям граждан;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выявления несовершеннолетних, находящихся в социально опасном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ожении,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 органами и учрежд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ениями системы профилактики по месту ж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тельства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 течение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2023 года проведено </w:t>
        <w:br/>
        <w:t xml:space="preserve">75 совместных рейдов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(2022 год - 83, 2021 год - 74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auto"/>
        </w:rPr>
        <w:t xml:space="preserve">проверено</w:t>
      </w:r>
      <w:r>
        <w:rPr>
          <w:rFonts w:ascii="Liberation Sans" w:hAnsi="Liberation Sans" w:cs="Liberation Sans"/>
          <w:sz w:val="28"/>
          <w:szCs w:val="28"/>
          <w:highlight w:val="none"/>
          <w:shd w:val="clear" w:color="auto" w:fill="auto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432 се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мьи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(2022 год - 452, 2021 го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 - 401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ходе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торых дано </w:t>
        <w:br/>
        <w:t xml:space="preserve">698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комендаций по правовым, педаго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гическим и социаль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ным вопросам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(2022 год - 812, 2021 год - 736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МБУ «МРЦ» реализуются 3 профилактические программы: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«Школа социализации подростков «группы особого вниман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ия» - профилак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тика безнадзорности, правонарушений, преступлений среди подростков и молодежи «группы особого внимания». Основной формой групповой работы являются тренинги, практикумы, дискуссии. Проведено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91 занятие, охват -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869 человек;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«Сигнал»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–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первичн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ая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профилактик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употребления ПАВ, пропаганд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здорового образа жизни через развитие волонтерского движения в сфере профилактики. Мероприятия направлены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br/>
        <w:t xml:space="preserve">на профилактику алк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оголизма, нарк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омании,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табакокурения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 профилактику ВИЧ/СПИД, пропаганду здорового образа жизни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br/>
        <w:t xml:space="preserve">в подростково-молодежной среде. Проведено 122 мероприятия, </w:t>
        <w:br/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охват - 1 263 человека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«Наследие Севера» - содействие в успешной социализации молодежи к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оренных малочисленных народов Севера, профилактика асоциальных проявлений среди подростков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и молодежи. Проведено </w:t>
        <w:br/>
        <w:t xml:space="preserve">88 занятий, охват - 1 445 человек.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Специалистами МБУ «МРЦ» оказывается экстренная психологическая помощь детям, молодежи и их родителям (закон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ным представителям) по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средством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«Телефон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а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доверия».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В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2023 году обработано 1 236 обращений (2022 год - 1 628, 2021 год - 18 858),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из них: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6 - 13 лет - 158 человек;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14 - 17 лет - 488 человек;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18 - 35 л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ет - 361 человек;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старше 35 лет - 229 человек.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eastAsia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На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единый де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тский общеросси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йский номер телефона доверия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br/>
        <w:t xml:space="preserve">в 2023 году посту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пило 137 обращений (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2022 год - 176,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lang w:val="ru-RU"/>
        </w:rPr>
        <w:t xml:space="preserve">2021 год - </w:t>
        <w:br/>
        <w:t xml:space="preserve">149 обращений)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, из них: 109 консультаций несовершеннолетних </w:t>
        <w:br/>
        <w:t xml:space="preserve">от 12 до 18 лет, 28 конс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ультаций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родителей.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14:ligatures w14:val="none"/>
        </w:rPr>
      </w:r>
      <w:r/>
    </w:p>
    <w:p>
      <w:pPr>
        <w:contextualSpacing/>
        <w:ind w:firstLine="709"/>
        <w:jc w:val="both"/>
        <w:spacing w:after="0" w:afterAutospacing="0" w:line="240" w:lineRule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С целью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систематизации и автоматизации рабочих процессов профилактической работы с несовершеннолетними и сем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ьями «группы особого внимания» для объективного отражения проводимой работы на всех уровнях продолжена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работа по формированию </w:t>
        <w:br/>
        <w:t xml:space="preserve">и ведению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региональ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ного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банка данных семей и несовершеннолетних «группы особого внимания» (АИС «Подросток») на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102 рабочих местах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(2022 год - 100) 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89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организациях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2022 год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- 89)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системы профилактики безнадзорности и правонарушений несовершеннолетних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(далее - субъекты системы профилактики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). </w:t>
      </w:r>
      <w:r>
        <w:rPr>
          <w:highlight w:val="none"/>
        </w:rPr>
      </w:r>
      <w:r/>
    </w:p>
    <w:p>
      <w:pPr>
        <w:contextualSpacing/>
        <w:ind w:firstLine="709"/>
        <w:jc w:val="both"/>
        <w:spacing w:after="0" w:afterAutospacing="0" w:line="240" w:lineRule="auto"/>
        <w:rPr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 итогам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 года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рост общего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количества действий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субъектов систе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мы профилактики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городе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относительно 2022 года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составил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9,4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sz w:val="28"/>
          <w:szCs w:val="28"/>
          <w:highlight w:val="none"/>
        </w:rPr>
      </w:r>
      <w:r/>
    </w:p>
    <w:p>
      <w:pPr>
        <w:contextualSpacing/>
        <w:ind w:firstLine="709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contextualSpacing/>
        <w:ind w:left="0" w:right="0" w:firstLine="0"/>
        <w:jc w:val="both"/>
        <w:spacing w:after="0" w:afterAutospacing="0" w:line="240" w:lineRule="auto"/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drawing>
          <wp:inline distT="0" distB="0" distL="0" distR="0">
            <wp:extent cx="5955049" cy="1847602"/>
            <wp:effectExtent l="4762" t="4762" r="4762" b="4762"/>
            <wp:docPr id="6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contextualSpacing/>
        <w:ind w:firstLine="709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rPr>
          <w:rStyle w:val="947"/>
          <w:rFonts w:ascii="Liberation Sans" w:hAnsi="Liberation Sans" w:cs="Liberation Sans"/>
          <w:b/>
          <w:bCs/>
          <w:sz w:val="28"/>
          <w:szCs w:val="28"/>
          <w14:ligatures w14:val="none"/>
        </w:rPr>
      </w:pPr>
      <w:r/>
      <w:bookmarkStart w:id="60" w:name="_Toc60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  <w:highlight w:val="none"/>
        </w:rPr>
        <w:t xml:space="preserve">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Социальная защита населения</w:t>
      </w:r>
      <w:bookmarkEnd w:id="0"/>
      <w:r/>
      <w:bookmarkEnd w:id="60"/>
      <w:r>
        <w:rPr>
          <w:rStyle w:val="947"/>
          <w:rFonts w:ascii="Liberation Sans" w:hAnsi="Liberation Sans" w:cs="Liberation Sans"/>
          <w:b/>
          <w:bCs/>
          <w:sz w:val="28"/>
          <w:szCs w:val="28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</w:rPr>
        <w:t xml:space="preserve">Численность льготных категорий граждан, состоящих на учете </w:t>
      </w:r>
      <w:r>
        <w:rPr>
          <w:rFonts w:ascii="Liberation Sans" w:hAnsi="Liberation Sans" w:cs="Times New Roman"/>
          <w:sz w:val="28"/>
          <w:szCs w:val="28"/>
          <w:highlight w:val="none"/>
        </w:rPr>
        <w:br/>
        <w:t xml:space="preserve">в Управлении по труду и социальной защите населения Администрации города Новый Уренгой (далее - УТСЗН), на 31.12.2023 составила </w:t>
        <w:br/>
        <w:t xml:space="preserve">57 856 получателей (-2,6% к 2022 году).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Снижение численности льготных категорий связано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в первую очередь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с передачей в 2022 и 2023 годах федеральных выплат и пособий на детей в Социальный фонд России.</w:t>
      </w:r>
      <w:r>
        <w:rPr>
          <w:highlight w:val="none"/>
        </w:rPr>
      </w:r>
      <w:r/>
    </w:p>
    <w:p>
      <w:pPr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rPr>
          <w:highlight w:val="none"/>
        </w:rPr>
      </w:pPr>
      <w:r>
        <w:rPr>
          <w:rFonts w:ascii="Liberation Serif" w:hAnsi="Liberation Serif" w:cs="Times New Roman"/>
          <w:sz w:val="28"/>
          <w:szCs w:val="28"/>
          <w:highlight w:val="none"/>
          <w:lang w:eastAsia="ru-RU"/>
        </w:rPr>
        <w:drawing>
          <wp:inline distT="0" distB="0" distL="0" distR="0">
            <wp:extent cx="5437527" cy="1688058"/>
            <wp:effectExtent l="3175" t="3175" r="3175" b="3175"/>
            <wp:docPr id="68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  <w:r>
        <w:rPr>
          <w:highlight w:val="none"/>
        </w:rPr>
      </w:r>
      <w:r/>
    </w:p>
    <w:p>
      <w:pPr>
        <w:jc w:val="center"/>
        <w:spacing w:after="0" w:line="240" w:lineRule="auto"/>
        <w:rPr>
          <w:highlight w:val="none"/>
        </w:rPr>
      </w:pPr>
      <w:r>
        <w:rPr>
          <w:rFonts w:ascii="Liberation Sans" w:hAnsi="Liberation Sans" w:cs="Liberation Serif"/>
          <w:sz w:val="28"/>
          <w:szCs w:val="28"/>
          <w:highlight w:val="none"/>
        </w:rPr>
      </w:r>
      <w:r>
        <w:rPr>
          <w:highlight w:val="none"/>
        </w:rPr>
      </w:r>
      <w:r/>
    </w:p>
    <w:p>
      <w:pPr>
        <w:ind w:firstLine="720"/>
        <w:jc w:val="both"/>
        <w:spacing w:after="0" w:line="0" w:lineRule="atLeast"/>
        <w:rPr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</w:rPr>
        <w:t xml:space="preserve">Также с 01.01.2023 у УТСЗН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в рамках межведомственного взаимодействия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с целью определения права на предоставление мер социальной поддержки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появилась возможность проводить </w:t>
        <w:br/>
        <w:t xml:space="preserve">проверки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льготополучателей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на предмет осуществления трудовой деятельности, наличия/отсутствия регистрации по м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есту жительства </w:t>
        <w:br/>
        <w:t xml:space="preserve">в городе Новый Уренгой. По итогам проведенной работы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с учета сня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ты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более 13 тыс. человек.</w:t>
      </w:r>
      <w:r>
        <w:rPr>
          <w:highlight w:val="none"/>
        </w:rPr>
      </w:r>
      <w:r/>
    </w:p>
    <w:p>
      <w:pPr>
        <w:ind w:firstLine="720"/>
        <w:jc w:val="both"/>
        <w:spacing w:after="0" w:line="0" w:lineRule="atLeast"/>
        <w:rPr>
          <w:rFonts w:ascii="Liberation Sans" w:hAnsi="Liberation Sans" w:cs="Times New Roman"/>
          <w:sz w:val="28"/>
          <w:szCs w:val="28"/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</w:rPr>
        <w:t xml:space="preserve">Вместе с тем увеличилось количество многодетных семей, инвалидов и детей-инвалидов, 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получателей 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ежемесячного пособия 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неработающим пенсионерам, не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работающим гражданам (женщинам, 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достигшим возраста 50 ле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т и старше, мужчинам, достигшим 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возраста 55 лет и старше) и неработающим инвалидам (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«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ямальской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 пенсии»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)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получателей региональной социальной доплаты к пенсии.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Увеличилась численность получателей прочих льготных категорий, таких как: обучающиеся, имеющие право на бесплатный проезд </w:t>
        <w:br/>
        <w:t xml:space="preserve">в общественном транспорте; ветераны боевых действий; почетные доноры.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С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2023 года добавлена новая льготная категория «Участники СВО».</w:t>
      </w:r>
      <w:r>
        <w:rPr>
          <w:highlight w:val="none"/>
        </w:rPr>
        <w:t xml:space="preserve"> </w:t>
      </w:r>
      <w:r>
        <w:rPr>
          <w:rFonts w:ascii="Liberation Sans" w:hAnsi="Liberation Sans" w:cs="Liberation Serif"/>
          <w:color w:val="000000" w:themeColor="text1"/>
          <w:sz w:val="28"/>
          <w:szCs w:val="28"/>
          <w:highlight w:val="none"/>
        </w:rPr>
        <w:t xml:space="preserve">По состоянию на 31.12.2023 на учете в УТСЗН состоял </w:t>
        <w:br/>
        <w:t xml:space="preserve">991 участник СВО, из них призваны на военную службу </w:t>
        <w:br/>
        <w:t xml:space="preserve">по мобилизации 338 граждан (без учета возвратившихся из СВО </w:t>
        <w:br/>
        <w:t xml:space="preserve">по социальным и медицинским причинам, а также погибших).</w:t>
      </w:r>
      <w:r>
        <w:rPr>
          <w:rFonts w:ascii="Liberation Sans" w:hAnsi="Liberation Sans" w:cs="Times New Roman"/>
          <w:sz w:val="28"/>
          <w:szCs w:val="28"/>
          <w:highlight w:val="none"/>
        </w:rPr>
      </w:r>
      <w:r/>
    </w:p>
    <w:p>
      <w:pPr>
        <w:ind w:firstLine="720"/>
        <w:jc w:val="both"/>
        <w:spacing w:after="0" w:line="0" w:lineRule="atLeast"/>
        <w:rPr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</w:rPr>
        <w:t xml:space="preserve">Количество многодетных семей по сравнению с 2022 годом увеличилось на 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8,8%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и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составило 2 995 семей. Это связано </w:t>
        <w:br/>
        <w:t xml:space="preserve">с увеличением рождаемости, в том числе треть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его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и 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последующих детей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, миграцией населения,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предоставлением регионального материнского семейного капитала, который выдается в автономном округе наряду с федеральным материнским капиталом. Размер регионального материнского капитала при рождении или усыно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вле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нии второго ребенка составляет 150,0 тыс. руб., третьего и последующих - 500,0 тыс. руб. В 2023 году выдано 915 сертификатов (2022 год - 874, 2021 год - 874). 431 семья реализовала свое право на региональный материнский семейный капитал, что на 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7,3%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меньше, чем в 2022 году (465 семей).</w:t>
      </w:r>
      <w:r>
        <w:rPr>
          <w:highlight w:val="none"/>
        </w:rPr>
      </w:r>
      <w:r/>
    </w:p>
    <w:p>
      <w:pPr>
        <w:ind w:firstLine="720"/>
        <w:jc w:val="both"/>
        <w:spacing w:after="0" w:line="0" w:lineRule="atLeast"/>
        <w:rPr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</w:rPr>
        <w:t xml:space="preserve">Еще одним важным фактором является повышение эффективности оказания государственной социальной помощи путем усиления ее адресности, эффективности использования финансовых и/или материальных ресурсов.</w:t>
      </w:r>
      <w:r>
        <w:rPr>
          <w:highlight w:val="none"/>
        </w:rPr>
      </w:r>
      <w:r/>
    </w:p>
    <w:p>
      <w:pPr>
        <w:ind w:firstLine="720"/>
        <w:jc w:val="both"/>
        <w:spacing w:after="0" w:line="0" w:lineRule="atLeast"/>
        <w:rPr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</w:rPr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В 202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3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 году 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предоставление ежемесячной денежной выплаты </w:t>
        <w:br/>
        <w:t xml:space="preserve">в связи с рождением треть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его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 и последующих детей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 оформили 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br/>
        <w:t xml:space="preserve">639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 семей (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2022 год - 850 семей, 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2021 год - 679 семей).</w:t>
      </w:r>
      <w:r>
        <w:rPr>
          <w:highlight w:val="none"/>
        </w:rPr>
      </w:r>
      <w:r/>
    </w:p>
    <w:p>
      <w:pPr>
        <w:ind w:firstLine="720"/>
        <w:jc w:val="both"/>
        <w:spacing w:after="0" w:line="0" w:lineRule="atLeast"/>
        <w:rPr>
          <w:rFonts w:ascii="Liberation Sans" w:hAnsi="Liberation Sans" w:cs="Times New Roman"/>
          <w:sz w:val="28"/>
          <w:szCs w:val="28"/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По состоянию на 31.12.2023 на учете в УТСЗН состоя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ли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 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br/>
        <w:t xml:space="preserve">585 малоимущих семей 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(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2 266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 человек) 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(2022 год - 624 семьи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/</w:t>
        <w:br/>
        <w:t xml:space="preserve">2 411 человек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, 2021 год - 568 семей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/2 264 человека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)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. Снижение количества малоимущих семей на 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6,3%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в значительной степени связано с введением единого пособия на детей, которое выплачивается семьям с низким уровнем доходов. Назначение данной выплаты с 01.01.2023 производит Социальный фонд России. </w:t>
      </w:r>
      <w:r>
        <w:rPr>
          <w:rFonts w:ascii="Liberation Sans" w:hAnsi="Liberation Sans" w:cs="Times New Roman"/>
          <w:sz w:val="28"/>
          <w:szCs w:val="28"/>
          <w:highlight w:val="none"/>
        </w:rPr>
      </w:r>
      <w:r/>
    </w:p>
    <w:p>
      <w:pPr>
        <w:ind w:firstLine="720"/>
        <w:jc w:val="both"/>
        <w:spacing w:after="0" w:line="0" w:lineRule="atLeast"/>
        <w:rPr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</w:rPr>
        <w:t xml:space="preserve">В рамках государственной социальной помощи </w:t>
        <w:br/>
        <w:t xml:space="preserve">на основе социального контракта на реализацию мероприятий </w:t>
        <w:br/>
        <w:t xml:space="preserve">по осуществлению индивидуальной предпринимательской деятельности (да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лее - ИП) и по поиску работы в 2023 году малоимущими гражданами заключено 30 социальных контрактов, </w:t>
        <w:br/>
        <w:t xml:space="preserve">из них 24 направлены на поиск работы, 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6 - на развитие ИП (2022 год - 36/33/3 соответственно; 2021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 год - 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48/45/3 соответственно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).</w:t>
      </w:r>
      <w:r>
        <w:rPr>
          <w:highlight w:val="none"/>
        </w:rPr>
      </w:r>
      <w:r/>
    </w:p>
    <w:p>
      <w:pPr>
        <w:ind w:firstLine="720"/>
        <w:jc w:val="both"/>
        <w:spacing w:after="0" w:line="0" w:lineRule="atLeast"/>
        <w:rPr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</w:rPr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На учете в УТСЗН на 31.12.2023 состоял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2 240 инвалидов </w:t>
        <w:br/>
        <w:t xml:space="preserve">и 655 детей-инвалидов (2022 - 2 110/579, 2021 год - 2 130/529).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</w:t>
      </w:r>
      <w:r>
        <w:rPr>
          <w:highlight w:val="none"/>
        </w:rPr>
      </w:r>
      <w:r/>
    </w:p>
    <w:p>
      <w:pPr>
        <w:ind w:firstLine="720"/>
        <w:jc w:val="both"/>
        <w:spacing w:after="0" w:line="0" w:lineRule="atLeast"/>
        <w:rPr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</w:rPr>
        <w:t xml:space="preserve">Численность ветеранов ВОВ, бывших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несовершеннолетних узников, состоящих на учете, на 31.12.2023 составила 15 человек </w:t>
        <w:br/>
        <w:t xml:space="preserve">(2022 год - 18, 2021 год - 21).</w:t>
      </w:r>
      <w:r>
        <w:rPr>
          <w:highlight w:val="none"/>
        </w:rPr>
      </w:r>
      <w:r/>
    </w:p>
    <w:p>
      <w:pPr>
        <w:ind w:firstLine="720"/>
        <w:jc w:val="both"/>
        <w:spacing w:after="0" w:line="0" w:lineRule="atLeast"/>
        <w:rPr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</w:rPr>
        <w:t xml:space="preserve">Организовано санаторно-курортное лечение, оздоровление </w:t>
        <w:br/>
        <w:t xml:space="preserve">и реа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би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литация 476 граждан льготных категорий (неработающие граждане - 175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; участники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с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пец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иальной военной операции (за счет средств реабилитационного сертификата) - 23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; дети-инвалиды (за счет средств реабилитационного сертифика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та) -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58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; медицинская реабилитация для детей-инвалидов (за счет средств местного бюджета) - 5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; дети (в том числе дети-инвалиды, дети с ОВЗ, дети диспансерного учета) - 78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реабилитированные лица - 9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; многодетные семьи - 120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; инвалиды и сопровождающие их лица - 8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).</w:t>
      </w:r>
      <w:r>
        <w:rPr>
          <w:highlight w:val="none"/>
        </w:rPr>
      </w:r>
      <w:r/>
    </w:p>
    <w:p>
      <w:pPr>
        <w:ind w:firstLine="720"/>
        <w:jc w:val="both"/>
        <w:spacing w:after="0" w:line="0" w:lineRule="atLeast"/>
        <w:shd w:val="clear" w:color="auto" w:fill="auto"/>
        <w:rPr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</w:rPr>
        <w:t xml:space="preserve">В 2023 году в рамках регионального проекта «Финансовая поддержка семей при рождении детей» (национальный проект «Демография»)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назначены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выплаты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2 304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льготополучателям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9"/>
        <w:jc w:val="both"/>
        <w:spacing w:after="0" w:line="0" w:lineRule="atLeast"/>
        <w:rPr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</w:rPr>
        <w:t xml:space="preserve">Семьям с новорожденными детьми предоставлено </w:t>
        <w:br/>
        <w:t xml:space="preserve">147 подарочных комплектов детских принадлежностей «Малышу Ямала» 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(2022 год - 148,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 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2021 год - 156).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</w:rPr>
        <w:t xml:space="preserve">С 01.03.2023 введена новая мера поддержки –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электронный денежный сертификат на покупку детских товаров для семей </w:t>
        <w:br/>
        <w:t xml:space="preserve">с новорожденными детьми, которые ранее уже получали подарочный комплект детских принадлежностей «Малышу Ямала». Номинал сертификата в 2023 году составил 32,0 тыс. руб.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Сертификатом </w:t>
        <w:br/>
        <w:t xml:space="preserve">на детские товары можно воспользоваться на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маркетплейсе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Ozon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. 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</w:rPr>
        <w:t xml:space="preserve">За 2023 год в городе Новый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Уренгой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данный электронный сертификат назначен для 247 семей с новорожденными детьми.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both"/>
        <w:spacing w:after="0" w:line="240" w:lineRule="auto"/>
      </w:pPr>
      <w:r>
        <w:rPr>
          <w:rFonts w:ascii="Liberation Serif" w:hAnsi="Liberation Serif" w:cs="Times New Roman"/>
          <w:sz w:val="28"/>
          <w:szCs w:val="28"/>
          <w:highlight w:val="none"/>
          <w:lang w:eastAsia="ru-RU"/>
        </w:rPr>
        <w:drawing>
          <wp:inline distT="0" distB="0" distL="0" distR="0">
            <wp:extent cx="5897879" cy="3253739"/>
            <wp:effectExtent l="4762" t="4762" r="4762" b="4762"/>
            <wp:docPr id="6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  <w:r>
        <w:rPr>
          <w:rFonts w:ascii="Liberation Sans" w:hAnsi="Liberation Sans" w:cs="Liberation Serif"/>
          <w:color w:val="000000" w:themeColor="text1"/>
          <w:sz w:val="28"/>
          <w:szCs w:val="28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red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red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/>
      <w:bookmarkStart w:id="61" w:name="_Toc61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sz w:val="28"/>
          <w:szCs w:val="28"/>
          <w:highlight w:val="none"/>
        </w:rPr>
        <w:t xml:space="preserve">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Формирование доступной среды жизнедеятельности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br/>
        <w:t xml:space="preserve">для маломобильных групп населения</w:t>
      </w:r>
      <w:bookmarkEnd w:id="0"/>
      <w:r/>
      <w:bookmarkEnd w:id="61"/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</w:rPr>
        <w:t xml:space="preserve">В муниципальном образовании из 119 паспортизированных муниципальных социально значимых объектов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: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</w:rPr>
        <w:t xml:space="preserve">- полностью доступны для всех категорий инвалидов - </w:t>
        <w:br/>
        <w:t xml:space="preserve">58 объектов (48,7% от общего количества объектов); 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</w:rPr>
        <w:t xml:space="preserve">- условно доступен - 61 объект (51,3% от общего количества объектов).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  <w:lang w:eastAsia="ru-RU"/>
        </w:rPr>
        <w:drawing>
          <wp:inline distT="0" distB="0" distL="0" distR="0">
            <wp:extent cx="4792980" cy="1897380"/>
            <wp:effectExtent l="0" t="0" r="7620" b="7620"/>
            <wp:docPr id="7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Times New Roman"/>
          <w:sz w:val="28"/>
          <w:szCs w:val="28"/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</w:rPr>
        <w:t xml:space="preserve">В 2023 году проведены работы по созданию условий </w:t>
        <w:br/>
        <w:t xml:space="preserve">для беспрепятственного доступа маломобильных групп граждан </w:t>
        <w:br/>
        <w:t xml:space="preserve">на 14 объектах инфраструктуры: 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МАОУ «СШ «Перспектива», </w:t>
        <w:br/>
        <w:t xml:space="preserve">МАОУ СОШ № 4, 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МБОУ Гимназия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, МБДОУ «ДС  «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Ивушка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», </w:t>
        <w:br/>
        <w:t xml:space="preserve">МБДОУ «ДС «Ёлочка», МАДОУ «ДС «Метелица», МАДОУ «ДС  «Мальвина»,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 МАДОУ «ДС «Загадка»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, 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МАУ ДО «СШ </w:t>
        <w:br/>
        <w:t xml:space="preserve">имени К. Еременко»,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отдел по работе с обращениями граждан Управления общественных коммуникаций «Открытый город» Департамента внутренней политики Администрации города, отдел </w:t>
        <w:br/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по делам несовершеннолетних Администрации города,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 Управление </w:t>
        <w:br/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по труду и социальной защите населения Администрации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 города, Департамент образования Администрации города, Департамент строительства и жилищно-коммунального комплекса Администрации города.</w:t>
      </w:r>
      <w:r>
        <w:rPr>
          <w:rFonts w:ascii="Liberation Sans" w:hAnsi="Liberation Sans" w:cs="Times New Roman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</w:rPr>
        <w:t xml:space="preserve">В целях приспособления жилых помещений инвалидов и общего имуществ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в многоквартирных домах, в которых проживают инвалиды, выполнены работы по обеспечению доступности внутриквартирной адаптации у 1 инвалида-колясочника; проведены работы </w:t>
        <w:br/>
        <w:t xml:space="preserve">в 28 многоквартирных домах по обеспечению доступности общего имущества для инвалидов.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highlight w:val="none"/>
        </w:rPr>
      </w:r>
      <w:r>
        <w:rPr>
          <w:rFonts w:ascii="Liberation Sans" w:hAnsi="Liberation Sans" w:cs="Times New Roman"/>
          <w:sz w:val="28"/>
          <w:szCs w:val="28"/>
        </w:rPr>
        <w:t xml:space="preserve">По итогам проведенного опроса положительно оценили уровень доступности наиболее посещаемых объектов социальной инфраструктуры 171 человек или </w:t>
      </w:r>
      <w:r>
        <w:rPr>
          <w:rFonts w:ascii="Liberation Sans" w:hAnsi="Liberation Sans" w:cs="Times New Roman"/>
          <w:sz w:val="28"/>
          <w:szCs w:val="28"/>
        </w:rPr>
        <w:t xml:space="preserve">57,0%</w:t>
      </w:r>
      <w:r>
        <w:rPr>
          <w:rFonts w:ascii="Liberation Sans" w:hAnsi="Liberation Sans" w:cs="Times New Roman"/>
          <w:sz w:val="28"/>
          <w:szCs w:val="28"/>
        </w:rPr>
        <w:t xml:space="preserve"> от общего количества опрош</w:t>
      </w:r>
      <w:r>
        <w:rPr>
          <w:rFonts w:ascii="Liberation Sans" w:hAnsi="Liberation Sans" w:cs="Liberation Sans"/>
          <w:sz w:val="28"/>
          <w:szCs w:val="28"/>
        </w:rPr>
        <w:t xml:space="preserve">енных (300 человек).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left="0" w:right="0" w:firstLine="0"/>
        <w:jc w:val="center"/>
        <w:spacing w:after="0" w:line="240" w:lineRule="auto"/>
        <w:rPr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  <w:lang w:eastAsia="ru-RU"/>
        </w:rPr>
        <w:drawing>
          <wp:inline distT="0" distB="0" distL="0" distR="0">
            <wp:extent cx="5518490" cy="1503442"/>
            <wp:effectExtent l="3175" t="3175" r="3175" b="3175"/>
            <wp:docPr id="7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</w:rPr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Times New Roman"/>
          <w:sz w:val="28"/>
          <w:szCs w:val="28"/>
          <w:highlight w:val="none"/>
        </w:rPr>
        <w:t xml:space="preserve">Выполнены работы по обустройству 16 автомобильных стоянок для инвалидов по месту жительства в районах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Северный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и Южный.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Times New Roman"/>
        </w:rPr>
      </w:pPr>
      <w:r>
        <w:rPr>
          <w:rFonts w:ascii="Liberation Sans" w:hAnsi="Liberation Sans" w:cs="Times New Roman"/>
          <w:sz w:val="28"/>
          <w:szCs w:val="28"/>
        </w:rPr>
        <w:t xml:space="preserve">По итогам проведенного опроса положительно оценили уровень доступности автомобильных стоянок для инвалидов 175 человек или 58,3% от общего количества опрошенных (300 человек). </w:t>
      </w:r>
      <w:r>
        <w:rPr>
          <w:rFonts w:ascii="Liberation Sans" w:hAnsi="Liberation Sans" w:cs="Times New Roman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Times New Roman"/>
          <w:sz w:val="28"/>
          <w:szCs w:val="28"/>
          <w:highlight w:val="none"/>
        </w:rPr>
      </w:pPr>
      <w:r>
        <w:rPr>
          <w:rFonts w:ascii="Liberation Sans" w:hAnsi="Liberation Sans" w:cs="Liberation Serif"/>
          <w:sz w:val="28"/>
          <w:szCs w:val="28"/>
          <w:highlight w:val="none"/>
        </w:rPr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Информация о доступности объектов размещена на портале «Доступная среда в Ямало-Ненецком автономном округе»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https://ds.yanao.ru/AccessibleEnv/report_siobjreg. На карте доступности портала содержатся сведения о 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1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75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 объектах муниципального 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образования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(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2022 год - 164 объекта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, 2021 год - 154 объекта)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из них: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149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паспортов - актуальны,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в том ч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исле 119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муниципальных объектов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(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2022 год - 119 объектов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, 2021 год - 108 объектов),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паспорта </w:t>
      </w:r>
      <w:r>
        <w:rPr>
          <w:rFonts w:ascii="Liberation Sans" w:hAnsi="Liberation Sans" w:cs="Times New Roman"/>
          <w:sz w:val="28"/>
          <w:szCs w:val="28"/>
          <w:highlight w:val="none"/>
        </w:rPr>
        <w:br/>
        <w:t xml:space="preserve">26 объектов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находятся 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в стадии корректировки</w:t>
      </w:r>
      <w:r>
        <w:rPr>
          <w:rFonts w:ascii="Liberation Sans" w:hAnsi="Liberation Sans" w:cs="Times New Roman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Times New Roman"/>
          <w:sz w:val="28"/>
          <w:szCs w:val="28"/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rPr>
          <w:rStyle w:val="947"/>
          <w:rFonts w:ascii="Liberation Sans" w:hAnsi="Liberation Sans" w:cs="Liberation Sans"/>
          <w:b/>
          <w:bCs/>
          <w:sz w:val="28"/>
          <w:szCs w:val="28"/>
          <w14:ligatures w14:val="none"/>
        </w:rPr>
      </w:pPr>
      <w:r/>
      <w:bookmarkStart w:id="62" w:name="_Toc62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sz w:val="28"/>
          <w:szCs w:val="28"/>
          <w:highlight w:val="none"/>
        </w:rPr>
        <w:t xml:space="preserve">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Создание условий </w:t>
        <w:br/>
        <w:t xml:space="preserve">для оказания медицинской помощи населению</w:t>
      </w:r>
      <w:bookmarkEnd w:id="0"/>
      <w:r/>
      <w:bookmarkEnd w:id="62"/>
      <w:r>
        <w:rPr>
          <w:rStyle w:val="947"/>
          <w:rFonts w:ascii="Liberation Sans" w:hAnsi="Liberation Sans" w:cs="Liberation Sans"/>
          <w:b/>
          <w:bCs/>
          <w:sz w:val="28"/>
          <w:szCs w:val="28"/>
          <w14:ligatures w14:val="none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pacing w:val="-8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  <w:suppressLineNumbers w:val="0"/>
      </w:pPr>
      <w:r>
        <w:rPr>
          <w:rFonts w:ascii="Liberation Sans" w:hAnsi="Liberation Sans"/>
          <w:sz w:val="28"/>
          <w:szCs w:val="28"/>
          <w:highlight w:val="none"/>
        </w:rPr>
      </w:r>
      <w:r>
        <w:rPr>
          <w:rFonts w:ascii="Liberation Sans" w:hAnsi="Liberation Sans"/>
          <w:sz w:val="28"/>
          <w:szCs w:val="28"/>
          <w:highlight w:val="none"/>
        </w:rPr>
        <w:t xml:space="preserve">На территории муниципального образования функционировали </w:t>
        <w:br/>
        <w:t xml:space="preserve">7 лечебно-профилактических учреждений</w:t>
      </w:r>
      <w:r>
        <w:rPr>
          <w:rFonts w:ascii="Liberation Sans" w:hAnsi="Liberation Sans"/>
          <w:sz w:val="28"/>
          <w:szCs w:val="28"/>
          <w:highlight w:val="none"/>
        </w:rPr>
        <w:t xml:space="preserve">, в том числе: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  <w:suppressLineNumbers w:val="0"/>
      </w:pPr>
      <w:r>
        <w:rPr>
          <w:rFonts w:ascii="Liberation Sans" w:hAnsi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/>
          <w:sz w:val="28"/>
          <w:szCs w:val="28"/>
          <w:highlight w:val="none"/>
        </w:rPr>
        <w:t xml:space="preserve">государственное бюджетное учреждение здравоохранения </w:t>
      </w:r>
      <w:r>
        <w:rPr>
          <w:rFonts w:ascii="Liberation Sans" w:hAnsi="Liberation Sans"/>
          <w:sz w:val="28"/>
          <w:szCs w:val="28"/>
          <w:highlight w:val="none"/>
        </w:rPr>
        <w:t xml:space="preserve">Ямало-Ненецкого автономного округа </w:t>
      </w:r>
      <w:r>
        <w:rPr>
          <w:rFonts w:ascii="Liberation Sans" w:hAnsi="Liberation Sans"/>
          <w:sz w:val="28"/>
          <w:szCs w:val="28"/>
          <w:highlight w:val="none"/>
        </w:rPr>
        <w:t xml:space="preserve">«Новоуренгойская центральная городская больница» (далее - </w:t>
      </w:r>
      <w:r>
        <w:rPr>
          <w:rFonts w:ascii="Liberation Sans" w:hAnsi="Liberation Sans"/>
          <w:sz w:val="28"/>
          <w:szCs w:val="28"/>
          <w:highlight w:val="none"/>
        </w:rPr>
        <w:t xml:space="preserve">ГБУЗ ЯНАО</w:t>
      </w:r>
      <w:r>
        <w:rPr>
          <w:rFonts w:ascii="Liberation Sans" w:hAnsi="Liberation Sans"/>
          <w:sz w:val="28"/>
          <w:szCs w:val="28"/>
          <w:highlight w:val="none"/>
        </w:rPr>
        <w:t xml:space="preserve"> «НЦГБ»)</w:t>
      </w:r>
      <w:r>
        <w:rPr>
          <w:rFonts w:ascii="Liberation Sans" w:hAnsi="Liberation Sans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  <w:suppressLineNumbers w:val="0"/>
      </w:pP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государственное бюджетное учреждение здравоохранения Ямало-Ненецкого автономного округа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 «Новоуренгойский  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психоневрологический диспансер»;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  <w:suppressLineNumbers w:val="0"/>
      </w:pP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государственное бюджетное учреждение здравоохранения Ямало-Ненецкого автономного округа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 «Новоуренгойская ста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нция скорой медицинской помощи»;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  <w:suppressLineNumbers w:val="0"/>
      </w:pP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частное учреждение здравоохранения «Больница «РЖД-Медицина» г. Новый Уренгой»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  <w:suppressLineNumbers w:val="0"/>
      </w:pP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/>
          <w:sz w:val="28"/>
          <w:szCs w:val="28"/>
          <w:highlight w:val="none"/>
        </w:rPr>
        <w:t xml:space="preserve">- ООО «Сканер»;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  <w:suppressLineNumbers w:val="0"/>
      </w:pPr>
      <w:r>
        <w:rPr>
          <w:rFonts w:ascii="Liberation Sans" w:hAnsi="Liberation Sans"/>
          <w:sz w:val="28"/>
          <w:szCs w:val="28"/>
          <w:highlight w:val="none"/>
        </w:rPr>
        <w:t xml:space="preserve">- ООО «Семейный доктор»;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  <w:suppressLineNumbers w:val="0"/>
      </w:pPr>
      <w:r>
        <w:rPr>
          <w:rFonts w:ascii="Liberation Sans" w:hAnsi="Liberation Sans"/>
          <w:sz w:val="28"/>
          <w:szCs w:val="28"/>
          <w:highlight w:val="none"/>
        </w:rPr>
      </w:r>
      <w:r>
        <w:rPr>
          <w:rFonts w:ascii="Liberation Sans" w:hAnsi="Liberation Sans"/>
          <w:sz w:val="28"/>
          <w:szCs w:val="28"/>
          <w:highlight w:val="none"/>
        </w:rPr>
        <w:t xml:space="preserve">- ООО</w:t>
      </w:r>
      <w:r>
        <w:rPr>
          <w:rFonts w:ascii="Liberation Sans" w:hAnsi="Liberation Sans"/>
          <w:sz w:val="28"/>
          <w:szCs w:val="28"/>
          <w:highlight w:val="none"/>
        </w:rPr>
        <w:t xml:space="preserve"> «Медицинс</w:t>
      </w:r>
      <w:r>
        <w:rPr>
          <w:rFonts w:ascii="Liberation Sans" w:hAnsi="Liberation Sans"/>
          <w:sz w:val="28"/>
          <w:szCs w:val="28"/>
          <w:highlight w:val="none"/>
        </w:rPr>
        <w:t xml:space="preserve">кий центр «</w:t>
      </w:r>
      <w:r>
        <w:rPr>
          <w:rFonts w:ascii="Liberation Sans" w:hAnsi="Liberation Sans"/>
          <w:sz w:val="28"/>
          <w:szCs w:val="28"/>
          <w:highlight w:val="none"/>
        </w:rPr>
        <w:t xml:space="preserve">Гиппократ</w:t>
      </w:r>
      <w:r>
        <w:rPr>
          <w:rFonts w:ascii="Liberation Sans" w:hAnsi="Liberation Sans"/>
          <w:sz w:val="28"/>
          <w:szCs w:val="28"/>
          <w:highlight w:val="none"/>
        </w:rPr>
        <w:t xml:space="preserve">». 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  <w:suppressLineNumbers w:val="0"/>
      </w:pPr>
      <w:r>
        <w:rPr>
          <w:rFonts w:ascii="Liberation Sans" w:hAnsi="Liberation Sans"/>
          <w:sz w:val="28"/>
          <w:szCs w:val="28"/>
          <w:highlight w:val="none"/>
        </w:rPr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С 01.01.2023 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государственное а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втономное учреждение здравоохранения Ямало-Ненецкого автономного округа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  <w:shd w:val="clear" w:color="auto" w:fill="auto"/>
        </w:rPr>
        <w:t xml:space="preserve"> 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  <w:shd w:val="clear" w:color="auto" w:fill="auto"/>
        </w:rPr>
        <w:t xml:space="preserve">«Новоуренгойская городская стоматологическая поликлиника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» вошл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о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 в структуру ГБУЗ ЯНАО «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НЦГБ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». 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  <w:suppressLineNumbers w:val="0"/>
      </w:pP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/>
          <w:sz w:val="28"/>
          <w:szCs w:val="28"/>
          <w:highlight w:val="none"/>
        </w:rPr>
        <w:t xml:space="preserve">В целях создания условий для оказания медицинской помощи населению проведено: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  <w:suppressLineNumbers w:val="0"/>
      </w:pPr>
      <w:r>
        <w:rPr>
          <w:rFonts w:ascii="Liberation Sans" w:hAnsi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/>
          <w:sz w:val="28"/>
          <w:szCs w:val="28"/>
          <w:highlight w:val="none"/>
        </w:rPr>
        <w:t xml:space="preserve"> 3 заседания Межведомственного координационного совета  муниципального образования город Новый Уренгой по вопросам здравоохранения, на которых рассмотрены вопросы: о реализуемых проектах по </w:t>
      </w:r>
      <w:r>
        <w:rPr>
          <w:rFonts w:ascii="Liberation Sans" w:hAnsi="Liberation Sans"/>
          <w:sz w:val="28"/>
          <w:szCs w:val="28"/>
          <w:highlight w:val="none"/>
          <w:shd w:val="clear" w:color="auto" w:fill="auto"/>
        </w:rPr>
        <w:t xml:space="preserve">популяризации</w:t>
      </w:r>
      <w:r>
        <w:rPr>
          <w:rFonts w:ascii="Liberation Sans" w:hAnsi="Liberation Sans"/>
          <w:sz w:val="28"/>
          <w:szCs w:val="28"/>
          <w:highlight w:val="none"/>
          <w:shd w:val="clear" w:color="auto" w:fill="auto"/>
        </w:rPr>
        <w:t xml:space="preserve"> здорового образа жизни (далее -</w:t>
      </w:r>
      <w:r>
        <w:rPr>
          <w:rFonts w:ascii="Liberation Sans" w:hAnsi="Liberation Sans"/>
          <w:sz w:val="28"/>
          <w:szCs w:val="28"/>
          <w:highlight w:val="none"/>
          <w:shd w:val="clear" w:color="auto" w:fill="auto"/>
        </w:rPr>
        <w:t xml:space="preserve"> </w:t>
      </w:r>
      <w:r>
        <w:rPr>
          <w:rFonts w:ascii="Liberation Sans" w:hAnsi="Liberation Sans"/>
          <w:sz w:val="28"/>
          <w:szCs w:val="28"/>
          <w:highlight w:val="none"/>
          <w:shd w:val="clear" w:color="auto" w:fill="auto"/>
        </w:rPr>
        <w:t xml:space="preserve">ЗОЖ</w:t>
      </w:r>
      <w:r>
        <w:rPr>
          <w:rFonts w:ascii="Liberation Sans" w:hAnsi="Liberation Sans"/>
          <w:sz w:val="28"/>
          <w:szCs w:val="28"/>
          <w:highlight w:val="none"/>
          <w:shd w:val="clear" w:color="auto" w:fill="auto"/>
        </w:rPr>
        <w:t xml:space="preserve">)</w:t>
      </w:r>
      <w:r>
        <w:rPr>
          <w:rFonts w:ascii="Liberation Sans" w:hAnsi="Liberation Sans"/>
          <w:sz w:val="28"/>
          <w:szCs w:val="28"/>
          <w:highlight w:val="none"/>
        </w:rPr>
        <w:t xml:space="preserve"> среди </w:t>
      </w:r>
      <w:r>
        <w:rPr>
          <w:rFonts w:ascii="Liberation Sans" w:hAnsi="Liberation Sans"/>
          <w:sz w:val="28"/>
          <w:szCs w:val="28"/>
          <w:highlight w:val="none"/>
        </w:rPr>
        <w:t xml:space="preserve">новоуренгойцев</w:t>
      </w:r>
      <w:r>
        <w:rPr>
          <w:rFonts w:ascii="Liberation Sans" w:hAnsi="Liberation Sans"/>
          <w:sz w:val="28"/>
          <w:szCs w:val="28"/>
          <w:highlight w:val="none"/>
        </w:rPr>
        <w:t xml:space="preserve">; о взаимодействии субъектов системы профилактики по всем выявленным фактам суицидального поведения несовершеннолетних; об усилении мер по профилактике бешенства на территории города; о принятых мерах по стабилизации острых кишечных инфекций.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  <w:suppressLineNumbers w:val="0"/>
      </w:pPr>
      <w:r>
        <w:rPr>
          <w:rFonts w:ascii="Liberation Sans" w:hAnsi="Liberation Sans"/>
          <w:sz w:val="28"/>
          <w:szCs w:val="28"/>
          <w:highlight w:val="none"/>
        </w:rPr>
        <w:t xml:space="preserve">Заслушана </w:t>
      </w:r>
      <w:r>
        <w:rPr>
          <w:rFonts w:ascii="Liberation Sans" w:hAnsi="Liberation Sans"/>
          <w:sz w:val="28"/>
          <w:szCs w:val="28"/>
          <w:highlight w:val="none"/>
        </w:rPr>
        <w:t xml:space="preserve">информация о вакцинопрофилактике детского населения согласно национальному календарю профилактических прививок, календарю профилактических прививок по эпидемическим показаниям и порядку проведения профилактических прививок; проведении в 2023 году</w:t>
      </w:r>
      <w:r>
        <w:rPr>
          <w:rFonts w:ascii="Liberation Sans" w:hAnsi="Liberation Sans"/>
          <w:sz w:val="28"/>
          <w:szCs w:val="28"/>
          <w:highlight w:val="none"/>
        </w:rPr>
        <w:t xml:space="preserve"> д</w:t>
      </w:r>
      <w:r>
        <w:rPr>
          <w:rFonts w:ascii="Liberation Sans" w:hAnsi="Liberation Sans"/>
          <w:sz w:val="28"/>
          <w:szCs w:val="28"/>
          <w:highlight w:val="none"/>
        </w:rPr>
        <w:t xml:space="preserve">испансеризации определенных групп взрослого населения, участии предприятий ТЭК в данной диспансеризации; о заболеваемости ВИЧ-инфекцией на территории города и организации противоэпидемических мероприятий, направленных на предупреждение ВИЧ-инфицирования;</w:t>
      </w:r>
      <w:r>
        <w:rPr>
          <w:rFonts w:ascii="Liberation Sans" w:hAnsi="Liberation Sans"/>
          <w:sz w:val="28"/>
          <w:szCs w:val="28"/>
          <w:highlight w:val="none"/>
        </w:rPr>
        <w:t xml:space="preserve"> смертности населения муниципального образования в 2022 году; заболеваемости острыми кишечными инфекциями;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  <w:suppressLineNumbers w:val="0"/>
      </w:pPr>
      <w:r>
        <w:rPr>
          <w:rFonts w:ascii="Liberation Sans" w:hAnsi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/>
          <w:sz w:val="28"/>
          <w:szCs w:val="28"/>
          <w:highlight w:val="none"/>
        </w:rPr>
        <w:t xml:space="preserve"> 13 заседаний санитарно-противоэпидемической комиссии муниципального образования город Новый Уренгой, на которых рассмотрены вопросы: о заболеваемости </w:t>
      </w:r>
      <w:r>
        <w:rPr>
          <w:rFonts w:ascii="Liberation Sans" w:hAnsi="Liberation Sans"/>
          <w:sz w:val="28"/>
          <w:szCs w:val="28"/>
          <w:highlight w:val="none"/>
        </w:rPr>
        <w:t xml:space="preserve">иерсиниозом</w:t>
      </w:r>
      <w:r>
        <w:rPr>
          <w:rFonts w:ascii="Liberation Sans" w:hAnsi="Liberation Sans"/>
          <w:sz w:val="28"/>
          <w:szCs w:val="28"/>
          <w:highlight w:val="none"/>
        </w:rPr>
        <w:t xml:space="preserve">, о выявленных случаях кори и принятых мерах по стабилизации эпидемиологической ситуации по кори в муниципальном образовании город Новый Уренгой, о заболеваемости гриппом и ОРВИ.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  <w:suppressLineNumbers w:val="0"/>
      </w:pPr>
      <w:r>
        <w:rPr>
          <w:rFonts w:ascii="Liberation Sans" w:hAnsi="Liberation Sans"/>
          <w:sz w:val="28"/>
          <w:szCs w:val="28"/>
          <w:highlight w:val="none"/>
        </w:rPr>
        <w:t xml:space="preserve">Реализованы мероприятия, на</w:t>
      </w:r>
      <w:r>
        <w:rPr>
          <w:rFonts w:ascii="Liberation Sans" w:hAnsi="Liberation Sans"/>
          <w:sz w:val="28"/>
          <w:szCs w:val="28"/>
          <w:highlight w:val="none"/>
        </w:rPr>
        <w:t xml:space="preserve">правленные на достижение целевых показателей укрепления здоровья, повышение ожидаемой продолжительности жизни, снижение смертности и формирование системы мотивации граждан к здоровому образу жизни; профилактику туберкулеза, ВИЧ-инфекции, вирусных гепатитов</w:t>
      </w:r>
      <w:r>
        <w:rPr>
          <w:rFonts w:ascii="Liberation Sans" w:hAnsi="Liberation Sans"/>
          <w:sz w:val="28"/>
          <w:szCs w:val="28"/>
          <w:highlight w:val="none"/>
        </w:rPr>
        <w:t xml:space="preserve"> В</w:t>
      </w:r>
      <w:r>
        <w:rPr>
          <w:rFonts w:ascii="Liberation Sans" w:hAnsi="Liberation Sans"/>
          <w:sz w:val="28"/>
          <w:szCs w:val="28"/>
          <w:highlight w:val="none"/>
        </w:rPr>
        <w:t xml:space="preserve"> и С, а также природно-очаговых заболеваний, общих для человека и животных.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  <w:suppressLineNumbers w:val="0"/>
      </w:pPr>
      <w:r>
        <w:rPr>
          <w:rFonts w:ascii="Liberation Sans" w:hAnsi="Liberation Sans"/>
          <w:sz w:val="28"/>
          <w:szCs w:val="28"/>
          <w:highlight w:val="none"/>
        </w:rPr>
        <w:t xml:space="preserve">На постоянной основе проводилась работа по информированию и привлечению работодателей к организации прохождения работника</w:t>
      </w:r>
      <w:r>
        <w:rPr>
          <w:rFonts w:ascii="Liberation Sans" w:hAnsi="Liberation Sans"/>
          <w:sz w:val="28"/>
          <w:szCs w:val="28"/>
          <w:highlight w:val="none"/>
        </w:rPr>
        <w:t xml:space="preserve">ми диспансеризации определенных гру</w:t>
      </w:r>
      <w:r>
        <w:rPr>
          <w:rFonts w:ascii="Liberation Sans" w:hAnsi="Liberation Sans"/>
          <w:sz w:val="28"/>
          <w:szCs w:val="28"/>
          <w:highlight w:val="none"/>
        </w:rPr>
        <w:t xml:space="preserve">пп взр</w:t>
      </w:r>
      <w:r>
        <w:rPr>
          <w:rFonts w:ascii="Liberation Sans" w:hAnsi="Liberation Sans"/>
          <w:sz w:val="28"/>
          <w:szCs w:val="28"/>
          <w:highlight w:val="none"/>
        </w:rPr>
        <w:t xml:space="preserve">ослого населения, в том числе углубленной диспансеризации лиц, </w:t>
      </w:r>
      <w:r>
        <w:rPr>
          <w:rFonts w:ascii="Liberation Sans" w:hAnsi="Liberation Sans"/>
          <w:sz w:val="28"/>
          <w:szCs w:val="28"/>
          <w:highlight w:val="none"/>
        </w:rPr>
        <w:t xml:space="preserve">переболевших COVID-19.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  <w:suppressLineNumbers w:val="0"/>
      </w:pPr>
      <w:r>
        <w:rPr>
          <w:rFonts w:ascii="Liberation Sans" w:hAnsi="Liberation Sans"/>
          <w:sz w:val="28"/>
          <w:szCs w:val="28"/>
          <w:highlight w:val="none"/>
        </w:rPr>
        <w:t xml:space="preserve">В</w:t>
      </w:r>
      <w:r>
        <w:rPr>
          <w:rFonts w:ascii="Liberation Sans" w:hAnsi="Liberation Sans"/>
          <w:sz w:val="28"/>
          <w:szCs w:val="28"/>
          <w:highlight w:val="none"/>
        </w:rPr>
        <w:t xml:space="preserve"> 2023 году диспансеризаци</w:t>
      </w:r>
      <w:r>
        <w:rPr>
          <w:rFonts w:ascii="Liberation Sans" w:hAnsi="Liberation Sans"/>
          <w:sz w:val="28"/>
          <w:szCs w:val="28"/>
          <w:highlight w:val="none"/>
        </w:rPr>
        <w:t xml:space="preserve">ю определенных групп взрослого населения, в том числе углубленную</w:t>
      </w:r>
      <w:r>
        <w:rPr>
          <w:rFonts w:ascii="Liberation Sans" w:hAnsi="Liberation Sans"/>
          <w:sz w:val="28"/>
          <w:szCs w:val="28"/>
          <w:highlight w:val="none"/>
        </w:rPr>
        <w:t xml:space="preserve">,</w:t>
      </w:r>
      <w:r>
        <w:rPr>
          <w:rFonts w:ascii="Liberation Sans" w:hAnsi="Liberation Sans"/>
          <w:sz w:val="28"/>
          <w:szCs w:val="28"/>
          <w:highlight w:val="none"/>
        </w:rPr>
        <w:t xml:space="preserve"> прошли 37 167 человек, что составило </w:t>
      </w:r>
      <w:r>
        <w:rPr>
          <w:rFonts w:ascii="Liberation Sans" w:hAnsi="Liberation Sans"/>
          <w:sz w:val="28"/>
          <w:szCs w:val="28"/>
          <w:highlight w:val="none"/>
          <w:shd w:val="clear" w:color="auto" w:fill="auto"/>
        </w:rPr>
        <w:t xml:space="preserve">92,3%</w:t>
      </w:r>
      <w:r>
        <w:rPr>
          <w:rFonts w:ascii="Liberation Sans" w:hAnsi="Liberation Sans"/>
          <w:sz w:val="28"/>
          <w:szCs w:val="28"/>
          <w:highlight w:val="none"/>
        </w:rPr>
        <w:t xml:space="preserve"> от годового показателя</w:t>
      </w:r>
      <w:r>
        <w:rPr>
          <w:rFonts w:ascii="Liberation Sans" w:hAnsi="Liberation Sans"/>
          <w:sz w:val="28"/>
          <w:szCs w:val="28"/>
          <w:highlight w:val="none"/>
        </w:rPr>
        <w:t xml:space="preserve">, установленного департаментом здравоохранения ЯНАО (план - 4</w:t>
      </w:r>
      <w:r>
        <w:rPr>
          <w:rFonts w:ascii="Liberation Sans" w:hAnsi="Liberation Sans"/>
          <w:sz w:val="28"/>
          <w:szCs w:val="28"/>
          <w:highlight w:val="none"/>
        </w:rPr>
        <w:t xml:space="preserve">0 268 человек).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  <w:suppressLineNumbers w:val="0"/>
      </w:pPr>
      <w:r>
        <w:rPr>
          <w:rFonts w:ascii="Liberation Sans" w:hAnsi="Liberation Sans"/>
          <w:sz w:val="28"/>
          <w:szCs w:val="28"/>
          <w:highlight w:val="none"/>
        </w:rPr>
        <w:t xml:space="preserve">В рамках реализации </w:t>
      </w:r>
      <w:r>
        <w:rPr>
          <w:rFonts w:ascii="Liberation Sans" w:hAnsi="Liberation Sans"/>
          <w:sz w:val="28"/>
          <w:szCs w:val="28"/>
          <w:highlight w:val="none"/>
          <w:shd w:val="clear" w:color="auto" w:fill="auto"/>
        </w:rPr>
        <w:t xml:space="preserve">регионального проекта «Формиров</w:t>
      </w:r>
      <w:r>
        <w:rPr>
          <w:rFonts w:ascii="Liberation Sans" w:hAnsi="Liberation Sans"/>
          <w:sz w:val="28"/>
          <w:szCs w:val="28"/>
          <w:highlight w:val="none"/>
          <w:shd w:val="clear" w:color="auto" w:fill="auto"/>
        </w:rPr>
        <w:t xml:space="preserve">ание системы мотивации граждан к здоровому образу жизни, включая здоровое питание и отказ от вредных привычек в Ямало-Нене</w:t>
      </w:r>
      <w:r>
        <w:rPr>
          <w:rFonts w:ascii="Liberation Sans" w:hAnsi="Liberation Sans"/>
          <w:sz w:val="28"/>
          <w:szCs w:val="28"/>
          <w:highlight w:val="none"/>
          <w:shd w:val="clear" w:color="auto" w:fill="auto"/>
        </w:rPr>
        <w:t xml:space="preserve">цком автономном округе</w:t>
      </w:r>
      <w:r>
        <w:rPr>
          <w:rFonts w:ascii="Liberation Sans" w:hAnsi="Liberation Sans"/>
          <w:sz w:val="28"/>
          <w:szCs w:val="28"/>
          <w:highlight w:val="none"/>
          <w:shd w:val="clear" w:color="auto" w:fill="auto"/>
        </w:rPr>
        <w:t xml:space="preserve">»</w:t>
      </w:r>
      <w:r>
        <w:rPr>
          <w:rFonts w:ascii="Liberation Sans" w:hAnsi="Liberation Sans"/>
          <w:sz w:val="28"/>
          <w:szCs w:val="28"/>
          <w:highlight w:val="none"/>
          <w:shd w:val="clear" w:color="auto" w:fill="auto"/>
        </w:rPr>
        <w:t xml:space="preserve"> (национальный проект </w:t>
      </w:r>
      <w:r>
        <w:rPr>
          <w:rFonts w:ascii="Liberation Sans" w:hAnsi="Liberation Sans" w:cs="Times New Roman"/>
          <w:sz w:val="28"/>
          <w:szCs w:val="28"/>
          <w:highlight w:val="none"/>
          <w:shd w:val="clear" w:color="auto" w:fill="auto"/>
        </w:rPr>
        <w:t xml:space="preserve">«Демография»</w:t>
      </w:r>
      <w:r>
        <w:rPr>
          <w:rFonts w:ascii="Liberation Sans" w:hAnsi="Liberation Sans"/>
          <w:sz w:val="28"/>
          <w:szCs w:val="28"/>
          <w:highlight w:val="none"/>
          <w:shd w:val="clear" w:color="auto" w:fill="auto"/>
        </w:rPr>
        <w:t xml:space="preserve">)</w:t>
      </w:r>
      <w:r>
        <w:rPr>
          <w:rFonts w:ascii="Liberation Sans" w:hAnsi="Liberation Sans"/>
          <w:sz w:val="28"/>
          <w:szCs w:val="28"/>
          <w:highlight w:val="none"/>
          <w:shd w:val="clear" w:color="auto" w:fill="auto"/>
        </w:rPr>
        <w:t xml:space="preserve"> </w:t>
      </w:r>
      <w:r>
        <w:rPr>
          <w:rFonts w:ascii="Liberation Sans" w:hAnsi="Liberation Sans"/>
          <w:sz w:val="28"/>
          <w:szCs w:val="28"/>
          <w:highlight w:val="none"/>
        </w:rPr>
        <w:t xml:space="preserve">продолжена работа по максимальному </w:t>
      </w:r>
      <w:r>
        <w:rPr>
          <w:rFonts w:ascii="Liberation Sans" w:hAnsi="Liberation Sans"/>
          <w:sz w:val="28"/>
          <w:szCs w:val="28"/>
          <w:highlight w:val="none"/>
        </w:rPr>
        <w:t xml:space="preserve">вовлечению предприятий (организаций) во внедрение корпоративных программ укрепления здоровья работающих.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  <w:suppressLineNumbers w:val="0"/>
      </w:pPr>
      <w:r>
        <w:rPr>
          <w:rFonts w:ascii="Liberation Sans" w:hAnsi="Liberation Sans"/>
          <w:sz w:val="28"/>
          <w:szCs w:val="28"/>
          <w:highlight w:val="none"/>
        </w:rPr>
        <w:t xml:space="preserve">По результатам проведенной работы на 31.12.2023 корпоративные программы, содержащие практики по укреплению здоровья работников, внедрены в 18 организациях (на 31.12.2022 - </w:t>
        <w:br/>
      </w:r>
      <w:r>
        <w:rPr>
          <w:rFonts w:ascii="Liberation Sans" w:hAnsi="Liberation Sans"/>
          <w:sz w:val="28"/>
          <w:szCs w:val="28"/>
          <w:highlight w:val="none"/>
        </w:rPr>
        <w:t xml:space="preserve">в 10 организациях) по следующим направлениям: </w:t>
      </w:r>
      <w:r>
        <w:rPr>
          <w:rFonts w:ascii="Liberation Sans" w:hAnsi="Liberation Sans"/>
          <w:sz w:val="28"/>
          <w:szCs w:val="28"/>
          <w:highlight w:val="none"/>
        </w:rPr>
        <w:t xml:space="preserve">«Профилактика потребления табака» (7 организаций), </w:t>
      </w:r>
      <w:r>
        <w:rPr>
          <w:rFonts w:ascii="Liberation Sans" w:hAnsi="Liberation Sans"/>
          <w:sz w:val="28"/>
          <w:szCs w:val="28"/>
          <w:highlight w:val="none"/>
        </w:rPr>
        <w:t xml:space="preserve">«Повышение физической активности» (5 организаций),</w:t>
      </w:r>
      <w:r>
        <w:rPr>
          <w:highlight w:val="none"/>
        </w:rPr>
        <w:t xml:space="preserve"> </w:t>
      </w:r>
      <w:r>
        <w:rPr>
          <w:rFonts w:ascii="Liberation Sans" w:hAnsi="Liberation Sans"/>
          <w:sz w:val="28"/>
          <w:szCs w:val="28"/>
          <w:highlight w:val="none"/>
        </w:rPr>
        <w:t xml:space="preserve">«Сохранение психологического здоровья и благополучия» (3 организации), </w:t>
      </w:r>
      <w:r>
        <w:rPr>
          <w:rFonts w:ascii="Liberation Sans" w:hAnsi="Liberation Sans"/>
          <w:sz w:val="28"/>
          <w:szCs w:val="28"/>
          <w:highlight w:val="none"/>
        </w:rPr>
        <w:t xml:space="preserve">«Снижение потребления алкоголя </w:t>
        <w:br/>
        <w:t xml:space="preserve">с вредными последствиями» (1 организация), </w:t>
      </w:r>
      <w:r>
        <w:rPr>
          <w:rFonts w:ascii="Liberation Sans" w:hAnsi="Liberation Sans"/>
          <w:sz w:val="28"/>
          <w:szCs w:val="28"/>
          <w:highlight w:val="none"/>
        </w:rPr>
        <w:t xml:space="preserve">«Укрепление здоровья </w:t>
      </w:r>
      <w:r>
        <w:rPr>
          <w:rFonts w:ascii="Liberation Sans" w:hAnsi="Liberation Sans"/>
          <w:sz w:val="28"/>
          <w:szCs w:val="28"/>
          <w:highlight w:val="none"/>
        </w:rPr>
        <w:t xml:space="preserve">работающих</w:t>
      </w:r>
      <w:r>
        <w:rPr>
          <w:rFonts w:ascii="Liberation Sans" w:hAnsi="Liberation Sans"/>
          <w:sz w:val="28"/>
          <w:szCs w:val="28"/>
          <w:highlight w:val="none"/>
        </w:rPr>
        <w:t xml:space="preserve">» (1 организация), </w:t>
      </w:r>
      <w:r>
        <w:rPr>
          <w:rFonts w:ascii="Liberation Sans" w:hAnsi="Liberation Sans"/>
          <w:sz w:val="28"/>
          <w:szCs w:val="28"/>
          <w:highlight w:val="none"/>
        </w:rPr>
        <w:t xml:space="preserve">«Здоровое питание и рабочее место» </w:t>
        <w:br/>
        <w:t xml:space="preserve">(1 организация).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  <w:suppressLineNumbers w:val="0"/>
      </w:pPr>
      <w:r>
        <w:rPr>
          <w:rFonts w:ascii="Liberation Sans" w:hAnsi="Liberation Sans"/>
          <w:sz w:val="28"/>
          <w:szCs w:val="28"/>
          <w:highlight w:val="none"/>
        </w:rPr>
      </w:r>
      <w:r>
        <w:rPr>
          <w:rFonts w:ascii="Liberation Sans" w:hAnsi="Liberation Sans"/>
          <w:sz w:val="28"/>
          <w:szCs w:val="28"/>
          <w:highlight w:val="none"/>
        </w:rPr>
        <w:t xml:space="preserve">Меропри</w:t>
      </w:r>
      <w:r>
        <w:rPr>
          <w:rFonts w:ascii="Liberation Sans" w:hAnsi="Liberation Sans"/>
          <w:sz w:val="28"/>
          <w:szCs w:val="28"/>
          <w:highlight w:val="none"/>
        </w:rPr>
        <w:t xml:space="preserve">ятиями, предусмотренными корпоративными программами, охвачен</w:t>
      </w:r>
      <w:r>
        <w:rPr>
          <w:rFonts w:ascii="Liberation Sans" w:hAnsi="Liberation Sans"/>
          <w:sz w:val="28"/>
          <w:szCs w:val="28"/>
          <w:highlight w:val="none"/>
        </w:rPr>
        <w:t xml:space="preserve">ы</w:t>
      </w:r>
      <w:r>
        <w:rPr>
          <w:rFonts w:ascii="Liberation Sans" w:hAnsi="Liberation Sans"/>
          <w:sz w:val="28"/>
          <w:szCs w:val="28"/>
          <w:highlight w:val="none"/>
        </w:rPr>
        <w:t xml:space="preserve"> более 2 тыс. работников.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  <w:suppressLineNumbers w:val="0"/>
      </w:pPr>
      <w:r>
        <w:rPr>
          <w:rFonts w:ascii="Liberation Sans" w:hAnsi="Liberation Sans"/>
          <w:sz w:val="28"/>
          <w:szCs w:val="28"/>
          <w:highlight w:val="none"/>
        </w:rPr>
      </w:r>
      <w:r>
        <w:rPr>
          <w:rFonts w:ascii="Liberation Sans" w:hAnsi="Liberation Sans"/>
          <w:sz w:val="28"/>
          <w:szCs w:val="28"/>
          <w:highlight w:val="none"/>
        </w:rPr>
        <w:t xml:space="preserve">В целях повышения уровня грамотности и степени вовлеченности </w:t>
      </w:r>
      <w:r>
        <w:rPr>
          <w:rFonts w:ascii="Liberation Sans" w:hAnsi="Liberation Sans"/>
          <w:sz w:val="28"/>
          <w:szCs w:val="28"/>
          <w:highlight w:val="none"/>
        </w:rPr>
        <w:t xml:space="preserve">ямальских</w:t>
      </w:r>
      <w:r>
        <w:rPr>
          <w:rFonts w:ascii="Liberation Sans" w:hAnsi="Liberation Sans"/>
          <w:sz w:val="28"/>
          <w:szCs w:val="28"/>
          <w:highlight w:val="none"/>
        </w:rPr>
        <w:t xml:space="preserve"> женщин в сохранение и укрепление здоровья </w:t>
      </w:r>
      <w:r>
        <w:rPr>
          <w:rFonts w:ascii="Liberation Sans" w:hAnsi="Liberation Sans"/>
          <w:sz w:val="28"/>
          <w:szCs w:val="28"/>
          <w:highlight w:val="none"/>
        </w:rPr>
        <w:t xml:space="preserve">организован и проведен муниципальный конкурс «Модель здоровья» </w:t>
        <w:br/>
        <w:t xml:space="preserve">по 8 номинациям. На конкурс представлен</w:t>
      </w:r>
      <w:r>
        <w:rPr>
          <w:rFonts w:ascii="Liberation Sans" w:hAnsi="Liberation Sans"/>
          <w:sz w:val="28"/>
          <w:szCs w:val="28"/>
          <w:highlight w:val="none"/>
        </w:rPr>
        <w:t xml:space="preserve">о</w:t>
      </w:r>
      <w:r>
        <w:rPr>
          <w:rFonts w:ascii="Liberation Sans" w:hAnsi="Liberation Sans"/>
          <w:sz w:val="28"/>
          <w:szCs w:val="28"/>
          <w:highlight w:val="none"/>
        </w:rPr>
        <w:t xml:space="preserve"> 12 проектов </w:t>
        <w:br/>
        <w:t xml:space="preserve">в области мотивирования населения к ЗОЖ. Решением жюри определены 5 победителей.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  <w:suppressLineNumbers w:val="0"/>
      </w:pPr>
      <w:r>
        <w:rPr>
          <w:rFonts w:ascii="Liberation Sans" w:hAnsi="Liberation Sans"/>
          <w:sz w:val="28"/>
          <w:szCs w:val="28"/>
          <w:highlight w:val="none"/>
        </w:rPr>
      </w:r>
      <w:r>
        <w:rPr>
          <w:rFonts w:ascii="Liberation Sans" w:hAnsi="Liberation Sans"/>
          <w:sz w:val="28"/>
          <w:szCs w:val="28"/>
          <w:highlight w:val="none"/>
        </w:rPr>
        <w:t xml:space="preserve">Также проведена организационная работа по привлеч</w:t>
      </w:r>
      <w:r>
        <w:rPr>
          <w:rFonts w:ascii="Liberation Sans" w:hAnsi="Liberation Sans"/>
          <w:sz w:val="28"/>
          <w:szCs w:val="28"/>
          <w:highlight w:val="none"/>
        </w:rPr>
        <w:t xml:space="preserve">ению </w:t>
      </w:r>
      <w:r>
        <w:rPr>
          <w:rFonts w:ascii="Liberation Sans" w:hAnsi="Liberation Sans"/>
          <w:sz w:val="28"/>
          <w:szCs w:val="28"/>
          <w:highlight w:val="none"/>
        </w:rPr>
        <w:t xml:space="preserve">новоуренгойских</w:t>
      </w:r>
      <w:r>
        <w:rPr>
          <w:rFonts w:ascii="Liberation Sans" w:hAnsi="Liberation Sans"/>
          <w:sz w:val="28"/>
          <w:szCs w:val="28"/>
          <w:highlight w:val="none"/>
        </w:rPr>
        <w:t xml:space="preserve"> женщин к участию: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  <w:suppressLineNumbers w:val="0"/>
      </w:pPr>
      <w:r>
        <w:rPr>
          <w:rFonts w:ascii="Liberation Sans" w:hAnsi="Liberation Sans"/>
          <w:sz w:val="28"/>
          <w:szCs w:val="28"/>
          <w:highlight w:val="none"/>
        </w:rPr>
        <w:t xml:space="preserve">- в окружном межведомственном проекте «Женщины Ямала </w:t>
        <w:br/>
        <w:t xml:space="preserve">за здоровое общество» (120 участниц);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  <w:suppressLineNumbers w:val="0"/>
      </w:pPr>
      <w:r>
        <w:rPr>
          <w:rFonts w:ascii="Liberation Sans" w:hAnsi="Liberation Sans"/>
          <w:sz w:val="28"/>
          <w:szCs w:val="28"/>
          <w:highlight w:val="none"/>
        </w:rPr>
        <w:t xml:space="preserve">- в федеральном конкурсе «Женщина - модель здоровья»</w:t>
        <w:br/>
        <w:t xml:space="preserve">(2 участницы, одна из которых заняла 1 место);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14:ligatures w14:val="none"/>
        </w:rPr>
        <w:suppressLineNumbers w:val="0"/>
      </w:pPr>
      <w:r>
        <w:rPr>
          <w:rFonts w:ascii="Liberation Sans" w:hAnsi="Liberation Sans"/>
          <w:sz w:val="28"/>
          <w:szCs w:val="28"/>
          <w:highlight w:val="none"/>
        </w:rPr>
      </w:r>
      <w:r>
        <w:rPr>
          <w:rFonts w:ascii="Liberation Sans" w:hAnsi="Liberation Sans"/>
          <w:sz w:val="28"/>
          <w:szCs w:val="28"/>
          <w:highlight w:val="none"/>
        </w:rPr>
        <w:t xml:space="preserve">- в окружном конкурсе «Модель здоровья» (7 участниц, одна </w:t>
        <w:br/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  <w:t xml:space="preserve">из которых заняла 1 место).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  <w:t xml:space="preserve">В конце 2023 года введен в эксплуатацию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  <w:t xml:space="preserve">радиотерапевтический корпус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  <w:t xml:space="preserve"> ГБУЗ ЯНАО «НЦГБ»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Продолжены работы по строительству и выполнению проектно-изыскательских работ по объектам ГБУЗ ЯНАО «НЦГБ»: хирургический корпус,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 участковая больница района 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Коротчаево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, взрослая поликлиника в районе 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Южный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shd w:val="clear" w:color="auto" w:fill="ffffff"/>
        <w:rPr>
          <w:rFonts w:ascii="Liberation Sans" w:hAnsi="Liberation Sans" w:cs="Liberation Sans"/>
          <w:sz w:val="28"/>
          <w:szCs w:val="28"/>
          <w:highlight w:val="red"/>
        </w:rPr>
      </w:pPr>
      <w:r>
        <w:rPr>
          <w:rFonts w:ascii="Liberation Sans" w:hAnsi="Liberation Sans" w:cs="Liberation Sans"/>
          <w:sz w:val="28"/>
          <w:szCs w:val="28"/>
          <w:highlight w:val="red"/>
        </w:rPr>
      </w:r>
      <w:r>
        <w:rPr>
          <w:rFonts w:ascii="Liberation Sans" w:hAnsi="Liberation Sans" w:cs="Liberation Sans"/>
          <w:sz w:val="28"/>
          <w:szCs w:val="28"/>
          <w:highlight w:val="red"/>
        </w:rPr>
      </w:r>
      <w:r/>
    </w:p>
    <w:p>
      <w:pPr>
        <w:pStyle w:val="946"/>
        <w:numPr>
          <w:ilvl w:val="1"/>
          <w:numId w:val="2"/>
        </w:numPr>
        <w:ind w:left="0" w:firstLine="0"/>
        <w:jc w:val="center"/>
        <w:spacing w:before="0" w:beforeAutospacing="0" w:after="0" w:afterAutospacing="0" w:line="240" w:lineRule="auto"/>
        <w:tabs>
          <w:tab w:val="left" w:pos="283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/>
      <w:bookmarkStart w:id="63" w:name="_Toc63"/>
      <w:r/>
      <w:bookmarkStart w:id="0" w:name="undefined"/>
      <w:r>
        <w:rPr>
          <w:rStyle w:val="945"/>
          <w:rFonts w:ascii="Liberation Sans" w:hAnsi="Liberation Sans" w:eastAsia="Calibri" w:cs="Liberation Sans"/>
          <w:b/>
          <w:bCs/>
          <w:sz w:val="28"/>
          <w:szCs w:val="28"/>
        </w:rPr>
        <w:t xml:space="preserve">Создание условий для развития туризма</w:t>
      </w:r>
      <w:bookmarkEnd w:id="0"/>
      <w:r/>
      <w:bookmarkEnd w:id="63"/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Calibri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567" w:leader="none"/>
          <w:tab w:val="left" w:pos="709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2023 году в муниципальном образовании осуществляли деятельность 17 коллективных средств размещения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(без учета баз отдыха)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(2022 год - 18, 2021 год - 16) и 10 туристических агентств, работающих по направлению внутреннего и выездного туризма </w:t>
        <w:br/>
        <w:t xml:space="preserve">(2022 год - 10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 2021 год - 10)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567" w:leader="none"/>
          <w:tab w:val="left" w:pos="709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По данным коллективных средств размещения в течение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br/>
        <w:t xml:space="preserve">2023 года муниципальное образование посетили 67 044 человека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br/>
        <w:t xml:space="preserve">(без учета неорганизованных туристов) (2022 год - 50 894 человека, 2021 год - 53 325 человек).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2023 году в городе Новый Уренгой осуществляли деятельность 3 музея: МБУК «Новоуренгойский городской музей изобразительных искусств»; музей истор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ООО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«Газпром добыча Уренгой»; образовательный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этнопарк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«Аркториум», в состав которого входит краеведческий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музей.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sz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Памятные подарки и сувениры на северную тематику туристы могли приобрести в сувенирных лавках в гостиницах, торговых центрах, а также в аэропорту и на железнодорожном вокзале.</w:t>
      </w:r>
      <w:r>
        <w:rPr>
          <w:rFonts w:ascii="Liberation Sans" w:hAnsi="Liberation Sans" w:cs="Liberation Sans"/>
          <w:sz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2023 году установлено 3 знака туристкой навигации (знаки-указатели). В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сего на конец года в городе находил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ось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12 знаков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br/>
        <w:t xml:space="preserve">(2022 год - 9, 2021 год - 9).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Для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участия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 в окружном конкурсе лучших туристических проектов в области внутреннего и въездного туризма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в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 2023 году </w:t>
        <w:br/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от муниципального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образования подано 5 заявок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.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Грант в сумме </w:t>
        <w:br/>
        <w:t xml:space="preserve">5,0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млн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 руб. предоставлен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ООО «Мастер сайт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Весь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М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ир» </w:t>
        <w:br/>
        <w:t xml:space="preserve">на реализацию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проекта «Душа Ямала»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:shd w:val="clear" w:color="auto" w:fill="auto"/>
        </w:rPr>
        <w:t xml:space="preserve">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сентябре 2023 год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а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для сотрудников сферы туризма, сервиса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br/>
        <w:t xml:space="preserve">и культуры в городе Новый Уренгой было проведено окружное обучающее мероприятие «Школа экскурс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оводов». Организатором выступило ГБУ ЯНАО «Агентство по развитию регио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нального туризма» при поддержке департамента молодёжной политики ЯНАО и Администрации города. Участие в мероприятии от города принял </w:t>
        <w:br/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1 сотруд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ник МАУ МЦКП и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ТР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«Арт-резиденция», 4 сотрудника МБУК «Новоуренгойский городской музей изобразительных искусств».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2023 году разработан мастер-план туристского кода центра города Новый Уренгой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auto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рамках Молодежного форума - 2023 «Грелка 48» проведен </w:t>
        <w:br/>
        <w:t xml:space="preserve">к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ейс-че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мпионат «Тёплый тур в НУР». Участниками разрабатывались туристические маршруты в городе Новый Уренгой для дальнейшего включения в федеральный проект «Больше, чем путешествие». </w:t>
        <w:br/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Для участников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организована выездная экскурсия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на объект «Тюменская сверхглубокая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скважина (СГ-6)» и в музей истор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ии</w:t>
        <w:br/>
        <w:t xml:space="preserve"> ООО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«Газпром добы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ча Уренгой».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В 2023 году сформирована рабочая группа по развитию промышленного туризма с представителями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Правительства ЯНАО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, организаций муниципального образования.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2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023 году в 3-й Всероссийской образовательной программе </w:t>
        <w:br/>
        <w:t xml:space="preserve">по развитию промышленного туризма «Открытая промышленность» </w:t>
      </w:r>
      <w:r>
        <w:rPr>
          <w:rFonts w:ascii="Liberation Sans" w:hAnsi="Liberation Sans" w:eastAsia="Liberation Sans" w:cs="Liberation Sans"/>
          <w:bCs/>
          <w:sz w:val="28"/>
          <w:szCs w:val="28"/>
          <w:highlight w:val="none"/>
        </w:rPr>
        <w:t xml:space="preserve">приняли участие 10 представителей организаций города.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eastAsia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9 ноября 2023 года</w:t>
      </w:r>
      <w:r>
        <w:rPr>
          <w:rFonts w:ascii="Liberation Sans" w:hAnsi="Liberation Sans" w:eastAsia="Liberation Sans" w:cs="Liberation Sans"/>
          <w:color w:val="ff0000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организован выезд экскурсионной группы </w:t>
        <w:br/>
        <w:t xml:space="preserve">по промышленным объек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там. Участники посетили строящийся учебный полигон ЧПОУ «Газпром техникум Новый Уренгой», филиал «Уренгойская ГРЭС» АО «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Интер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РАО -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Электрогенерация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» и уникальный объект - Тюменскую сверхглубокую скважину (СГ-6).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С 20 по 24 ноября 2023 года в город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е проведён семинар-практикум и стратегическая сессия по промышленному туризму </w:t>
        <w:br/>
        <w:t xml:space="preserve">для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предприятий Нового Уренгоя с участием экспертов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области промышленного туризма Агентства стратегических инициатив. </w:t>
      </w:r>
      <w:r>
        <w:rPr>
          <w:rFonts w:ascii="Liberation Sans" w:hAnsi="Liberation Sans" w:eastAsia="Liberation Sans" w:cs="Liberation Sans"/>
          <w:bCs/>
          <w:sz w:val="28"/>
          <w:szCs w:val="28"/>
          <w:highlight w:val="none"/>
        </w:rPr>
        <w:br/>
        <w:t xml:space="preserve">В работе семинара приняли участие более </w:t>
      </w:r>
      <w:r>
        <w:rPr>
          <w:rFonts w:ascii="Liberation Sans" w:hAnsi="Liberation Sans" w:eastAsia="Liberation Sans" w:cs="Liberation Sans"/>
          <w:bCs/>
          <w:sz w:val="28"/>
          <w:szCs w:val="28"/>
          <w:highlight w:val="none"/>
        </w:rPr>
        <w:t xml:space="preserve">30</w:t>
      </w:r>
      <w:r>
        <w:rPr>
          <w:rFonts w:ascii="Liberation Sans" w:hAnsi="Liberation Sans" w:eastAsia="Liberation Sans" w:cs="Liberation Sans"/>
          <w:bCs/>
          <w:sz w:val="28"/>
          <w:szCs w:val="28"/>
          <w:highlight w:val="none"/>
        </w:rPr>
        <w:t xml:space="preserve"> представителей </w:t>
        <w:br/>
        <w:t xml:space="preserve">от 15 организаций,</w:t>
      </w:r>
      <w:r>
        <w:rPr>
          <w:rFonts w:ascii="Liberation Sans" w:hAnsi="Liberation Sans" w:eastAsia="Liberation Sans" w:cs="Liberation Sans"/>
          <w:bCs/>
          <w:sz w:val="28"/>
          <w:szCs w:val="28"/>
          <w:highlight w:val="none"/>
        </w:rPr>
        <w:t xml:space="preserve"> учреждений города.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auto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27 декабря 2023 года</w:t>
      </w:r>
      <w:r>
        <w:rPr>
          <w:rFonts w:ascii="Liberation Sans" w:hAnsi="Liberation Sans" w:eastAsia="Liberation Sans" w:cs="Liberation Sans"/>
          <w:color w:val="ff0000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заключено Соглашение о сотрудничестве </w:t>
        <w:br/>
        <w:t xml:space="preserve">в сфере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промышленного туризма межд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у ООО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«Уренгойаэроинвест»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и муниципальным образованием город Новый Уренгой.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2023 году музей истор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ии ООО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«Газпром добыча Уренгой» посетили 3 000 человек, Аэропорт им. И. Губкина в рамках экскурсий - 1 000 человек, ООО «НОВАТЭК-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Юрхаровнефтегаз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» - 17 учеников МБОУ Гимназия, филиал «Уренгойская ГРЭС» АО «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Интер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РАО -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Электрогенерация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» - 150 человек, ОАО «Севернефтегазпром» - около 250 человек.</w:t>
      </w: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946"/>
        <w:numPr>
          <w:ilvl w:val="1"/>
          <w:numId w:val="2"/>
        </w:numPr>
        <w:ind w:left="0" w:firstLine="0"/>
        <w:jc w:val="center"/>
        <w:spacing w:before="0" w:beforeAutospacing="0" w:after="0" w:afterAutospacing="0" w:line="240" w:lineRule="auto"/>
        <w:tabs>
          <w:tab w:val="left" w:pos="142" w:leader="none"/>
        </w:tabs>
        <w:rPr>
          <w:rFonts w:ascii="Liberation Sans" w:hAnsi="Liberation Sans" w:cs="Liberation Sans"/>
          <w:sz w:val="28"/>
          <w:szCs w:val="28"/>
        </w:rPr>
      </w:pPr>
      <w:r/>
      <w:bookmarkStart w:id="64" w:name="_Toc64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sz w:val="28"/>
          <w:szCs w:val="28"/>
        </w:rPr>
        <w:t xml:space="preserve"> </w:t>
      </w:r>
      <w:bookmarkStart w:id="0" w:name="undefined"/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Поддержка социально ориентированных </w:t>
        <w:br/>
      </w:r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некоммерческих организаци</w:t>
      </w:r>
      <w:bookmarkEnd w:id="0"/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й</w:t>
      </w:r>
      <w:bookmarkEnd w:id="64"/>
      <w:r>
        <w:rPr>
          <w:rFonts w:ascii="Liberation Sans" w:hAnsi="Liberation Sans" w:cs="Liberation Sans"/>
          <w:sz w:val="28"/>
          <w:szCs w:val="28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bCs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  <w:b w:val="0"/>
          <w:bCs w:val="0"/>
          <w:i w:val="0"/>
          <w:highlight w:val="none"/>
        </w:rPr>
      </w:pPr>
      <w:r>
        <w:rPr>
          <w:rFonts w:ascii="Liberation Sans" w:hAnsi="Liberation Sans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  <w:t xml:space="preserve">В базе дан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ных некоммерческих организаций (далее - НКО) </w:t>
        <w:br/>
        <w:t xml:space="preserve">на 31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.12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.20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23 состо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яло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143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организации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 (2022 год - 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137, 2021 год - 131),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 из них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auto"/>
          <w:sz w:val="28"/>
          <w:szCs w:val="28"/>
          <w:highlight w:val="none"/>
        </w:rPr>
        <w:t xml:space="preserve"> социально ориентированных (далее - СОНКО)- 100</w:t>
      </w:r>
      <w:r>
        <w:rPr>
          <w:rFonts w:ascii="Liberation Sans" w:hAnsi="Liberation Sans" w:cs="Liberation Sans"/>
          <w:b w:val="0"/>
          <w:bCs w:val="0"/>
          <w:i w:val="0"/>
          <w:iCs w:val="0"/>
          <w:highlight w:val="none"/>
        </w:rPr>
        <w:t xml:space="preserve">.</w:t>
      </w:r>
      <w:r>
        <w:rPr>
          <w:rFonts w:ascii="Liberation Sans" w:hAnsi="Liberation Sans" w:cs="Liberation Sans"/>
          <w:b w:val="0"/>
          <w:bCs w:val="0"/>
          <w:i w:val="0"/>
          <w:highlight w:val="none"/>
        </w:rPr>
      </w:r>
      <w:r/>
    </w:p>
    <w:p>
      <w:pPr>
        <w:ind w:left="0" w:right="0" w:firstLine="709"/>
        <w:jc w:val="both"/>
        <w:spacing w:after="0" w:afterAutospacing="0" w:line="240" w:lineRule="auto"/>
        <w:rPr>
          <w:rFonts w:ascii="Liberation Sans" w:hAnsi="Liberation Sans" w:cs="Liberation Sans"/>
          <w:b w:val="0"/>
          <w:bCs w:val="0"/>
          <w:i w:val="0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В 2023 году зарегистрированы 13 НКО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 (2022 год - 1</w:t>
      </w:r>
      <w:r>
        <w:rPr>
          <w:rFonts w:ascii="Liberation Sans" w:hAnsi="Liberation Sans" w:cs="Liberation Sans"/>
          <w:i w:val="0"/>
          <w:iCs w:val="0"/>
          <w:color w:val="auto"/>
          <w:sz w:val="28"/>
          <w:szCs w:val="28"/>
          <w:highlight w:val="none"/>
        </w:rPr>
        <w:t xml:space="preserve">3, 2</w:t>
      </w:r>
      <w:r>
        <w:rPr>
          <w:rFonts w:ascii="Liberation Sans" w:hAnsi="Liberation Sans" w:cs="Liberation Sans"/>
          <w:i w:val="0"/>
          <w:iCs w:val="0"/>
          <w:color w:val="auto"/>
          <w:sz w:val="28"/>
          <w:szCs w:val="28"/>
          <w:highlight w:val="none"/>
        </w:rPr>
        <w:t xml:space="preserve">021 год - 9</w:t>
      </w:r>
      <w:r>
        <w:rPr>
          <w:rFonts w:ascii="Liberation Sans" w:hAnsi="Liberation Sans" w:cs="Liberation Sans"/>
          <w:i w:val="0"/>
          <w:iCs w:val="0"/>
          <w:color w:val="auto"/>
          <w:sz w:val="28"/>
          <w:szCs w:val="28"/>
          <w:highlight w:val="none"/>
        </w:rPr>
        <w:t xml:space="preserve">)</w:t>
      </w:r>
      <w:r>
        <w:rPr>
          <w:rFonts w:ascii="Liberation Sans" w:hAnsi="Liberation Sans" w:eastAsia="Liberation Sans" w:cs="Liberation Sans"/>
          <w:i w:val="0"/>
          <w:iCs w:val="0"/>
          <w:color w:val="auto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 из них при содействии Администрации города 9 СОНКО.</w:t>
      </w:r>
      <w:r>
        <w:rPr>
          <w:rFonts w:ascii="Liberation Sans" w:hAnsi="Liberation Sans" w:eastAsia="Liberation Serif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  <w:t xml:space="preserve"> Л</w:t>
      </w:r>
      <w:r>
        <w:rPr>
          <w:rFonts w:ascii="Liberation Sans" w:hAnsi="Liberation Sans" w:eastAsia="Liberation Serif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  <w:t xml:space="preserve">и</w:t>
      </w:r>
      <w:r>
        <w:rPr>
          <w:rFonts w:ascii="Liberation Sans" w:hAnsi="Liberation Sans" w:eastAsia="Liberation Serif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  <w:t xml:space="preserve">квидирова</w:t>
      </w:r>
      <w:r>
        <w:rPr>
          <w:rFonts w:ascii="Liberation Sans" w:hAnsi="Liberation Sans" w:eastAsia="Liberation Serif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  <w:t xml:space="preserve">но</w:t>
      </w:r>
      <w:r>
        <w:rPr>
          <w:rFonts w:ascii="Liberation Sans" w:hAnsi="Liberation Sans" w:eastAsia="Liberation Serif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  <w:t xml:space="preserve"> 6 СОНКО</w:t>
      </w:r>
      <w:r>
        <w:rPr>
          <w:rFonts w:ascii="Liberation Sans" w:hAnsi="Liberation Sans" w:eastAsia="Liberation Serif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Liberation Serif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  <w:t xml:space="preserve"> и 1 </w:t>
      </w:r>
      <w:r>
        <w:rPr>
          <w:rFonts w:ascii="Liberation Sans" w:hAnsi="Liberation Sans" w:eastAsia="Liberation Serif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  <w:t xml:space="preserve">организация находится в процессе ликвидации.</w:t>
      </w:r>
      <w:r>
        <w:rPr>
          <w:rFonts w:ascii="Liberation Sans" w:hAnsi="Liberation Sans" w:cs="Liberation Sans"/>
          <w:b w:val="0"/>
          <w:bCs w:val="0"/>
          <w:i w:val="0"/>
          <w:color w:val="000000" w:themeColor="text1"/>
          <w:sz w:val="28"/>
          <w:szCs w:val="28"/>
          <w:highlight w:val="none"/>
        </w:rPr>
      </w:r>
      <w:r/>
    </w:p>
    <w:p>
      <w:pPr>
        <w:ind w:firstLine="567"/>
        <w:jc w:val="both"/>
        <w:spacing w:after="0" w:afterAutospacing="0" w:line="240" w:lineRule="auto"/>
        <w:rPr>
          <w:rFonts w:ascii="Liberation Sans" w:hAnsi="Liberation Sans" w:cs="Liberation Sans"/>
          <w:b w:val="0"/>
          <w:bCs w:val="0"/>
          <w:i w:val="0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 w:val="0"/>
          <w:bCs w:val="0"/>
          <w:i w:val="0"/>
          <w:color w:val="000000" w:themeColor="text1"/>
          <w:sz w:val="28"/>
          <w:szCs w:val="28"/>
          <w:highlight w:val="none"/>
        </w:rPr>
      </w:r>
      <w:r/>
    </w:p>
    <w:p>
      <w:pPr>
        <w:contextualSpacing/>
        <w:jc w:val="center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drawing>
          <wp:inline distT="0" distB="0" distL="0" distR="0">
            <wp:extent cx="5724405" cy="1486439"/>
            <wp:effectExtent l="3175" t="3175" r="3175" b="3175"/>
            <wp:docPr id="7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bCs/>
          <w:spacing w:val="-3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bCs/>
          <w:spacing w:val="-3"/>
          <w:sz w:val="28"/>
          <w:szCs w:val="28"/>
          <w:highlight w:val="none"/>
        </w:rPr>
        <w:t xml:space="preserve">В течение года осуществлялась поддержка СОНКО. 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bCs/>
          <w:i/>
          <w:highlight w:val="none"/>
        </w:rPr>
      </w:pPr>
      <w:r>
        <w:rPr>
          <w:rFonts w:ascii="Liberation Sans" w:hAnsi="Liberation Sans" w:cs="Liberation Sans"/>
          <w:i/>
          <w:iCs/>
          <w:sz w:val="28"/>
          <w:szCs w:val="28"/>
          <w:highlight w:val="none"/>
        </w:rPr>
        <w:t xml:space="preserve">Финансовая поддержка.</w:t>
      </w:r>
      <w:r>
        <w:rPr>
          <w:rFonts w:ascii="Liberation Sans" w:hAnsi="Liberation Sans" w:cs="Liberation Sans"/>
          <w:bCs/>
          <w:i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pacing w:val="-3"/>
          <w:sz w:val="28"/>
          <w:szCs w:val="28"/>
          <w:highlight w:val="none"/>
        </w:rPr>
      </w:r>
      <w:r>
        <w:rPr>
          <w:rFonts w:ascii="Liberation Sans" w:hAnsi="Liberation Sans" w:cs="Liberation Sans"/>
          <w:spacing w:val="-3"/>
          <w:sz w:val="28"/>
          <w:szCs w:val="28"/>
          <w:highlight w:val="none"/>
          <w:rtl w:val="0"/>
        </w:rPr>
        <w:t xml:space="preserve">Последние 5 лет некоммерческий сектор муниципального образования входит в тройку лидеров автономного округа по количеству социальных проектов, представленных на конкурсах различных уровней.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Для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участия в муниципальном</w:t>
      </w:r>
      <w:r>
        <w:rPr>
          <w:rFonts w:ascii="Liberation Sans" w:hAnsi="Liberation Sans" w:cs="Liberation Sans"/>
          <w:bCs/>
          <w:color w:val="000000" w:themeColor="text1"/>
          <w:spacing w:val="-3"/>
          <w:sz w:val="28"/>
          <w:szCs w:val="28"/>
          <w:highlight w:val="none"/>
        </w:rPr>
        <w:t xml:space="preserve"> конкурсе</w:t>
      </w:r>
      <w:r>
        <w:rPr>
          <w:rFonts w:ascii="Liberation Sans" w:hAnsi="Liberation Sans" w:cs="Liberation Sans"/>
          <w:bCs/>
          <w:color w:val="000000" w:themeColor="text1"/>
          <w:spacing w:val="-3"/>
          <w:sz w:val="28"/>
          <w:szCs w:val="28"/>
          <w:highlight w:val="none"/>
          <w:u w:val="none"/>
        </w:rPr>
        <w:t xml:space="preserve"> грантовой </w:t>
      </w:r>
      <w:r>
        <w:rPr>
          <w:rFonts w:ascii="Liberation Sans" w:hAnsi="Liberation Sans" w:cs="Liberation Sans"/>
          <w:bCs/>
          <w:color w:val="000000" w:themeColor="text1"/>
          <w:spacing w:val="-3"/>
          <w:sz w:val="28"/>
          <w:szCs w:val="28"/>
          <w:highlight w:val="none"/>
        </w:rPr>
        <w:t xml:space="preserve">поддержки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заявлен 31 проект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  <w:rtl w:val="0"/>
        </w:rPr>
        <w:t xml:space="preserve">(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  <w:rtl w:val="0"/>
        </w:rPr>
        <w:t xml:space="preserve">2022 год - 15, 2021 год - 15)</w:t>
      </w:r>
      <w:r>
        <w:rPr>
          <w:rFonts w:ascii="Liberation Sans" w:hAnsi="Liberation Sans" w:cs="Liberation Sans"/>
          <w:bCs/>
          <w:color w:val="000000" w:themeColor="text1"/>
          <w:spacing w:val="-3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bCs/>
          <w:color w:val="000000" w:themeColor="text1"/>
          <w:spacing w:val="-3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bCs/>
          <w:color w:val="000000" w:themeColor="text1"/>
          <w:spacing w:val="-3"/>
          <w:sz w:val="28"/>
          <w:szCs w:val="28"/>
          <w:highlight w:val="none"/>
        </w:rPr>
        <w:t xml:space="preserve">з местного бюджета </w:t>
        <w:br/>
        <w:t xml:space="preserve">на реализацию 8 проектов СОНКО предоставлено 3 000,0 тыс. руб.: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ffffff" w:fill="ffffff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-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 проект «Конференция для НКО» (местная общественная организация «Центр поддержки общественных инициатив» города Новый Уренгой);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ffffff" w:fill="ffffff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- проект «Северный рубеж» (автономная некоммерческая организация «Православный военно-патриотический клуб «Ирбис»); 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ffffff" w:fill="ffffff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- проект «Городской продюсер» (автономная некоммерческая организация «Центр культурных свершений»); 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ffffff" w:fill="ffffff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- проект «Столярная мастерск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ая «Вместе с папой» (местная общественная организация «Грузинская национально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-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культурная автономия «Иверия» города Новый Уренгой); 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ffffff" w:fill="ffffff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- проект «Следж-хоккей – игра для сильных духом!» (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местная общественная организация «Новоуренгойская Федерация хоккея </w:t>
        <w:br/>
        <w:t xml:space="preserve">на льду с шайбой»);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ffffff" w:fill="ffffff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- проект «Возрождение казачьих традиций» (Новоуренгойское городское казачье общество Обско-Полярного отдельского казачьего общества Сибирского войскового казачьего общества);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ffffff" w:fill="ffffff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- проект «Партнер для НКО» (местная общественная организация «Центр поддержки общественных инициатив» города Новый Уренгой);</w:t>
      </w:r>
      <w:r>
        <w:rPr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- проект «Когда мы вместе – мы едины!» (Тюменская региональная общественная организация «Новоуренгойское землячество»).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color w:val="ff0000"/>
          <w:spacing w:val="-3"/>
          <w:sz w:val="28"/>
          <w:szCs w:val="28"/>
          <w:highlight w:val="none"/>
        </w:rPr>
      </w:r>
      <w:r>
        <w:rPr>
          <w:rFonts w:ascii="Liberation Sans" w:hAnsi="Liberation Sans" w:eastAsia="Liberation Serif" w:cs="Liberation Sans"/>
          <w:sz w:val="28"/>
          <w:szCs w:val="28"/>
          <w:highlight w:val="none"/>
          <w:rtl w:val="0"/>
        </w:rPr>
        <w:t xml:space="preserve">Д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  <w:rtl w:val="0"/>
        </w:rPr>
        <w:t xml:space="preserve">ля участия в окружных конкурсах грантовой поддержки заявлено </w:t>
        <w:br/>
      </w:r>
      <w:r>
        <w:rPr>
          <w:rFonts w:ascii="Liberation Sans" w:hAnsi="Liberation Sans" w:eastAsia="Liberation Serif" w:cs="Liberation Sans"/>
          <w:sz w:val="28"/>
          <w:szCs w:val="28"/>
          <w:highlight w:val="none"/>
          <w:rtl w:val="0"/>
        </w:rPr>
        <w:t xml:space="preserve">27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  <w:rtl w:val="0"/>
        </w:rPr>
        <w:t xml:space="preserve"> п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  <w:rtl w:val="0"/>
        </w:rPr>
        <w:t xml:space="preserve">роектов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  <w:rtl w:val="0"/>
        </w:rPr>
        <w:t xml:space="preserve">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  <w:rtl w:val="0"/>
        </w:rPr>
        <w:t xml:space="preserve">(2022 год - 17, 2021 год - 24)</w:t>
      </w:r>
      <w:r>
        <w:rPr>
          <w:rFonts w:ascii="Liberation Sans" w:hAnsi="Liberation Sans" w:cs="Liberation Sans"/>
          <w:color w:val="000000" w:themeColor="text1"/>
          <w:spacing w:val="-3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из о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кружного бюджета </w:t>
        <w:br/>
        <w:t xml:space="preserve">на реализацию 5 проектов СОНКО предоставлено 7 307,3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тыс. руб.: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ffffff" w:fill="ffffff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- проект «От мигранта к новоуренгойцу» (региональная общественная организация «Кыргызская Диаспора «БЕК» Ямало-Ненецкого автономного округа); 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ffffff" w:fill="ffffff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- проект «Полярный рубеж» (региональная общественная организация «Ямальская окружная федерация страйкбола»); 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ffffff" w:fill="ffffff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- проект «Военно-историческая реконструкция событий Великой Отечественной войны «Памяти павших, во имя живых...» (региональная общественная организация Ямало-Ненецкого автономного округа  «Военно-патриотический 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Центр «Вымпел-Ямал»); 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ffffff" w:fill="ffffff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- проект «Мобилизация - испытание для смелых!» (региональная общественная организация Ямало-Ненецкого автономного округа  «Военно-патриотический Центр «Вымпел-Ямал»); 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ffffff" w:fill="ffffff"/>
        <w:rPr>
          <w:rFonts w:ascii="Liberation Sans" w:hAnsi="Liberation Sans" w:cs="Liberation Sans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- проект «Гидрореабилитация детей с нарушениями опорно-двигательного аппарата: 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м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аленькими шажочками» (автономная некоммерческая организация «Физкультурно-оздоровительный центр «АкваДобро»).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ffffff" w:fill="ffffff"/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erif" w:cs="Liberation Sans"/>
          <w:sz w:val="28"/>
          <w:szCs w:val="28"/>
          <w:highlight w:val="none"/>
        </w:rPr>
      </w:r>
      <w:r>
        <w:rPr>
          <w:rFonts w:ascii="Liberation Sans" w:hAnsi="Liberation Sans" w:eastAsia="Liberation Serif" w:cs="Liberation Sans"/>
          <w:sz w:val="28"/>
          <w:szCs w:val="28"/>
          <w:highlight w:val="none"/>
          <w:rtl w:val="0"/>
        </w:rPr>
        <w:t xml:space="preserve">Д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  <w:rtl w:val="0"/>
        </w:rPr>
        <w:t xml:space="preserve">ля участия в конкурсах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  <w:rtl w:val="0"/>
        </w:rPr>
        <w:t xml:space="preserve">п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  <w:rtl w:val="0"/>
        </w:rPr>
        <w:t xml:space="preserve">резидентских грантов подано </w:t>
        <w:br/>
      </w:r>
      <w:r>
        <w:rPr>
          <w:rFonts w:ascii="Liberation Sans" w:hAnsi="Liberation Sans" w:eastAsia="Liberation Serif" w:cs="Liberation Sans"/>
          <w:color w:val="auto"/>
          <w:sz w:val="28"/>
          <w:szCs w:val="28"/>
          <w:highlight w:val="none"/>
          <w:rtl w:val="0"/>
        </w:rPr>
        <w:t xml:space="preserve">30</w:t>
      </w:r>
      <w:r>
        <w:rPr>
          <w:rFonts w:ascii="Liberation Sans" w:hAnsi="Liberation Sans" w:eastAsia="Liberation Serif" w:cs="Liberation Sans"/>
          <w:color w:val="auto"/>
          <w:sz w:val="28"/>
          <w:szCs w:val="28"/>
          <w:highlight w:val="none"/>
          <w:rtl w:val="0"/>
        </w:rPr>
        <w:t xml:space="preserve"> проектов</w:t>
      </w:r>
      <w:r>
        <w:rPr>
          <w:rFonts w:ascii="Liberation Sans" w:hAnsi="Liberation Sans" w:eastAsia="Liberation Serif" w:cs="Liberation Sans"/>
          <w:color w:val="auto"/>
          <w:sz w:val="28"/>
          <w:szCs w:val="28"/>
          <w:highlight w:val="none"/>
          <w:rtl w:val="0"/>
        </w:rPr>
        <w:t xml:space="preserve"> (202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  <w:rtl w:val="0"/>
        </w:rPr>
        <w:t xml:space="preserve">2 год - 34, 2021 год - </w:t>
      </w:r>
      <w:r>
        <w:rPr>
          <w:rFonts w:ascii="Liberation Sans" w:hAnsi="Liberation Sans" w:eastAsia="PT Astra Serif" w:cs="Liberation Sans"/>
          <w:sz w:val="28"/>
          <w:szCs w:val="28"/>
          <w:highlight w:val="none"/>
          <w:rtl w:val="0"/>
        </w:rPr>
        <w:t xml:space="preserve">26)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и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з федерального бюджета (Фонд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п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резидентских грантов)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 на реализацию 2 проектов 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СО НКО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предоставлено 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1 19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4,9 тыс. руб.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: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ffffff" w:fill="ffffff"/>
        <w:rPr>
          <w:rFonts w:ascii="Liberation Sans" w:hAnsi="Liberation Sans" w:cs="Liberation Sans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- проект «Подари одежду» (религиозная организация «Архиерейское подворье храма прп. Серафима Саровского г. Новый Уренгой);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ffffff" w:fill="ffffff"/>
        <w:rPr>
          <w:rFonts w:ascii="Liberation Sans" w:hAnsi="Liberation Sans" w:cs="Liberation Sans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- проект «Физкультурно-оздоровительные занятия в бассейне с детьми в семьях мобилизованных граждан: 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п</w:t>
      </w:r>
      <w:r>
        <w:rPr>
          <w:rFonts w:ascii="Liberation Sans" w:hAnsi="Liberation Sans" w:eastAsia="Roboto" w:cs="Liberation Sans"/>
          <w:color w:val="000000"/>
          <w:sz w:val="28"/>
          <w:szCs w:val="28"/>
          <w:highlight w:val="none"/>
        </w:rPr>
        <w:t xml:space="preserve">о волнам беззаботного детства» (автономная некоммерческая организация «Физкультурно-оздоровительный центр «АкваДобро»).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Общая сумма финансирования за счет бюджетов всех уровней составила 11 502,2 тыс. руб.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drawing>
          <wp:inline distT="0" distB="0" distL="0" distR="0">
            <wp:extent cx="5221628" cy="2370305"/>
            <wp:effectExtent l="4762" t="4762" r="4762" b="4762"/>
            <wp:docPr id="73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left="0" w:right="0" w:firstLine="709"/>
        <w:jc w:val="both"/>
        <w:keepLines w:val="0"/>
        <w:keepNext w:val="0"/>
        <w:pageBreakBefore w:val="0"/>
        <w:spacing w:before="0" w:after="0" w:line="240" w:lineRule="auto"/>
        <w:shd w:val="clear" w:color="auto" w:fill="auto"/>
        <w:widowControl w:val="off"/>
        <w:rPr>
          <w:rFonts w:ascii="Liberation Sans" w:hAnsi="Liberation Sans" w:cs="Liberation Sans"/>
          <w:sz w:val="28"/>
          <w:szCs w:val="28"/>
          <w:highlight w:val="no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Liberation Sans" w:hAnsi="Liberation Sans" w:eastAsia="Liberation Serif" w:cs="Liberation Sans"/>
          <w:b w:val="0"/>
          <w:i w:val="0"/>
          <w:smallCaps w:val="0"/>
          <w:strike w:val="0"/>
          <w:color w:val="000000"/>
          <w:sz w:val="28"/>
          <w:szCs w:val="28"/>
          <w:highlight w:val="none"/>
          <w:u w:val="none"/>
          <w:vertAlign w:val="baseline"/>
          <w:rtl w:val="0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contextualSpacing/>
        <w:ind w:firstLine="709"/>
        <w:jc w:val="both"/>
        <w:spacing w:after="0" w:line="240" w:lineRule="auto"/>
        <w:shd w:val="clear" w:color="auto" w:fill="ffffff" w:themeFill="background1"/>
        <w:rPr>
          <w:rFonts w:ascii="Liberation Sans" w:hAnsi="Liberation Sans" w:cs="Liberation Sans"/>
          <w:bCs/>
          <w:i/>
          <w:sz w:val="28"/>
          <w:szCs w:val="28"/>
          <w:highlight w:val="none"/>
          <w14:ligatures w14:val="no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Liberation Sans" w:hAnsi="Liberation Sans" w:cs="Liberation Sans"/>
          <w:i/>
          <w:iCs/>
          <w:sz w:val="28"/>
          <w:szCs w:val="28"/>
          <w:highlight w:val="none"/>
        </w:rPr>
        <w:t xml:space="preserve">Имущественная поддержка.</w:t>
      </w:r>
      <w:r>
        <w:rPr>
          <w:rFonts w:ascii="Liberation Sans" w:hAnsi="Liberation Sans" w:cs="Liberation Sans"/>
          <w:bCs/>
          <w:i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/>
          <w:color w:val="000000"/>
          <w:highlight w:val="none"/>
        </w:rPr>
      </w:pP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В пользова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ние социальн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о о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риентированным некоммерческим организациям предоставлено 5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6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 единиц муни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ципального имущества, </w:t>
        <w:br/>
        <w:t xml:space="preserve">в том числе 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22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 объект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а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 недвижимого имущества общей площадью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 2 577,06 кв. м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, 3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4</w:t>
      </w:r>
      <w:r>
        <w:rPr>
          <w:rFonts w:ascii="Liberation Sans" w:hAnsi="Liberation Sans"/>
          <w:color w:val="000000" w:themeColor="text1"/>
          <w:sz w:val="28"/>
          <w:szCs w:val="28"/>
          <w:highlight w:val="none"/>
        </w:rPr>
        <w:t xml:space="preserve"> единиц движимого имущества.</w:t>
      </w:r>
      <w:r>
        <w:rPr>
          <w:rFonts w:ascii="Liberation Sans" w:hAnsi="Liberation Sans"/>
          <w:color w:val="000000"/>
          <w:highlight w:val="none"/>
        </w:rPr>
      </w:r>
      <w:r/>
    </w:p>
    <w:p>
      <w:pPr>
        <w:contextualSpacing/>
        <w:ind w:firstLine="709"/>
        <w:jc w:val="both"/>
        <w:spacing w:after="0" w:line="240" w:lineRule="auto"/>
        <w:shd w:val="clear" w:color="auto" w:fill="ffffff" w:themeFill="background1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Liberation Sans" w:hAnsi="Liberation Sans" w:cs="Liberation Sans"/>
          <w:i/>
          <w:iCs/>
          <w:sz w:val="28"/>
          <w:szCs w:val="28"/>
          <w:highlight w:val="none"/>
        </w:rPr>
        <w:t xml:space="preserve">Информационная поддержка.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contextualSpacing/>
        <w:ind w:firstLine="709"/>
        <w:jc w:val="both"/>
        <w:spacing w:after="0" w:line="240" w:lineRule="auto"/>
        <w:shd w:val="clear" w:color="auto" w:fill="ffffff" w:themeFill="background1"/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  <w14:ligatures w14:val="no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онтент о мерах поддержки размещался на информационном портале НКО муниципального образования город Новый Уренгой (далее – сайт НКО).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Посещаемость сайта НКО в 2023 году составила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 82,3 тыс. чел. (2022 год - 82 тыс. человек, 2021 год - 81 тыс.человек)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. Подгот</w:t>
      </w:r>
      <w:r>
        <w:rPr>
          <w:rFonts w:ascii="Liberation Sans" w:hAnsi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овлено и ра</w:t>
      </w:r>
      <w:r>
        <w:rPr>
          <w:rFonts w:ascii="Liberation Sans" w:hAnsi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змещено </w:t>
      </w:r>
      <w:r>
        <w:rPr>
          <w:rFonts w:ascii="Liberation Sans" w:hAnsi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на сайт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е НКО 134 публикации </w:t>
        <w:br/>
        <w:t xml:space="preserve">(2022 год - 133).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contextualSpacing/>
        <w:ind w:firstLine="709"/>
        <w:jc w:val="both"/>
        <w:spacing w:after="0" w:line="240" w:lineRule="auto"/>
        <w:shd w:val="clear" w:color="auto" w:fill="ffffff" w:themeFill="background1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Liberation Sans" w:hAnsi="Liberation Sans" w:cs="Liberation Sans"/>
          <w:color w:val="c00000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На официальном сайте муниципального образования город Новый Уренгой </w:t>
      </w:r>
      <w:hyperlink r:id="rId92" w:tooltip="https://nur.yanao.ru" w:history="1">
        <w:r>
          <w:rPr>
            <w:rFonts w:ascii="Liberation Sans" w:hAnsi="Liberation Sans" w:cs="Liberation Sans"/>
            <w:color w:val="auto"/>
            <w:sz w:val="28"/>
            <w:szCs w:val="28"/>
            <w:highlight w:val="none"/>
          </w:rPr>
          <w:t xml:space="preserve">nur.yanao.ru</w:t>
        </w:r>
      </w:hyperlink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в средствах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массов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ой информации,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с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оциальных сетях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размещено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299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материалов о деятельности СОНКО (2022 год - 285, 2021 год - 264).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contextualSpacing/>
        <w:ind w:firstLine="709"/>
        <w:jc w:val="both"/>
        <w:spacing w:after="0" w:line="240" w:lineRule="auto"/>
        <w:shd w:val="clear" w:color="auto" w:fill="ffffff" w:themeFill="background1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оздана группа «НКО Нового Уренгоя» в мессенджере Telegram, размещена 131 публикация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contextualSpacing/>
        <w:ind w:firstLine="709"/>
        <w:jc w:val="both"/>
        <w:spacing w:after="0" w:line="240" w:lineRule="auto"/>
        <w:shd w:val="clear" w:color="auto" w:fill="ffffff" w:themeFill="background1"/>
        <w:rPr>
          <w:rFonts w:ascii="Liberation Sans" w:hAnsi="Liberation Sans" w:cs="Liberation Sans"/>
          <w:bCs/>
          <w:i/>
          <w:sz w:val="28"/>
          <w:szCs w:val="28"/>
          <w:highlight w:val="none"/>
          <w14:ligatures w14:val="no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Liberation Sans" w:hAnsi="Liberation Sans" w:cs="Liberation Sans"/>
          <w:i/>
          <w:iCs/>
          <w:sz w:val="28"/>
          <w:szCs w:val="28"/>
          <w:highlight w:val="none"/>
          <w14:ligatures w14:val="none"/>
        </w:rPr>
      </w:r>
      <w:r>
        <w:rPr>
          <w:rFonts w:ascii="Liberation Sans" w:hAnsi="Liberation Sans" w:cs="Liberation Sans"/>
          <w:i/>
          <w:iCs/>
          <w:sz w:val="28"/>
          <w:szCs w:val="28"/>
          <w:highlight w:val="none"/>
        </w:rPr>
        <w:t xml:space="preserve">К</w:t>
      </w:r>
      <w:r>
        <w:rPr>
          <w:rFonts w:ascii="Liberation Sans" w:hAnsi="Liberation Sans" w:cs="Liberation Sans"/>
          <w:i/>
          <w:iCs/>
          <w:sz w:val="28"/>
          <w:szCs w:val="28"/>
          <w:highlight w:val="none"/>
        </w:rPr>
        <w:t xml:space="preserve">онсультативная</w:t>
      </w:r>
      <w:r>
        <w:rPr>
          <w:rFonts w:ascii="Liberation Sans" w:hAnsi="Liberation Sans" w:cs="Liberation Sans"/>
          <w:i/>
          <w:iCs/>
          <w:sz w:val="28"/>
          <w:szCs w:val="28"/>
          <w:highlight w:val="none"/>
        </w:rPr>
        <w:t xml:space="preserve"> и мет</w:t>
      </w:r>
      <w:r>
        <w:rPr>
          <w:rFonts w:ascii="Liberation Sans" w:hAnsi="Liberation Sans" w:cs="Liberation Sans"/>
          <w:i/>
          <w:iCs/>
          <w:sz w:val="28"/>
          <w:szCs w:val="28"/>
          <w:highlight w:val="none"/>
          <w14:ligatures w14:val="none"/>
        </w:rPr>
        <w:t xml:space="preserve">одическая поддержка.</w:t>
      </w:r>
      <w:r>
        <w:rPr>
          <w:rFonts w:ascii="Liberation Sans" w:hAnsi="Liberation Sans" w:cs="Liberation Sans"/>
          <w:bCs/>
          <w:i/>
          <w:sz w:val="28"/>
          <w:szCs w:val="28"/>
          <w:highlight w:val="none"/>
          <w14:ligatures w14:val="none"/>
        </w:rPr>
      </w:r>
      <w:r/>
    </w:p>
    <w:p>
      <w:pPr>
        <w:contextualSpacing/>
        <w:ind w:firstLine="709"/>
        <w:jc w:val="both"/>
        <w:spacing w:after="0" w:line="240" w:lineRule="auto"/>
        <w:shd w:val="clear" w:color="auto" w:fill="ffffff" w:themeFill="background1"/>
        <w:rPr>
          <w:rFonts w:ascii="Liberation Sans" w:hAnsi="Liberation Sans" w:cs="Liberation Sans"/>
          <w:color w:val="auto"/>
          <w:sz w:val="28"/>
          <w:szCs w:val="28"/>
          <w:highlight w:val="none"/>
          <w14:ligatures w14:val="no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казана 191 консультация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 вопросам регистрации некоммерческих организаций, внесения изменений в учредительные документы, осуществления устав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ной деятельности НКО, социального проектирования, предоставления отчетности в Минюст, отчетности </w:t>
        <w:br/>
        <w:t xml:space="preserve">по грантовым конкурсам, включения в реестр исполнителей общественно полезных услуг и др.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(2022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год - 177,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2021 год - 171)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023 году 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уководителям и авторам проектов из числа представителей СОНКО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ока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зано содействие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подготовке и размещении 96 заявок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 конкурсы различных уровней,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из них </w:t>
        <w:br/>
        <w:t xml:space="preserve">23 проекта 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победител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2022 год - 79/22, 2021 год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76/18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). </w:t>
      </w:r>
      <w:r>
        <w:rPr>
          <w:rFonts w:ascii="Liberation Sans" w:hAnsi="Liberation Sans" w:cs="Liberation Sans"/>
          <w:highlight w:val="none"/>
        </w:rPr>
      </w:r>
      <w:r/>
    </w:p>
    <w:p>
      <w:pPr>
        <w:contextualSpacing/>
        <w:ind w:firstLine="709"/>
        <w:jc w:val="both"/>
        <w:spacing w:after="0" w:line="240" w:lineRule="auto"/>
        <w:shd w:val="clear" w:color="auto" w:fill="ffffff" w:themeFill="background1"/>
        <w:rPr>
          <w:rFonts w:ascii="Liberation Sans" w:hAnsi="Liberation Sans" w:cs="Liberation Sans"/>
          <w:b w:val="0"/>
          <w:bCs/>
          <w:i/>
          <w:color w:val="auto"/>
          <w:sz w:val="28"/>
          <w:szCs w:val="28"/>
          <w:highlight w:val="none"/>
          <w14:ligatures w14:val="no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Liberation Sans" w:hAnsi="Liberation Sans" w:cs="Liberation Sans"/>
          <w:b w:val="0"/>
          <w:bCs w:val="0"/>
          <w:i/>
          <w:iCs/>
          <w:color w:val="auto"/>
          <w:sz w:val="28"/>
          <w:szCs w:val="28"/>
          <w:highlight w:val="none"/>
          <w14:ligatures w14:val="none"/>
        </w:rPr>
        <w:t xml:space="preserve">П</w:t>
      </w:r>
      <w:r>
        <w:rPr>
          <w:rFonts w:ascii="Liberation Sans" w:hAnsi="Liberation Sans" w:cs="Liberation Sans"/>
          <w:b w:val="0"/>
          <w:bCs w:val="0"/>
          <w:i/>
          <w:iCs/>
          <w:color w:val="auto"/>
          <w:sz w:val="28"/>
          <w:szCs w:val="28"/>
          <w:highlight w:val="none"/>
        </w:rPr>
        <w:t xml:space="preserve">оддержка в обучении и подготовке работников и добровольцев социально ориентированных некоммерческих организаций</w:t>
      </w:r>
      <w:r>
        <w:rPr>
          <w:rFonts w:ascii="Liberation Sans" w:hAnsi="Liberation Sans" w:cs="Liberation Sans"/>
          <w:b w:val="0"/>
          <w:bCs w:val="0"/>
          <w:i/>
          <w:iCs/>
          <w:color w:val="auto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b w:val="0"/>
          <w:bCs/>
          <w:i/>
          <w:color w:val="auto"/>
          <w:sz w:val="28"/>
          <w:szCs w:val="28"/>
          <w:highlight w:val="none"/>
          <w14:ligatures w14:val="none"/>
        </w:rPr>
      </w:r>
      <w:r/>
    </w:p>
    <w:p>
      <w:pPr>
        <w:contextualSpacing/>
        <w:ind w:firstLine="709"/>
        <w:jc w:val="both"/>
        <w:spacing w:after="0" w:line="240" w:lineRule="auto"/>
        <w:shd w:val="clear" w:color="auto" w:fill="ffffff" w:themeFill="background1"/>
        <w:rPr>
          <w:rFonts w:ascii="Liberation Sans" w:hAnsi="Liberation Sans" w:cs="Liberation Sans"/>
          <w:color w:val="auto"/>
          <w:sz w:val="28"/>
          <w:szCs w:val="28"/>
          <w:highlight w:val="none"/>
          <w14:ligatures w14:val="no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2023 году проведено 4 городских и оказано содействие </w:t>
        <w:br/>
        <w:t xml:space="preserve">в проведении 15 окружных обучающих мероприятий по направлениям: отчетность НКО,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рактика организации военно-патриотической работы, профилактика выгорания руководителя и команды в НКО, публичные выступления и эффективные коммуникации в НКО, соцсети и блоги, национальная политика, бюджетная и финансовая грамотность </w:t>
        <w:br/>
        <w:t xml:space="preserve">СОНКО, формирование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заявки на грантовый конкурс Фонда президентских грантов, лидеры социальных инициатив, меры законодательного урегулирования для повышения эффективности деятельности НКО, НКО Ямала: ресурсы и возможности для развития и др.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Численность обучившихся составила 304 человека (2022 год - 314,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2021 год - 265).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ffffff" w:themeColor="background1" w:fill="ffffff" w:themeFill="background1"/>
        <w:tabs>
          <w:tab w:val="left" w:pos="709" w:leader="none"/>
        </w:tabs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</w:pP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Для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решения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задач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повышения профессионализма сотрудников НКО, оказ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ание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методическ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ой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помощ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в проектной деятельности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br/>
        <w:t xml:space="preserve">в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2023 году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в форме общественной организации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создан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Центр поддержки общественных инициатив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(далее – Центр).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 Из местного бюджета Центру оказана финансовая поддержка в сумме 900 тыс. руб. на реализацию социальных проектов 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«Конференция для НКО» и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 «Партнер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  <w:t xml:space="preserve"> для НКО». </w:t>
      </w:r>
      <w:r>
        <w:rPr>
          <w:rFonts w:ascii="Liberation Sans" w:hAnsi="Liberation Sans" w:eastAsia="Roboto" w:cs="Liberation Sans"/>
          <w:color w:val="auto"/>
          <w:sz w:val="28"/>
          <w:szCs w:val="28"/>
          <w:highlight w:val="none"/>
        </w:rPr>
      </w:r>
      <w:r/>
    </w:p>
    <w:p>
      <w:pPr>
        <w:ind w:firstLine="705"/>
        <w:jc w:val="both"/>
        <w:spacing w:after="0" w:afterAutospacing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Реализация государственной национальной политики осуществляется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Администрацией города Новый Уренгой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через взаимодействие с национально-культурными автономиями и общественными объединениями.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rPr>
          <w:color w:val="auto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муниципальном образовании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осуществляют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деятельность </w:t>
        <w:br/>
        <w:t xml:space="preserve">12 национально-культурных автономий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и общественных организаций, созданных по национальному признаку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(6 - без государственной рег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истрации)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color w:val="auto"/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auto"/>
          <w:sz w:val="28"/>
          <w:szCs w:val="28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</w:rPr>
        <w:t xml:space="preserve">В 2023 году проведено 2 заседания </w:t>
      </w:r>
      <w:r>
        <w:rPr>
          <w:rFonts w:ascii="Liberation Sans" w:hAnsi="Liberation Sans" w:eastAsia="Liberation Sans" w:cs="Liberation Sans"/>
          <w:color w:val="auto"/>
          <w:sz w:val="28"/>
          <w:szCs w:val="28"/>
        </w:rPr>
        <w:t xml:space="preserve">Консультативного совета </w:t>
        <w:br/>
        <w:t xml:space="preserve">по вопросам гармонизации межэтнических отношений </w:t>
        <w:br/>
        <w:t xml:space="preserve">в муниципальном образовании город Новый Уренгой при Администрации города Новый Уренгой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, на которых рассмотрены </w:t>
      </w:r>
      <w:r>
        <w:rPr>
          <w:rFonts w:ascii="Liberation Sans" w:hAnsi="Liberation Sans" w:eastAsia="Liberation Sans" w:cs="Liberation Sans"/>
          <w:color w:val="auto"/>
          <w:sz w:val="28"/>
          <w:szCs w:val="28"/>
        </w:rPr>
        <w:t xml:space="preserve">вопросы в сфере национальной политики, в том числе </w:t>
        <w:br/>
        <w:t xml:space="preserve">о профилактической работе </w:t>
      </w:r>
      <w:r>
        <w:rPr>
          <w:rFonts w:ascii="Liberation Sans" w:hAnsi="Liberation Sans" w:eastAsia="Liberation Sans" w:cs="Liberation Sans"/>
          <w:color w:val="auto"/>
          <w:sz w:val="28"/>
          <w:szCs w:val="28"/>
        </w:rPr>
        <w:t xml:space="preserve">с мигрантами.</w:t>
      </w:r>
      <w:r>
        <w:rPr>
          <w:rFonts w:ascii="Liberation Sans" w:hAnsi="Liberation Sans" w:eastAsia="Liberation Sans" w:cs="Liberation Sans"/>
          <w:color w:val="auto"/>
          <w:sz w:val="28"/>
          <w:szCs w:val="28"/>
        </w:rPr>
      </w:r>
      <w:r/>
    </w:p>
    <w:p>
      <w:pPr>
        <w:ind w:firstLine="708"/>
        <w:jc w:val="both"/>
        <w:spacing w:after="0" w:afterAutospacing="0" w:line="240" w:lineRule="auto"/>
        <w:rPr>
          <w:color w:val="auto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</w:rPr>
        <w:t xml:space="preserve">Проведено 10 встреч</w:t>
      </w:r>
      <w:r>
        <w:rPr>
          <w:rFonts w:ascii="Liberation Sans" w:hAnsi="Liberation Sans" w:eastAsia="Liberation Sans" w:cs="Liberation Sans"/>
          <w:color w:val="auto"/>
          <w:sz w:val="28"/>
          <w:szCs w:val="28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</w:rPr>
        <w:t xml:space="preserve">с участием руководителей и представителей</w:t>
      </w:r>
      <w:r>
        <w:rPr>
          <w:rFonts w:ascii="Liberation Sans" w:hAnsi="Liberation Sans" w:eastAsia="Liberation Sans" w:cs="Liberation Sans"/>
          <w:color w:val="auto"/>
          <w:sz w:val="28"/>
          <w:szCs w:val="28"/>
        </w:rPr>
        <w:t xml:space="preserve"> национально-культурных автономий,</w:t>
      </w:r>
      <w:r>
        <w:rPr>
          <w:rFonts w:ascii="Liberation Sans" w:hAnsi="Liberation Sans" w:eastAsia="Liberation Sans" w:cs="Liberation Sans"/>
          <w:color w:val="auto"/>
          <w:sz w:val="28"/>
          <w:szCs w:val="28"/>
        </w:rPr>
        <w:t xml:space="preserve"> религиозных организаций</w:t>
      </w:r>
      <w:r>
        <w:rPr>
          <w:rFonts w:ascii="Liberation Sans" w:hAnsi="Liberation Sans" w:eastAsia="Liberation Sans" w:cs="Liberation Sans"/>
          <w:color w:val="auto"/>
          <w:sz w:val="28"/>
          <w:szCs w:val="28"/>
        </w:rPr>
        <w:t xml:space="preserve">.</w:t>
      </w:r>
      <w:r>
        <w:rPr>
          <w:color w:val="auto"/>
        </w:rPr>
      </w:r>
      <w:r/>
    </w:p>
    <w:p>
      <w:pPr>
        <w:ind w:firstLine="708"/>
        <w:jc w:val="both"/>
        <w:spacing w:after="0" w:afterAutospacing="0" w:line="240" w:lineRule="auto"/>
        <w:rPr>
          <w:highlight w:val="none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В рамках Гражданского форума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при содействии Правительства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ЯНАО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проведены круглый стол на тему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«Формирование гражданской (российской) идентичности у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иммигрантов»,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стратегическая сессия </w:t>
        <w:br/>
        <w:t xml:space="preserve">на тему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«Деятельность в образовательных организациях ЯНАО </w:t>
        <w:br/>
        <w:t xml:space="preserve">по социальной адапт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ации дете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й-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инофонов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: лучшие практики, проблемы».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rPr>
          <w:color w:val="auto"/>
          <w:highlight w:val="none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В 2023 году проведено 3 заседания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раб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очей группы по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оказанию содействия в реализации проектов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в сфере межнациональных отношений, на которых рассмотрены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вопросы по реализации проект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ов: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«От мигранта к новоуренгойцу» (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региональная общественная организация «Кыргызская Диаспора «БЕК» ЯНА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О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),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«Открытый фестиваль национальных культур»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(н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екоммерческое партнерство «Культурная инициатива»)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. </w:t>
      </w:r>
      <w:r>
        <w:rPr>
          <w:color w:val="auto"/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Одной из успешных практик, реализуем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ых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при тесном взаимодействии органов местного самоуправления и общественных объединений, является фестиваль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«Национальные подворья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»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В 2023 году в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фестивале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впервые приняли участие представители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общественной организации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«Возрождение традиций ингушей ЯНАО»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, также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среди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участников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были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общественные организации бурятов «Урагша»,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ка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лмыцкая организация «Ойраты»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из города Ноябрьск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 освещению мероприятий сферы национальной политики привл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екаются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юные корреспонденты - участники медиапроекта 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ЯмалКлик»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епортаж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 национальных подворьях получил 3 место среди детских и молодёжных студий во Всероссийском кон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курсе «СМИротворец-2023». 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роект «Историческая рекон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струкция «Возвращение к истокам» общественной организации Местная ногайская национально-культурн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ая автономия «Ногай Эл» г. Новый Уренгой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ре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ализованный </w:t>
        <w:br/>
        <w:t xml:space="preserve">в 2022 году при поддержке Администрации города, стал финалистом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VI Всероссийского конкурса лучших практик в сфере национальных отношений в 2023 году.</w:t>
      </w:r>
      <w:r>
        <w:rPr>
          <w:highlight w:val="none"/>
        </w:rPr>
      </w:r>
      <w:r/>
    </w:p>
    <w:p>
      <w:pPr>
        <w:pStyle w:val="1122"/>
        <w:ind w:left="0" w:firstLine="709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Совместная системная работа органов Администрации 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города 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br/>
        <w:t xml:space="preserve">с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национально-культурными автономиями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 высоко оценена </w:t>
        <w:br/>
        <w:t xml:space="preserve">на региональном уровне. Муниципальные практики Нового Уренгоя 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четвертый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 год по</w:t>
      </w:r>
      <w:r>
        <w:rPr>
          <w:rFonts w:ascii="Liberation Sans" w:hAnsi="Liberation Sans" w:cs="Liberation Sans" w:eastAsiaTheme="minorHAnsi"/>
          <w:b w:val="0"/>
          <w:bCs w:val="0"/>
          <w:color w:val="auto"/>
          <w:sz w:val="28"/>
          <w:szCs w:val="28"/>
          <w:highlight w:val="none"/>
        </w:rPr>
        <w:t xml:space="preserve">дряд </w:t>
      </w:r>
      <w:r>
        <w:rPr>
          <w:rFonts w:ascii="Liberation Sans" w:hAnsi="Liberation Sans" w:cs="Liberation Sans" w:eastAsiaTheme="minorHAnsi"/>
          <w:b w:val="0"/>
          <w:bCs w:val="0"/>
          <w:color w:val="auto"/>
          <w:sz w:val="28"/>
          <w:szCs w:val="28"/>
          <w:highlight w:val="none"/>
        </w:rPr>
        <w:t xml:space="preserve">являются </w:t>
      </w:r>
      <w:r>
        <w:rPr>
          <w:rFonts w:ascii="Liberation Sans" w:hAnsi="Liberation Sans" w:cs="Liberation Sans" w:eastAsiaTheme="minorHAnsi"/>
          <w:b w:val="0"/>
          <w:bCs w:val="0"/>
          <w:color w:val="auto"/>
          <w:sz w:val="28"/>
          <w:szCs w:val="28"/>
          <w:highlight w:val="none"/>
        </w:rPr>
        <w:t xml:space="preserve">победителями </w:t>
      </w:r>
      <w:r>
        <w:rPr>
          <w:rFonts w:ascii="Liberation Sans" w:hAnsi="Liberation Sans" w:cs="Liberation Sans" w:eastAsiaTheme="minorHAnsi"/>
          <w:b w:val="0"/>
          <w:bCs w:val="0"/>
          <w:color w:val="auto"/>
          <w:sz w:val="28"/>
          <w:szCs w:val="28"/>
          <w:highlight w:val="none"/>
        </w:rPr>
        <w:t xml:space="preserve">на</w:t>
      </w:r>
      <w:r>
        <w:rPr>
          <w:rFonts w:ascii="Liberation Sans" w:hAnsi="Liberation Sans" w:cs="Liberation Sans" w:eastAsiaTheme="minorHAnsi"/>
          <w:b w:val="0"/>
          <w:bCs w:val="0"/>
          <w:color w:val="auto"/>
          <w:sz w:val="28"/>
          <w:szCs w:val="28"/>
          <w:highlight w:val="none"/>
        </w:rPr>
        <w:t xml:space="preserve"> региональном этапе</w:t>
      </w:r>
      <w:r>
        <w:rPr>
          <w:rFonts w:ascii="Liberation Sans" w:hAnsi="Liberation Sans" w:cs="Liberation Sans" w:eastAsiaTheme="minorHAnsi"/>
          <w:b w:val="0"/>
          <w:bCs w:val="0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Всероссийского конкурса «Лучшая муниципальная практика» </w:t>
        <w:br/>
        <w:t xml:space="preserve">в номинации «Укрепление межнационального мира и согласия, реал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</w:rPr>
        <w:t xml:space="preserve">изация иных мероприятий в сфере национальной политики </w:t>
        <w:br/>
        <w:t xml:space="preserve">на муниципальном уровне».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contextualSpacing/>
        <w:ind w:firstLine="709"/>
        <w:jc w:val="both"/>
        <w:spacing w:after="0" w:line="240" w:lineRule="auto"/>
        <w:shd w:val="clear" w:color="auto" w:fill="ffffff" w:themeFill="background1"/>
        <w:rPr>
          <w:rFonts w:ascii="Liberation Sans" w:hAnsi="Liberation Sans" w:cs="Liberation Sans"/>
          <w:sz w:val="28"/>
          <w:szCs w:val="28"/>
          <w:highlight w:val="yellow"/>
        </w:rPr>
      </w:pPr>
      <w:r>
        <w:rPr>
          <w:rFonts w:ascii="Liberation Sans" w:hAnsi="Liberation Sans" w:cs="Liberation Sans"/>
          <w:sz w:val="28"/>
          <w:szCs w:val="28"/>
          <w:highlight w:val="yellow"/>
        </w:rPr>
      </w:r>
      <w:r>
        <w:rPr>
          <w:rFonts w:ascii="Liberation Sans" w:hAnsi="Liberation Sans" w:cs="Liberation Sans"/>
          <w:sz w:val="28"/>
          <w:szCs w:val="28"/>
          <w:highlight w:val="yellow"/>
        </w:rPr>
      </w:r>
      <w:r/>
    </w:p>
    <w:p>
      <w:pPr>
        <w:pStyle w:val="946"/>
        <w:numPr>
          <w:ilvl w:val="1"/>
          <w:numId w:val="2"/>
        </w:numPr>
        <w:ind w:left="0" w:firstLine="0"/>
        <w:jc w:val="center"/>
        <w:spacing w:before="0" w:beforeAutospacing="0" w:after="0" w:afterAutospacing="0" w:line="240" w:lineRule="auto"/>
        <w:tabs>
          <w:tab w:val="left" w:pos="426" w:leader="none"/>
          <w:tab w:val="left" w:pos="567" w:leader="none"/>
        </w:tabs>
        <w:rPr>
          <w:rFonts w:ascii="Liberation Sans" w:hAnsi="Liberation Sans" w:cs="Liberation Sans"/>
          <w:sz w:val="28"/>
          <w:szCs w:val="28"/>
        </w:rPr>
      </w:pPr>
      <w:r/>
      <w:bookmarkStart w:id="65" w:name="_Toc65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i w:val="0"/>
          <w:iCs w:val="0"/>
          <w:sz w:val="28"/>
          <w:szCs w:val="28"/>
        </w:rPr>
        <w:t xml:space="preserve"> </w:t>
      </w:r>
      <w:bookmarkStart w:id="0" w:name="undefined"/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Безопасность</w:t>
      </w:r>
      <w:bookmarkEnd w:id="0"/>
      <w:r/>
      <w:bookmarkEnd w:id="65"/>
      <w:r>
        <w:rPr>
          <w:rFonts w:ascii="Liberation Sans" w:hAnsi="Liberation Sans" w:cs="Liberation Sans"/>
          <w:sz w:val="28"/>
          <w:szCs w:val="28"/>
        </w:rPr>
      </w:r>
      <w:r/>
    </w:p>
    <w:p>
      <w:pPr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tabs>
          <w:tab w:val="left" w:pos="283" w:leader="none"/>
          <w:tab w:val="left" w:pos="567" w:leader="none"/>
          <w:tab w:val="left" w:pos="709" w:leader="none"/>
          <w:tab w:val="left" w:pos="992" w:leader="none"/>
        </w:tabs>
        <w:rPr>
          <w:rFonts w:ascii="Liberation Sans" w:hAnsi="Liberation Sans" w:cs="Liberation Sans"/>
          <w:sz w:val="28"/>
          <w:szCs w:val="28"/>
        </w:rPr>
      </w:pPr>
      <w:r/>
      <w:bookmarkStart w:id="66" w:name="_Toc66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П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редупреждени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е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и ликвидаци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я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посл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едствий чрезвычайных ситуаций</w:t>
      </w:r>
      <w:bookmarkEnd w:id="0"/>
      <w:r>
        <w:rPr>
          <w:rFonts w:ascii="Liberation Sans" w:hAnsi="Liberation Sans" w:cs="Liberation Sans"/>
          <w:b/>
          <w:bCs/>
          <w:i w:val="0"/>
          <w:sz w:val="28"/>
          <w:szCs w:val="28"/>
        </w:rPr>
        <w:t xml:space="preserve"> </w:t>
      </w:r>
      <w:bookmarkEnd w:id="66"/>
      <w:r>
        <w:rPr>
          <w:rFonts w:ascii="Liberation Sans" w:hAnsi="Liberation Sans" w:cs="Liberation Sans"/>
          <w:sz w:val="28"/>
          <w:szCs w:val="28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20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 году на территории муниципального образования чрезвычайных ситуаций в соответствии с установленны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ми действующим законодательством критериями отнесения события </w:t>
        <w:br/>
        <w:t xml:space="preserve">к категории чрезвычайных ситуаций не зафиксировано.</w:t>
      </w:r>
      <w:r>
        <w:rPr>
          <w:rFonts w:ascii="Liberation Sans" w:hAnsi="Liberation Sans" w:cs="Liberation Sans"/>
          <w:highlight w:val="none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</w:rPr>
      </w:pPr>
      <w:r/>
      <w:bookmarkStart w:id="67" w:name="_Toc67"/>
      <w:r>
        <w:rPr>
          <w:rFonts w:ascii="Liberation Sans" w:hAnsi="Liberation Sans" w:cs="Liberation Sans"/>
        </w:rPr>
      </w:r>
      <w:bookmarkStart w:id="0" w:name="undefined"/>
      <w:r>
        <w:rPr>
          <w:rFonts w:ascii="Liberation Sans" w:hAnsi="Liberation Sans" w:cs="Liberation Sans"/>
        </w:rPr>
      </w:r>
      <w:bookmarkStart w:id="0" w:name="undefined"/>
      <w:r>
        <w:rPr>
          <w:rFonts w:ascii="Liberation Sans" w:hAnsi="Liberation Sans" w:cs="Liberation Sans"/>
        </w:rPr>
      </w:r>
      <w:bookmarkStart w:id="0" w:name="undefined"/>
      <w:r>
        <w:rPr>
          <w:rFonts w:ascii="Liberation Sans" w:hAnsi="Liberation Sans" w:cs="Liberation Sans"/>
        </w:rPr>
      </w:r>
      <w:bookmarkStart w:id="0" w:name="undefined"/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Гражданская оборона, защита населения и территории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br/>
        <w:t xml:space="preserve">от чрезвычайных ситуаций природного и техногенного характера,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о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беспечение первичных мер пожарной безопасности</w:t>
      </w:r>
      <w:bookmarkEnd w:id="0"/>
      <w:r>
        <w:rPr>
          <w:sz w:val="28"/>
          <w:szCs w:val="28"/>
        </w:rPr>
      </w:r>
      <w:bookmarkEnd w:id="67"/>
      <w:r>
        <w:rPr>
          <w:rFonts w:ascii="Liberation Sans" w:hAnsi="Liberation Sans" w:cs="Liberation Sans"/>
          <w:sz w:val="28"/>
          <w:szCs w:val="28"/>
        </w:rPr>
      </w:r>
      <w:r/>
    </w:p>
    <w:p>
      <w:pPr>
        <w:spacing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31"/>
        <w:ind w:left="0" w:firstLine="709"/>
        <w:jc w:val="both"/>
        <w:spacing w:before="0" w:beforeAutospacing="0"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должилась работ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по совершенствованию правовой базы </w:t>
        <w:br/>
        <w:t xml:space="preserve">в области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г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ражданской обороны, защиты населения и территории </w:t>
        <w:br/>
        <w:t xml:space="preserve">от чрезвычайных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ситуаций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 обеспечения пожарной безопасности и безопасности людей на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водных объектах.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20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23 году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принято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  <w:br/>
        <w:t xml:space="preserve">17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муниципальных правовых актов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1131"/>
        <w:ind w:left="0" w:firstLine="709"/>
        <w:jc w:val="both"/>
        <w:spacing w:before="0" w:beforeAutospacing="0"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Комиссией по пред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упреждению и ликвидации чрезвычайных ситуаций и обеспечению пожа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рной безоп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асности в городе проведено 7 заседаний, в том числе 1 э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кстренное, на которых рассмотрено </w:t>
        <w:br/>
        <w:t xml:space="preserve">29 вопросов, принято 29 решений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из них 8 решений по вопросам обеспечения пожарной безопасности.</w:t>
      </w:r>
      <w:r>
        <w:rPr>
          <w:highlight w:val="none"/>
        </w:rPr>
      </w:r>
      <w:r/>
    </w:p>
    <w:p>
      <w:pPr>
        <w:pStyle w:val="1131"/>
        <w:ind w:left="0" w:firstLine="709"/>
        <w:jc w:val="both"/>
        <w:spacing w:after="0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Организовано участие заинтересованных структур </w:t>
        <w:br/>
        <w:t xml:space="preserve">в 28 з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аседаниях комиссии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по предупреждению и ликвидации чрезвычайных ситуаций и обеспечению пожарной безопасности </w:t>
        <w:br/>
        <w:t xml:space="preserve">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Ямало-Ненецком автономном округе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режиме видеоконференции, осуществлен контроль исполнения решений. </w:t>
      </w:r>
      <w:r>
        <w:rPr>
          <w:highlight w:val="none"/>
        </w:rPr>
      </w:r>
      <w:r/>
    </w:p>
    <w:p>
      <w:pPr>
        <w:contextualSpacing/>
        <w:ind w:right="28" w:firstLine="709"/>
        <w:jc w:val="both"/>
        <w:spacing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Согласно утвержд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нному Плану основных мероприятий муниципального образования в целях гражданской обороны, предупреждения и ликвидации чрезвычайных ситуаций, обеспечения пожарной безопасности и безопасности людей на водных объектах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осуществлялось обучение различных категорий населения в ходе соответствующих учений и трениро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вок, а также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рамках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мероприятий «Месячник безопасности детей», «Месячни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 гражданской обороны», «День защиты детей от чрезвычайных ситуаций».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Проведено </w:t>
        <w:br/>
        <w:t xml:space="preserve">8 смот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ров-к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онкурсов, в которых приняли участие заинтересованные организации города. В смотр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-конкурсе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 звание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«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Лучший орган местного с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амоуправления муниципального образования в области обеспечения безопасности жизнедеятельности населения </w:t>
        <w:br/>
        <w:t xml:space="preserve">в Ямало-Ненецком автономном округе»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униципальное образование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город Новый Уренгой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заняло 3 место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contextualSpacing/>
        <w:ind w:right="28" w:firstLine="709"/>
        <w:jc w:val="both"/>
        <w:spacing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Также проведена проверка и развертывание пу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н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кта управления, пунктов временного размещения пострадавшего населения, санитарно-обмывочного пункта, противорадиационного укрытия гостиницы «Ямбург» ООО «Газпром добыча Ямбург».</w:t>
      </w:r>
      <w:r>
        <w:rPr>
          <w:highlight w:val="none"/>
        </w:rPr>
      </w:r>
      <w:r/>
    </w:p>
    <w:p>
      <w:pPr>
        <w:contextualSpacing/>
        <w:ind w:right="28" w:firstLine="709"/>
        <w:jc w:val="both"/>
        <w:spacing w:before="0" w:beforeAutospacing="0"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Состоялась выставка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-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показ пожарной и специальной техники, </w:t>
        <w:br/>
        <w:t xml:space="preserve">а также аварийно-спаса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тельног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 оборудования и средств технического обнаружения и локализации взрывоопасных предметов.</w:t>
      </w:r>
      <w:r>
        <w:rPr>
          <w:highlight w:val="none"/>
        </w:rPr>
      </w:r>
      <w:r/>
    </w:p>
    <w:p>
      <w:pPr>
        <w:contextualSpacing/>
        <w:ind w:firstLine="708"/>
        <w:jc w:val="both"/>
        <w:spacing w:after="0" w:afterAutospacing="0" w:line="17" w:lineRule="atLeast"/>
        <w:shd w:val="clear" w:color="auto" w:fill="auto"/>
        <w:rPr>
          <w:highlight w:val="none"/>
        </w:rPr>
      </w:pP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Для поддержания постоянной готовности сил и сред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ств городского звена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территор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иальной подсистемы единой государственной 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системы предупреждения и ликвидации чрезвычайных ситуаций 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муниципального образования город Новый Уренгой 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(далее - 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ТП РСЧС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) 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к выполнению задач по предназначению, обеспечению постоянной готовности сил и средств гражда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нс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кой обороны 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проведено 97 тренировок и учений 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(из них </w:t>
        <w:br/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87 объектовых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).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Численность участников тренировок и учений составила 2 583 человека (2022 год - 1 962)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1118"/>
        <w:contextualSpacing/>
        <w:ind w:firstLine="709"/>
        <w:jc w:val="both"/>
        <w:spacing w:after="0" w:afterAutospacing="0" w:line="17" w:lineRule="atLeast"/>
        <w:shd w:val="clear" w:color="auto" w:fill="auto"/>
        <w:rPr>
          <w:highlight w:val="none"/>
        </w:rPr>
      </w:pP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Под руководством МЧС России 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марте 2023 года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муниципальное образование прин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яло участие в командно-штабном учении с 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органами управления и силами единой государственной системы предупреждения и ликвидации чрезвычайных ситуаций по отработке вопросов ликвидации чрезвычайных ситуаций, возникающих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</w:t>
        <w:br/>
        <w:t xml:space="preserve">в р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езультате природных пожаров, защиты населенных пунктов, объектов экономики и социальной инфраструктуры от лесных пожаров, а также безаварийного пропуска весеннего половодья в 2023 году.</w:t>
      </w:r>
      <w:r>
        <w:rPr>
          <w:highlight w:val="none"/>
        </w:rPr>
      </w:r>
      <w:r/>
    </w:p>
    <w:p>
      <w:pPr>
        <w:contextualSpacing/>
        <w:ind w:left="0" w:right="0" w:firstLine="708"/>
        <w:jc w:val="both"/>
        <w:spacing w:before="0" w:beforeAutospacing="0" w:after="0" w:afterAutospacing="0" w:line="240" w:lineRule="auto"/>
        <w:shd w:val="clear" w:color="auto" w:fill="auto"/>
        <w:rPr>
          <w:highlight w:val="none"/>
        </w:rPr>
        <w:suppressLineNumbers w:val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апреле 2023 года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соответс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твии с Планом основных мероприятий ЯНАО по вопросам гражданской обороны, предупреждения и ликвидации чрезвычайных ситуаций, обеспечения пожарной безопасности и безопасности людей на водных объектах </w:t>
        <w:br/>
        <w:t xml:space="preserve">на 2023 год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пров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едено командно-штабное учение со звеном территориальной подсистемы единой государственной системы предупреждения и ликвидации чрезвычайных ситуаций муниципального образовани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город Новый Уренгой. </w:t>
      </w:r>
      <w:r>
        <w:rPr>
          <w:highlight w:val="none"/>
        </w:rPr>
      </w:r>
      <w:r/>
    </w:p>
    <w:p>
      <w:pPr>
        <w:pStyle w:val="1118"/>
        <w:contextualSpacing/>
        <w:ind w:left="0" w:right="0" w:firstLine="708"/>
        <w:jc w:val="both"/>
        <w:spacing w:after="0" w:afterAutospacing="0" w:line="240" w:lineRule="auto"/>
        <w:shd w:val="clear" w:color="auto" w:fill="auto"/>
        <w:rPr>
          <w:highlight w:val="none"/>
        </w:rPr>
        <w:suppressLineNumbers w:val="0"/>
      </w:pP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  <w:lang w:val="ru-RU"/>
        </w:rPr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  <w:lang w:val="ru-RU"/>
        </w:rPr>
        <w:t xml:space="preserve">В октябре 2023 года 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муниципальное образование приняло участие в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штабной тренировке по гражданской обороне с органами управления и силами гражданской обо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роны по теме: «Организация </w:t>
        <w:br/>
        <w:t xml:space="preserve">и ведение гражданской обороны на территории Российской Федерац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ии».</w:t>
      </w:r>
      <w:r>
        <w:rPr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shd w:val="clear" w:color="auto" w:fill="auto"/>
        <w:rPr>
          <w:highlight w:val="none"/>
        </w:rPr>
        <w:suppressLineNumbers w:val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2023 году продолжена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работа по </w:t>
      </w:r>
      <w:r>
        <w:rPr>
          <w:rFonts w:ascii="Liberation Sans" w:hAnsi="Liberation Sans" w:eastAsia="Liberation Sans" w:cs="Liberation Sans"/>
          <w:bCs/>
          <w:color w:val="000000" w:themeColor="text1"/>
          <w:sz w:val="28"/>
          <w:szCs w:val="28"/>
          <w:highlight w:val="none"/>
          <w:shd w:val="clear" w:color="auto" w:fill="fafafa"/>
        </w:rPr>
        <w:t xml:space="preserve">созданию резерва материальных ресурсов для ликвидации чрезвычайных ситуаций природного и техногенного характера на территории муниципального образования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 П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риобретены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термосы,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пододеяльники,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простыни,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наволочки, пожарное оборудование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комплекты индивидуальной медицинской гражданской защиты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(аптечки)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установка электрогенераторная и др.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Уровень обеспеченности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резервом </w:t>
        <w:br/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по состоянию на 31.12.2023 составил 32%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Также </w:t>
      </w:r>
      <w:r>
        <w:rPr>
          <w:rFonts w:ascii="Liberation Sans" w:hAnsi="Liberation Sans" w:eastAsia="Liberation Sans" w:cs="Liberation Sans"/>
          <w:bCs/>
          <w:color w:val="000000" w:themeColor="text1"/>
          <w:sz w:val="28"/>
          <w:szCs w:val="28"/>
          <w:highlight w:val="none"/>
          <w:shd w:val="clear" w:color="auto" w:fill="fafafa"/>
        </w:rPr>
        <w:t xml:space="preserve">восполнены запасы гражданской обороны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Приобретены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респираторы РУ-60М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Liberation Sans" w:cs="Liberation Sans"/>
          <w:b w:val="0"/>
          <w:i w:val="0"/>
          <w:strike w:val="0"/>
          <w:color w:val="000000" w:themeColor="text1"/>
          <w:sz w:val="28"/>
          <w:szCs w:val="28"/>
          <w:highlight w:val="none"/>
          <w:u w:val="none"/>
          <w:vertAlign w:val="baseline"/>
        </w:rPr>
        <w:t xml:space="preserve">комплекты индивидуальный медицинский гражданс</w:t>
      </w:r>
      <w:r>
        <w:rPr>
          <w:rFonts w:ascii="Liberation Sans" w:hAnsi="Liberation Sans" w:eastAsia="Liberation Sans" w:cs="Liberation Sans"/>
          <w:b w:val="0"/>
          <w:i w:val="0"/>
          <w:strike w:val="0"/>
          <w:color w:val="000000" w:themeColor="text1"/>
          <w:sz w:val="28"/>
          <w:szCs w:val="28"/>
          <w:highlight w:val="none"/>
          <w:u w:val="none"/>
          <w:vertAlign w:val="baseline"/>
        </w:rPr>
        <w:t xml:space="preserve">кой защиты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 </w:t>
      </w:r>
      <w:r>
        <w:rPr>
          <w:rFonts w:ascii="Liberation Sans" w:hAnsi="Liberation Sans" w:eastAsia="Liberation Sans" w:cs="Liberation Sans"/>
          <w:bCs/>
          <w:color w:val="000000" w:themeColor="text1"/>
          <w:sz w:val="28"/>
          <w:szCs w:val="28"/>
          <w:highlight w:val="none"/>
          <w:lang w:val="ru-RU"/>
        </w:rPr>
        <w:t xml:space="preserve">сухие пайки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костюм защитный Л-1,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плащи защитные ОП-1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и др.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Уровень обеспеченности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запасами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по состоянию на 31.12.2023 составил 22%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рамках обеспечения первичных мер пожарной безопасности выполн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ены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следующие мероприятия: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в рамках подготовки к 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ожароопасному периоду проведен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оценка состояния готовности муниципального образования </w:t>
        <w:br/>
        <w:t xml:space="preserve">к пожароопасному периоду и анализ деятельности органов местного самоуправления по обеспечению первичных мер пожарной безопасности;</w:t>
      </w:r>
      <w:r>
        <w:rPr>
          <w:highlight w:val="none"/>
        </w:rPr>
      </w:r>
      <w:r/>
    </w:p>
    <w:p>
      <w:pPr>
        <w:ind w:left="0" w:firstLine="709"/>
        <w:jc w:val="both"/>
        <w:spacing w:after="0" w:afterAutospacing="0" w:line="240" w:lineRule="auto"/>
        <w:shd w:val="clear" w:color="auto" w:fill="auto"/>
        <w:rPr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у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тверждены мероприятия по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защите населения 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территории муниципального образования от природных пожаров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пожароопасный сезон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(постановление Администрации города Новый Уренгой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br/>
        <w:t xml:space="preserve">от 13.03.2023 № 100);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информация по защите населения и территории от природных пожаров в пож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ароопасный сезон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размещалась на официальном сайте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муниципального образования город Новый Уренгой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nur.yanao.ru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</w:t>
        <w:br/>
        <w:t xml:space="preserve">Также информация размещена на 13 информационных щитах, установленных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местах повышенной угрозы возникновения природных пожаров.</w:t>
      </w:r>
      <w:r>
        <w:rPr>
          <w:highlight w:val="none"/>
        </w:rPr>
      </w:r>
      <w:r/>
    </w:p>
    <w:p>
      <w:pPr>
        <w:pStyle w:val="1121"/>
        <w:ind w:left="0" w:right="0" w:firstLine="709"/>
        <w:jc w:val="both"/>
        <w:spacing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В эфире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и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нформационного агентства «Импульс Севера» транслировались социаль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ные видеоролики: «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Не курите </w:t>
        <w:br/>
        <w:t xml:space="preserve">в лесу_Социальная реклама МЧС России» - 15 раз,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«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Пал сухой травы» - 102 раза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, «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Останови огонь, позвони 112» - 103 раза,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«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Останови огонь, окурки» - 101 раз,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«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МЧС -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э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то особый противопожарный режим» - </w:t>
        <w:br/>
        <w:t xml:space="preserve">97 раз,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«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Правила разведения огня на участке» - 97 раз.</w:t>
      </w:r>
      <w:r>
        <w:rPr>
          <w:highlight w:val="none"/>
        </w:rPr>
      </w:r>
      <w:r/>
    </w:p>
    <w:p>
      <w:pPr>
        <w:ind w:left="0"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:lang w:val="ru-RU"/>
        </w:rPr>
        <w:t xml:space="preserve">За период пожароопасного сезона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:lang w:val="ru-RU"/>
        </w:rPr>
        <w:t xml:space="preserve">распространено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:lang w:val="ru-RU"/>
        </w:rPr>
        <w:t xml:space="preserve">550 памяток;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:lang w:val="ru-RU"/>
        </w:rPr>
        <w:t xml:space="preserve">-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профильные органы Администрации города Новый Уренгой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red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для обучения детей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 сотрудников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направлены информационные материалы для проведения бесед о соблюдении мер пожарной безопасности в пожароопасный сезон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  <w:lang w:val="ru-RU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Всего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ерам пожарной безопасности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обучен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28 240 человек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  <w:br/>
        <w:t xml:space="preserve">(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2022 год - 28 275, 2021 год - 26 539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);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left="0" w:firstLine="709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целях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оснащения мест жительства отдельных категорий граждан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техническими средс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т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вами,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предназначенными </w:t>
        <w:br/>
        <w:t xml:space="preserve">для формирования сигнала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 пожаре,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29 жилых помещениях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установлено 83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пожар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ных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извещателя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 в том числе 29 с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val="en-US"/>
        </w:rPr>
        <w:t xml:space="preserve">GSM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-оповещением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(2022 год - 20/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86/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20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 2021 год - 25/90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/25 соответственно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)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1131"/>
        <w:ind w:left="0" w:firstLine="708"/>
        <w:jc w:val="both"/>
        <w:spacing w:after="0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/>
      <w:bookmarkStart w:id="68" w:name="_Toc68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Д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еятельност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ь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аварийно-спасательных служб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br/>
        <w:t xml:space="preserve">и (или) аварийно-спасательных ф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ормирований</w:t>
      </w:r>
      <w:bookmarkEnd w:id="0"/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</w:t>
      </w:r>
      <w:bookmarkEnd w:id="68"/>
      <w:r>
        <w:rPr>
          <w:rFonts w:ascii="Liberation Sans" w:hAnsi="Liberation Sans" w:cs="Liberation Sans"/>
          <w:sz w:val="28"/>
          <w:szCs w:val="28"/>
        </w:rPr>
      </w:r>
      <w:r/>
    </w:p>
    <w:p>
      <w:pPr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20"/>
        <w:jc w:val="both"/>
        <w:spacing w:after="0" w:line="240" w:lineRule="auto"/>
        <w:shd w:val="clear" w:color="auto" w:fill="auto"/>
        <w:tabs>
          <w:tab w:val="left" w:pos="737" w:leader="none"/>
          <w:tab w:val="left" w:pos="993" w:leader="none"/>
        </w:tabs>
        <w:rPr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За 2023 год Единой дежурно-диспетчерской службой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муниципального обра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зования город Новый Уренгой (далее 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ЕДДС)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принято 123 890 сообщений, что на 44,7% выше значения 2022 года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(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2022 год - 85 590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2021 год - 78 360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).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Увеличение обращений обусловлено поступлением звонков из близлежащих районов ЯНАО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  <w:br/>
        <w:t xml:space="preserve">в связи с присоединением объекта автоматизации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ЕДДС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к аттестату типового сегмента «Система-112» 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установкой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Е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ДДС «Системы 112».</w:t>
      </w:r>
      <w:r>
        <w:rPr>
          <w:highlight w:val="none"/>
        </w:rPr>
      </w:r>
      <w:r/>
    </w:p>
    <w:p>
      <w:pPr>
        <w:ind w:firstLine="720"/>
        <w:jc w:val="both"/>
        <w:spacing w:after="0" w:line="240" w:lineRule="auto"/>
        <w:shd w:val="clear" w:color="auto" w:fill="auto"/>
        <w:tabs>
          <w:tab w:val="left" w:pos="737" w:leader="none"/>
          <w:tab w:val="left" w:pos="993" w:leader="none"/>
        </w:tabs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оличество выездов, связанных с проведением аварийно-спасательных работ, сократилось на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59,9% и составило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  <w:br/>
        <w:t xml:space="preserve">87 (2022 год - 217, 2021 год - 208)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</w:t>
      </w:r>
      <w:r>
        <w:rPr>
          <w:highlight w:val="none"/>
        </w:rPr>
      </w:r>
      <w:r/>
    </w:p>
    <w:p>
      <w:pPr>
        <w:ind w:firstLine="720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Системой вызова экстренной службы по единому номеру </w:t>
        <w:br/>
        <w:t xml:space="preserve">112 охвачено 100%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населения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Г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отовность аварийно-спасательных служб и (или) ава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рийно-спасательных формирований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 ликвидации чрезвычайных ситуаций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составляет 100%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Для оповещения гражд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ан и руководства городского звена территориальной подсистемы единой государственной системы предупреждения и ликвидации чрезвычайных ситуаций муниципального образования функционирует система оповещения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  <w:br/>
        <w:t xml:space="preserve">по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предупреждению и ликвидации чрезвычайных ситуаций. 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С целью отработки навыков доведения условных учебных сигналов оповещения 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проведены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4 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тренировки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по проверке системы оповещения, </w:t>
        <w:br/>
        <w:t xml:space="preserve">при получении срочного сигнала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8"/>
          <w:szCs w:val="28"/>
          <w:highlight w:val="none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red"/>
        </w:rPr>
      </w:pPr>
      <w:r>
        <w:rPr>
          <w:rFonts w:ascii="Liberation Sans" w:hAnsi="Liberation Sans" w:cs="Liberation Sans"/>
          <w:sz w:val="28"/>
          <w:szCs w:val="28"/>
          <w:highlight w:val="red"/>
        </w:rPr>
      </w:r>
      <w:r>
        <w:rPr>
          <w:rFonts w:ascii="Liberation Sans" w:hAnsi="Liberation Sans" w:cs="Liberation Sans"/>
          <w:sz w:val="28"/>
          <w:szCs w:val="28"/>
          <w:highlight w:val="red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tabs>
          <w:tab w:val="left" w:pos="142" w:leader="none"/>
        </w:tabs>
        <w:rPr>
          <w:rFonts w:ascii="Liberation Sans" w:hAnsi="Liberation Sans" w:cs="Liberation Sans"/>
          <w:sz w:val="28"/>
          <w:szCs w:val="28"/>
        </w:rPr>
      </w:pPr>
      <w:r/>
      <w:bookmarkStart w:id="69" w:name="_Toc69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/>
      <w:bookmarkStart w:id="0" w:name="undefined"/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О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беспечени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е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безопасности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людей </w:t>
        <w:br/>
        <w:t xml:space="preserve">на водных объектах,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охрана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их жизни и здоровья</w:t>
      </w:r>
      <w:bookmarkEnd w:id="0"/>
      <w:r/>
      <w:bookmarkEnd w:id="69"/>
      <w:r>
        <w:rPr>
          <w:rFonts w:ascii="Liberation Sans" w:hAnsi="Liberation Sans" w:cs="Liberation Sans"/>
          <w:sz w:val="28"/>
          <w:szCs w:val="28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1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Постановлением Администрации города Новый Уренгой </w:t>
        <w:br/>
        <w:t xml:space="preserve">от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01.05.202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3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№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211 «О мерах по обеспечению безопасности людей </w:t>
        <w:br/>
        <w:t xml:space="preserve">на водных объектах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летний период 2023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года на территории муниципального образования город Новый Уренгой» установлен запрет на купание в местах массового отдыха населения у воды, утвержд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 План мероприятий по обеспечению безопасности людей </w:t>
        <w:br/>
        <w:t xml:space="preserve">на водных объектах, охране их жизни 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здоровья в летний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период </w:t>
        <w:br/>
        <w:t xml:space="preserve">202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3 года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на территории муниципального образования,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опре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дел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6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мест массового отдыха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населения у воды с запретом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 купание, </w:t>
        <w:br/>
        <w:t xml:space="preserve">на территориях которых проведены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благоустроительные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работы, в том числе очистка территории, установка мусорных контейнеров, обеспечение постоянного вывоза мусора, техническое освидетельствование (2022 год - 6 мест, 2021 год - 3 места).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Установлен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15 знаков, запрещающих купание и содержащи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х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информацию 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телефон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ах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службы спасения, правила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х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поведения </w:t>
        <w:br/>
        <w:t xml:space="preserve">на воде и оказания первой помощи, из них 2 знака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запрещающих прыжки с моста (2022 - 16, 2021 год - 14).</w:t>
      </w:r>
      <w:r>
        <w:rPr>
          <w:highlight w:val="none"/>
        </w:rPr>
      </w:r>
      <w:r/>
    </w:p>
    <w:p>
      <w:pPr>
        <w:ind w:firstLine="720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целях обучения населения муниципа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льного образования культуре безопасного поведения на природных водных объектах </w:t>
        <w:br/>
        <w:t xml:space="preserve">на официальном сайт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 муниципального образования город Новый Уренгой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nur.yanao.ru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средствах 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ассовой информации,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социальных сетях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в течение летнего периода размещалась информация о местах массового отдыха населения у воды (с запретом на купание), об общих правилах безопасного поведения на водных объектах и оказания помощи пострадавшим на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воде, а также памятки населению </w:t>
        <w:br/>
        <w:t xml:space="preserve">при посещении мест массового отдыха населения у воды, правила пользования лодками и катерами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Информация также направлена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br/>
        <w:t xml:space="preserve">в профильные органы Администрации города для обучения детей правилам безопасного поведения на воде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Правилам безопасного поведения на воде обучен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  <w:t xml:space="preserve">31 291 человек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2022 год - 37 247, 2021 год - 21 243).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Обучение проводилось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для учащихся образовательных организаций и </w:t>
        <w:br/>
        <w:t xml:space="preserve">их родителей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период купального сезона зафиксирован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1 случа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й гибели человека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на природных водных объектах муниципального образования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(2022 год, 2021 год – по 1 случаю). 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Для обеспечения безопасности людей при проведении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праздника «Крещение Господне» в 20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23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году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у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твержд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ен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состав рабочей группы по оказанию содействия в проведении праздника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на территории муниципального образования, утверждена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схема расположения купелей,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проведены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замеры толщины ледового покрова на территории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примыкающей к купелям в месте проведения праздника.</w:t>
      </w:r>
      <w:r>
        <w:rPr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shd w:val="clear" w:color="auto" w:fill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Факт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негативных последствий весеннего паводка, в том числе затопления, подтопления, разрушений, повреждений жилых </w:t>
        <w:br/>
        <w:t xml:space="preserve">и производственн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ых зданий, дорог и мостовых сооружений, иных объектов жизнеобеспечения и энергоснабжения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не зафиксиров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tabs>
          <w:tab w:val="left" w:pos="850" w:leader="none"/>
          <w:tab w:val="left" w:pos="992" w:leader="none"/>
        </w:tabs>
        <w:rPr>
          <w:rFonts w:ascii="Liberation Sans" w:hAnsi="Liberation Sans" w:cs="Liberation Sans"/>
          <w:b/>
          <w:bCs/>
          <w:sz w:val="28"/>
          <w:szCs w:val="28"/>
          <w14:ligatures w14:val="none"/>
        </w:rPr>
      </w:pPr>
      <w:r/>
      <w:bookmarkStart w:id="70" w:name="_Toc70"/>
      <w:r>
        <w:t xml:space="preserve"> </w:t>
      </w:r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b/>
          <w:bCs/>
          <w:sz w:val="28"/>
          <w:szCs w:val="28"/>
        </w:rPr>
        <w:t xml:space="preserve">М</w:t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обилизационн</w:t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ая</w:t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 подготовк</w:t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а</w:t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 </w:t>
        <w:br/>
      </w:r>
      <w:r>
        <w:rPr>
          <w:rFonts w:ascii="Liberation Sans" w:hAnsi="Liberation Sans" w:cs="Liberation Sans"/>
          <w:b/>
          <w:bCs/>
          <w:sz w:val="28"/>
          <w:szCs w:val="28"/>
        </w:rPr>
        <w:t xml:space="preserve">муниципальных предприятий и учреждений</w:t>
      </w:r>
      <w:bookmarkEnd w:id="0"/>
      <w:r/>
      <w:bookmarkEnd w:id="70"/>
      <w:r>
        <w:rPr>
          <w:rFonts w:ascii="Liberation Sans" w:hAnsi="Liberation Sans" w:cs="Liberation Sans"/>
          <w:b/>
          <w:bCs/>
          <w:sz w:val="28"/>
          <w:szCs w:val="28"/>
          <w14:ligatures w14:val="none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auto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В 2023 году разработаны и утверждены правовые акты в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сфере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мобилизационной подготовки и мобилизации, планы мероприятий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br/>
        <w:t xml:space="preserve">по мобилиз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ционной подготовке, мобилизационные планы и планы перевода муниципального образования на условия военного времени и на период действия военного положения. Проведено 4 заседания </w:t>
        <w:br/>
        <w:t xml:space="preserve">по вопросам мобилизационной подготовки и мобилизации с участием руководителей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и сотрудников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органов Администрации города. </w:t>
        <w:br/>
        <w:t xml:space="preserve">По итогам заседаний принято 4 решения.</w:t>
      </w:r>
      <w:r>
        <w:rPr>
          <w:rFonts w:ascii="Liberation Sans" w:hAnsi="Liberation Sans" w:cs="Liberation Sans"/>
          <w:color w:val="auto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auto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Оказано содействие военному комиссариату города Новый Уренгой Ямало-Ненецкого автономного округа (далее – военный комиссариат) в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части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мобилизационной работы. </w:t>
      </w:r>
      <w:r>
        <w:rPr>
          <w:rFonts w:ascii="Liberation Sans" w:hAnsi="Liberation Sans" w:cs="Liberation Sans"/>
          <w:color w:val="auto"/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rFonts w:ascii="Liberation Sans" w:hAnsi="Liberation Sans" w:cs="Liberation Sans"/>
          <w:color w:val="auto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В 2023 году согласно плану проверок качества осуществления воинского учета и бронирования граждан, пребывающих в запасе Вооруженных Сил Российской Федерации,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проверено 22 организаци</w:t>
      </w:r>
      <w:r>
        <w:rPr>
          <w:rFonts w:ascii="Liberation Sans" w:hAnsi="Liberation Sans" w:cs="Liberation Sans"/>
          <w:strike w:val="0"/>
          <w:color w:val="auto"/>
          <w:sz w:val="28"/>
          <w:szCs w:val="28"/>
          <w:highlight w:val="none"/>
        </w:rPr>
        <w:t xml:space="preserve">и. План</w:t>
      </w:r>
      <w:r>
        <w:rPr>
          <w:rFonts w:ascii="Liberation Sans" w:hAnsi="Liberation Sans" w:cs="Liberation Sans"/>
          <w:strike w:val="0"/>
          <w:color w:val="auto"/>
          <w:sz w:val="28"/>
          <w:szCs w:val="28"/>
          <w:highlight w:val="none"/>
        </w:rPr>
        <w:t xml:space="preserve"> проверок</w:t>
      </w:r>
      <w:r>
        <w:rPr>
          <w:rFonts w:ascii="Liberation Sans" w:hAnsi="Liberation Sans" w:cs="Liberation Sans"/>
          <w:strike w:val="0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trike w:val="0"/>
          <w:color w:val="auto"/>
          <w:sz w:val="28"/>
          <w:szCs w:val="28"/>
          <w:highlight w:val="none"/>
        </w:rPr>
        <w:t xml:space="preserve">выполнен на 78%</w:t>
      </w:r>
      <w:r>
        <w:rPr>
          <w:rFonts w:ascii="Liberation Sans" w:hAnsi="Liberation Sans" w:cs="Liberation Sans"/>
          <w:strike w:val="0"/>
          <w:color w:val="auto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strike w:val="0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trike w:val="0"/>
          <w:color w:val="auto"/>
          <w:sz w:val="28"/>
          <w:szCs w:val="28"/>
          <w:highlight w:val="none"/>
        </w:rPr>
        <w:t xml:space="preserve">что связано </w:t>
      </w:r>
      <w:r>
        <w:rPr>
          <w:rFonts w:ascii="Liberation Sans" w:hAnsi="Liberation Sans" w:cs="Liberation Sans"/>
          <w:strike w:val="0"/>
          <w:color w:val="auto"/>
          <w:sz w:val="28"/>
          <w:szCs w:val="28"/>
          <w:highlight w:val="none"/>
        </w:rPr>
        <w:t xml:space="preserve">с кадровой нагрузкой </w:t>
        <w:br/>
        <w:t xml:space="preserve">и объемом выполнения работ военным комиссариатом</w:t>
      </w:r>
      <w:r>
        <w:rPr>
          <w:rFonts w:ascii="Liberation Sans" w:hAnsi="Liberation Sans" w:cs="Liberation Sans"/>
          <w:strike w:val="0"/>
          <w:color w:val="auto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trike w:val="0"/>
          <w:color w:val="auto"/>
          <w:sz w:val="28"/>
          <w:szCs w:val="28"/>
          <w:highlight w:val="none"/>
        </w:rPr>
        <w:t xml:space="preserve"> Неохваченные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проверкой организации включены в план проверок осуществления воинского учета и бронирования граждан, пребывающих в запасе, </w:t>
        <w:br/>
        <w:t xml:space="preserve">на 2024 год.</w:t>
      </w:r>
      <w:r>
        <w:rPr>
          <w:rFonts w:ascii="Liberation Sans" w:hAnsi="Liberation Sans" w:cs="Liberation Sans"/>
          <w:color w:val="auto"/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color w:val="auto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Проведено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инструкторско-методическое занятие по вопросам воинского учёта и бронирования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г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раждан, пребывающих в запасе, </w:t>
        <w:br/>
        <w:t xml:space="preserve">с работниками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ответственными за военно-учетную работу </w:t>
        <w:br/>
        <w:t xml:space="preserve">в организациях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сотрудниками военного комиссариата, отдела специальных мероприятий Администрации город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а.</w:t>
      </w:r>
      <w:r>
        <w:rPr>
          <w:color w:val="auto"/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color w:val="auto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Постановления Территориальной комиссии Ямало-Ненецкого автономного округа по б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ронированию граждан, пребывающих в запасе, исполнены в полном объёме.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color w:val="auto"/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о мере обращения ответственных работников в организациях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(независимо от форм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с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обственности)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за ведение работы </w:t>
        <w:br/>
        <w:t xml:space="preserve">по бронированию граждан, пребывающих в запасе, осуществлялось методическое обеспечение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оказывалась консультационная помощь </w:t>
        <w:br/>
        <w:t xml:space="preserve">в составлении сведений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об обеспеченности трудовыми ресурсами </w:t>
        <w:br/>
        <w:t xml:space="preserve">из числа граждан.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tabs>
          <w:tab w:val="left" w:pos="567" w:leader="none"/>
          <w:tab w:val="left" w:pos="709" w:leader="none"/>
          <w:tab w:val="left" w:pos="1134" w:leader="none"/>
        </w:tabs>
        <w:rPr>
          <w:rFonts w:ascii="Liberation Sans" w:hAnsi="Liberation Sans" w:cs="Liberation Sans"/>
          <w:sz w:val="28"/>
          <w:szCs w:val="28"/>
        </w:rPr>
      </w:pPr>
      <w:r/>
      <w:bookmarkStart w:id="71" w:name="_Toc71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О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хран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а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общественного порядка,</w:t>
        <w:br/>
        <w:t xml:space="preserve">создание условий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для деятельности народных дружин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.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br/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Деятельность административной комиссии, муниципальной инспекции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в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муниципально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м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образовани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и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город Новый Уренгой</w:t>
      </w:r>
      <w:bookmarkEnd w:id="0"/>
      <w:r/>
      <w:bookmarkEnd w:id="71"/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21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21"/>
        <w:ind w:firstLine="708"/>
        <w:jc w:val="both"/>
        <w:spacing w:before="0" w:beforeAutospacing="0"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Для реализации функций по обеспечению общественной безопасности на территории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муниципального образования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осуществляется:</w:t>
      </w:r>
      <w:r>
        <w:rPr>
          <w:highlight w:val="none"/>
        </w:rPr>
      </w:r>
      <w:r/>
    </w:p>
    <w:p>
      <w:pPr>
        <w:pStyle w:val="1121"/>
        <w:ind w:firstLine="709"/>
        <w:jc w:val="both"/>
        <w:spacing w:before="0" w:beforeAutospacing="0" w:after="0" w:afterAutospacing="0" w:line="240" w:lineRule="auto"/>
        <w:shd w:val="clear" w:color="auto" w:fill="auto"/>
        <w:tabs>
          <w:tab w:val="left" w:pos="993" w:leader="none"/>
        </w:tabs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взаимодействи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 с общественными объединениями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правоохранительной направленности;</w:t>
      </w:r>
      <w:r>
        <w:rPr>
          <w:highlight w:val="none"/>
        </w:rPr>
      </w:r>
      <w:r/>
    </w:p>
    <w:p>
      <w:pPr>
        <w:pStyle w:val="1121"/>
        <w:ind w:firstLine="709"/>
        <w:jc w:val="both"/>
        <w:spacing w:before="0" w:beforeAutospacing="0"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 деятельность Межведомс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твенной комиссии по профилактике правонарушений в муниципальном образовании город Новый Уренгой;</w:t>
      </w:r>
      <w:r>
        <w:rPr>
          <w:highlight w:val="none"/>
        </w:rPr>
      </w:r>
      <w:r/>
    </w:p>
    <w:p>
      <w:pPr>
        <w:pStyle w:val="1121"/>
        <w:ind w:firstLine="709"/>
        <w:jc w:val="both"/>
        <w:spacing w:before="0" w:beforeAutospacing="0"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деятельность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координирующего органа (штаба) народных дружин муниципального образования город Новый Уренгой и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Рабочей группы при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Адм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инистрации города Новый Уренгой по делам казачества.</w:t>
      </w:r>
      <w:r>
        <w:rPr>
          <w:highlight w:val="none"/>
        </w:rPr>
      </w:r>
      <w:r/>
    </w:p>
    <w:p>
      <w:pPr>
        <w:pStyle w:val="1121"/>
        <w:ind w:firstLine="709"/>
        <w:jc w:val="both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2023 году 2 общественными объединениями правоохранительной направленности (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Новоуренгойское городское казачье общество Обс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ко-Полярного отдельского казачьего общества Сибирского войскового казачьего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общества (далее - НУГКО) и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местная общественная организация «Народная дружина муниципального образования город Новый Уренгой» (далее - МОО НДНУ)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совместно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  <w:t xml:space="preserve">с правоохранительными органами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осуществлялась работа по охране общественного порядка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НУГКО, МОО НДНУ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отработано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6 044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часа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  <w:br/>
        <w:t xml:space="preserve">(2022 год 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5 374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2021 год - 5 372). Общая сумма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субсидии составила </w:t>
        <w:br/>
        <w:t xml:space="preserve">1 799,7 тыс. руб.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(202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 год - 1 600 тыс. руб., 2021 год - 1 599,6 тыс. руб.).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eastAsia="Liberation Sans" w:cs="Liberation Sans"/>
          <w:bCs/>
          <w:color w:val="000000" w:themeColor="text1"/>
          <w:sz w:val="28"/>
          <w:szCs w:val="28"/>
          <w:highlight w:val="none"/>
        </w:rPr>
        <w:t xml:space="preserve">В н</w:t>
      </w:r>
      <w:r>
        <w:rPr>
          <w:rFonts w:ascii="Liberation Sans" w:hAnsi="Liberation Sans" w:eastAsia="Liberation Sans" w:cs="Liberation Sans"/>
          <w:bCs/>
          <w:color w:val="000000" w:themeColor="text1"/>
          <w:sz w:val="28"/>
          <w:szCs w:val="28"/>
          <w:highlight w:val="none"/>
        </w:rPr>
        <w:t xml:space="preserve">оябре 2023 года состоялся конкурс </w:t>
      </w:r>
      <w:r>
        <w:rPr>
          <w:rFonts w:ascii="Liberation Sans" w:hAnsi="Liberation Sans" w:eastAsia="Liberation Sans" w:cs="Liberation Sans"/>
          <w:bCs/>
          <w:color w:val="000000" w:themeColor="text1"/>
          <w:sz w:val="28"/>
          <w:szCs w:val="28"/>
          <w:highlight w:val="none"/>
        </w:rPr>
        <w:t xml:space="preserve">на звание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«Лучший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народный дружинник муниципального образования город Новый Уренгой»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в котором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участие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приняли представители </w:t>
      </w:r>
      <w:r>
        <w:rPr>
          <w:rFonts w:ascii="Liberation Sans" w:hAnsi="Liberation Sans" w:eastAsia="Liberation Sans" w:cs="Liberation Sans"/>
          <w:bCs/>
          <w:color w:val="000000" w:themeColor="text1"/>
          <w:sz w:val="28"/>
          <w:szCs w:val="28"/>
          <w:highlight w:val="none"/>
        </w:rPr>
        <w:t xml:space="preserve">МОО «НДНУ»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  <w:br/>
        <w:t xml:space="preserve">и </w:t>
      </w:r>
      <w:r>
        <w:rPr>
          <w:rFonts w:ascii="Liberation Sans" w:hAnsi="Liberation Sans" w:eastAsia="Liberation Sans" w:cs="Liberation Sans"/>
          <w:bCs/>
          <w:color w:val="000000" w:themeColor="text1"/>
          <w:sz w:val="28"/>
          <w:szCs w:val="28"/>
          <w:highlight w:val="none"/>
        </w:rPr>
        <w:t xml:space="preserve">НУГКО</w:t>
      </w:r>
      <w:r>
        <w:rPr>
          <w:rFonts w:ascii="Liberation Sans" w:hAnsi="Liberation Sans" w:eastAsia="Liberation Sans" w:cs="Liberation Sans"/>
          <w:bCs/>
          <w:color w:val="000000" w:themeColor="text1"/>
          <w:sz w:val="28"/>
          <w:szCs w:val="28"/>
          <w:highlight w:val="none"/>
        </w:rPr>
        <w:t xml:space="preserve">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Победителем конкурса стал представитель </w:t>
      </w:r>
      <w:r>
        <w:rPr>
          <w:rFonts w:ascii="Liberation Sans" w:hAnsi="Liberation Sans" w:eastAsia="Liberation Sans" w:cs="Liberation Sans"/>
          <w:bCs/>
          <w:color w:val="000000" w:themeColor="text1"/>
          <w:sz w:val="28"/>
          <w:szCs w:val="28"/>
          <w:highlight w:val="none"/>
        </w:rPr>
        <w:t xml:space="preserve">НУГКО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 которому предоставлен грант в сумме 50,0 тыс. руб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1121"/>
        <w:ind w:firstLine="709"/>
        <w:jc w:val="both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роведено 4 совместных заседания Межведомственной комиссии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 профилактике право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нарушений в муниципаль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ном образовании город Новый Уренгой и комиссии по противодействию незаконному обороту промышленной продукции в муниципальном образовании город Новый Уренгой, рассмотрено 12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вопрос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ов, принято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60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решени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й.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widowControl w:val="off"/>
        <w:rPr>
          <w:highlight w:val="none"/>
        </w:rPr>
      </w:pP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режиме видео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кон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ференц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связи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организовано участие заинтересованных структур в заседании Межведомственной комиссии по профилактике правонарушений Ямало-Ненецкого автономного округа,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Комиссии по противодействию незаконному обороту промышленной продукции в Ямало-Н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енецком автономном округе,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br/>
        <w:t xml:space="preserve">в заседании координационного сов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ещания по обеспечению правопорядка в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Ямало-Ненецком автономном округе,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осуществлен контроль исполнения решений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widowControl w:val="off"/>
        <w:rPr>
          <w:highlight w:val="none"/>
        </w:rPr>
      </w:pP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П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роведено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3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 засед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ания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 рабочей группы при Администрации города Новый Уренгой по делам казачества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 и координирующего органа (штаба) народных дружин муниципального образования город Новый Уренгой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, р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ассмотрено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6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 вопросов, принято 29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 решени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й.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widowControl w:val="off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bCs/>
          <w:color w:val="000000" w:themeColor="text1"/>
          <w:sz w:val="28"/>
          <w:szCs w:val="28"/>
          <w:highlight w:val="none"/>
        </w:rPr>
        <w:t xml:space="preserve">Проведено 1 заседание </w:t>
      </w:r>
      <w:r>
        <w:rPr>
          <w:rFonts w:ascii="Liberation Sans" w:hAnsi="Liberation Sans" w:eastAsia="Liberation Sans" w:cs="Liberation Sans"/>
          <w:bCs/>
          <w:color w:val="000000" w:themeColor="text1"/>
          <w:sz w:val="28"/>
          <w:szCs w:val="28"/>
          <w:highlight w:val="none"/>
        </w:rPr>
        <w:t xml:space="preserve">координирующего органа (штаба) народных дружин муниципального образования</w:t>
      </w:r>
      <w:r>
        <w:rPr>
          <w:rFonts w:ascii="Liberation Sans" w:hAnsi="Liberation Sans" w:eastAsia="Liberation Sans" w:cs="Liberation Sans"/>
          <w:bCs/>
          <w:color w:val="000000" w:themeColor="text1"/>
          <w:sz w:val="28"/>
          <w:szCs w:val="28"/>
          <w:highlight w:val="none"/>
        </w:rPr>
        <w:t xml:space="preserve">, р</w:t>
      </w:r>
      <w:r>
        <w:rPr>
          <w:rFonts w:ascii="Liberation Sans" w:hAnsi="Liberation Sans" w:eastAsia="Liberation Sans" w:cs="Liberation Sans"/>
          <w:bCs/>
          <w:color w:val="000000" w:themeColor="text1"/>
          <w:sz w:val="28"/>
          <w:szCs w:val="28"/>
          <w:highlight w:val="none"/>
        </w:rPr>
        <w:t xml:space="preserve">ассмотрено </w:t>
        <w:br/>
      </w:r>
      <w:r>
        <w:rPr>
          <w:rFonts w:ascii="Liberation Sans" w:hAnsi="Liberation Sans" w:eastAsia="Liberation Sans" w:cs="Liberation Sans"/>
          <w:bCs/>
          <w:color w:val="000000" w:themeColor="text1"/>
          <w:sz w:val="28"/>
          <w:szCs w:val="28"/>
          <w:highlight w:val="none"/>
        </w:rPr>
        <w:t xml:space="preserve">2 вопроса, принято 10</w:t>
      </w:r>
      <w:r>
        <w:rPr>
          <w:rFonts w:ascii="Liberation Sans" w:hAnsi="Liberation Sans" w:eastAsia="Liberation Sans" w:cs="Liberation Sans"/>
          <w:bCs/>
          <w:color w:val="000000" w:themeColor="text1"/>
          <w:sz w:val="28"/>
          <w:szCs w:val="28"/>
          <w:highlight w:val="none"/>
        </w:rPr>
        <w:t xml:space="preserve"> решени</w:t>
      </w:r>
      <w:r>
        <w:rPr>
          <w:rFonts w:ascii="Liberation Sans" w:hAnsi="Liberation Sans" w:eastAsia="Liberation Sans" w:cs="Liberation Sans"/>
          <w:bCs/>
          <w:color w:val="000000" w:themeColor="text1"/>
          <w:sz w:val="28"/>
          <w:szCs w:val="28"/>
          <w:highlight w:val="none"/>
        </w:rPr>
        <w:t xml:space="preserve">й.</w:t>
      </w:r>
      <w:r>
        <w:rPr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ажную роль в прогнозировании опасных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ситуаций </w:t>
        <w:br/>
        <w:t xml:space="preserve">и своевременности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реагирования, обеспечении охраны общественного порядка и общественной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безопасности играют современные средства профилактического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деонаблюдения и мониторинга в местах массового пребывания людей. </w:t>
      </w:r>
      <w:r>
        <w:rPr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eastAsia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eastAsia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 рамках развития системы </w:t>
      </w:r>
      <w:r>
        <w:rPr>
          <w:rFonts w:ascii="Liberation Sans" w:hAnsi="Liberation Sans" w:eastAsia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аппаратно-программного комплекса «Безопасный город»</w:t>
      </w:r>
      <w:r>
        <w:rPr>
          <w:rFonts w:ascii="Liberation Sans" w:hAnsi="Liberation Sans" w:eastAsia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 в 2023 году приобретено 175 видеокамер наружного наблюдения.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Из-за выхода из строя</w:t>
      </w:r>
      <w:r>
        <w:rPr>
          <w:rFonts w:ascii="Liberation Sans" w:hAnsi="Liberation Sans" w:eastAsia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 произведена замена </w:t>
      </w:r>
      <w:r>
        <w:rPr>
          <w:rFonts w:ascii="Liberation Sans" w:hAnsi="Liberation Sans" w:eastAsia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br/>
        <w:t xml:space="preserve">52</w:t>
      </w:r>
      <w:r>
        <w:rPr>
          <w:rFonts w:ascii="Liberation Sans" w:hAnsi="Liberation Sans" w:eastAsia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ранее устан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вленных камер 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идеонаблюдения</w:t>
      </w:r>
      <w:r>
        <w:rPr>
          <w:rFonts w:ascii="Liberation Sans" w:hAnsi="Liberation Sans" w:eastAsia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. По состоянию </w:t>
        <w:br/>
        <w:t xml:space="preserve">на 31.12.2023 в муниципальном образовании функционировало</w:t>
      </w:r>
      <w:r>
        <w:rPr>
          <w:rFonts w:ascii="Liberation Sans" w:hAnsi="Liberation Sans" w:eastAsia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br/>
        <w:t xml:space="preserve">355 видеокамер наружного наблюдения.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Н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а рассмотрение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Административную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комиссию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  <w:t xml:space="preserve">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муниципально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образовани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город Новый Уренгой </w:t>
        <w:br/>
        <w:t xml:space="preserve">(далее - Админ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истративная комиссия)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 2023 году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поступило </w:t>
        <w:br/>
        <w:t xml:space="preserve">568 протоколов об административных правонарушениях </w:t>
        <w:br/>
        <w:t xml:space="preserve">в соответствии с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Законом Ямало-Нен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ецкого автономного округа </w:t>
        <w:br/>
        <w:t xml:space="preserve">от 16.12.2004 № 81-ЗАО «Об административных правонарушениях»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 (далее - Закон ЯНАО от 16.12.2004 № 81-ЗАО) (2022 год - 887). 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w:drawing>
          <wp:inline distT="0" distB="0" distL="0" distR="0">
            <wp:extent cx="4967171" cy="3536201"/>
            <wp:effectExtent l="4762" t="4762" r="4762" b="4762"/>
            <wp:docPr id="74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  <w:r>
        <w:rPr>
          <w:highlight w:val="none"/>
        </w:rPr>
      </w:r>
      <w:r/>
    </w:p>
    <w:p>
      <w:pPr>
        <w:ind w:firstLine="0"/>
        <w:jc w:val="both"/>
        <w:spacing w:after="0" w:line="240" w:lineRule="auto"/>
        <w:shd w:val="clear" w:color="auto" w:fill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дминистративной комиссией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проведено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25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 заседани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й,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рассмотрено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567 дел об админис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тративных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правонарушениях </w:t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2022 год - 876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021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год - 979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По результатам рассмотрения поступивших в А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дминистративную комисси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ю протоколов </w:t>
        <w:br/>
        <w:t xml:space="preserve">в отношении правонарушителей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вынесено 324 постановления </w:t>
        <w:br/>
        <w:t xml:space="preserve">о н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азначен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ии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 административн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ого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 наказания в виде административных штрафов на сумму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656,0 тыс. руб. (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2022 год - 893,0 тыс. руб., </w:t>
        <w:br/>
        <w:t xml:space="preserve">2021 год - 908,5 тыс. руб.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), вынесено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225 постановлений о назначении административного наказания в виде предупреждения, </w:t>
        <w:br/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18 постановлений о прекращении производства по делу.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 целью организации надлежащего исполнения постановлений 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регулярно производились телефонные обзвоны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должников.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Составлено 86 протоколов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об административных правонарушениях, предусмотренных ч. 1 ст. 20.25 КоАП РФ «Уклонение от исполнения административного наказ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ания» (2022 год - 335, 2021 год - 285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).</w:t>
      </w:r>
      <w:r>
        <w:rPr>
          <w:highlight w:val="none"/>
        </w:rPr>
      </w:r>
      <w:r/>
    </w:p>
    <w:p>
      <w:pPr>
        <w:pStyle w:val="1147"/>
        <w:ind w:left="0" w:firstLine="709"/>
        <w:spacing w:after="0" w:line="240" w:lineRule="auto"/>
        <w:shd w:val="clear" w:color="auto" w:fill="auto"/>
        <w:rPr>
          <w:sz w:val="28"/>
          <w:szCs w:val="28"/>
          <w:highlight w:val="none"/>
        </w:rPr>
      </w:pP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В 202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3 году исполнению подлежало 1 255  постановлений </w:t>
        <w:br/>
        <w:t xml:space="preserve">с учетом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н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е и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сполненных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 в преды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дущие годы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(2022 год - 1 621, </w:t>
        <w:br/>
        <w:t xml:space="preserve">2021 год - 1 592)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. Общая сумма штрафов, подлежащих взысканию, соста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ви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л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а 1 356,6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тыс. руб. (2022 год - 1 496,6 тыс. руб., </w:t>
        <w:br/>
        <w:t xml:space="preserve">2021 год - 1 282,8 тыс. руб.). В полном объеме исполнено </w:t>
        <w:br/>
        <w:t xml:space="preserve">364 постановления на общую сумму 592,3 тыс. руб. или 43,7% </w:t>
        <w:br/>
        <w:t xml:space="preserve">от подлежащих взысканию (2022 год - 666 постановлений на общую сумм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у 730,5 тыс. руб.).</w:t>
      </w:r>
      <w:r>
        <w:rPr>
          <w:sz w:val="28"/>
          <w:szCs w:val="28"/>
          <w:highlight w:val="none"/>
        </w:rPr>
      </w:r>
      <w:r/>
    </w:p>
    <w:p>
      <w:pPr>
        <w:pStyle w:val="1147"/>
        <w:ind w:left="0" w:firstLine="709"/>
        <w:spacing w:after="0" w:line="240" w:lineRule="auto"/>
        <w:shd w:val="clear" w:color="auto" w:fill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left="0" w:right="0" w:firstLine="0"/>
        <w:jc w:val="center"/>
        <w:spacing w:after="0" w:line="240" w:lineRule="auto"/>
        <w:shd w:val="clear" w:color="auto" w:fill="auto"/>
        <w:tabs>
          <w:tab w:val="left" w:pos="1134" w:leader="none"/>
          <w:tab w:val="left" w:pos="1276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drawing>
          <wp:inline distT="0" distB="0" distL="0" distR="0">
            <wp:extent cx="4771660" cy="1723661"/>
            <wp:effectExtent l="3175" t="3175" r="3175" b="3175"/>
            <wp:docPr id="7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284"/>
        <w:jc w:val="center"/>
        <w:spacing w:after="0" w:line="240" w:lineRule="auto"/>
        <w:shd w:val="clear" w:color="auto" w:fill="auto"/>
        <w:tabs>
          <w:tab w:val="left" w:pos="1134" w:leader="none"/>
          <w:tab w:val="left" w:pos="1276" w:leader="none"/>
        </w:tabs>
        <w:rPr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местный бюджет по назначенным Административной комиссией штрафам поступило 459,5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тыс. руб.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(2022 год - 602,9 тыс. руб., </w:t>
        <w:br/>
        <w:t xml:space="preserve">2021 год - 572,7 тыс. руб.).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 принудительное исполнение судебным приставам-исполнителям направлено 373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постановления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 сумму 430,3 ты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с. руб. (2022 год - 897 на сумму 642,6 тыс. руб., 2021 год - </w:t>
        <w:br/>
        <w:t xml:space="preserve">840 на сумму 381,2 тыс. руб.).</w:t>
      </w:r>
      <w:r>
        <w:rPr>
          <w:highlight w:val="none"/>
        </w:rPr>
      </w:r>
      <w:r/>
    </w:p>
    <w:p>
      <w:pPr>
        <w:ind w:right="20" w:firstLine="709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В рамках осуществления муниципального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контроля </w:t>
        <w:br/>
        <w:t xml:space="preserve">за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 соблюдением благоустройства города в 2023 году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проведено </w:t>
        <w:br/>
        <w:t xml:space="preserve">463 контрольных мероприятия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 без взаимодействия с контролируемыми лицами (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2022 год - 465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, 2021 год - 5), в результате которых</w:t>
      </w:r>
      <w:r>
        <w:rPr>
          <w:rFonts w:ascii="Liberation Sans" w:hAnsi="Liberation Sans" w:cs="Liberation Sans"/>
          <w:bCs w:val="0"/>
          <w:i w:val="0"/>
          <w:strike w:val="0"/>
          <w:color w:val="000000" w:themeColor="text1"/>
          <w:sz w:val="28"/>
          <w:szCs w:val="28"/>
          <w:highlight w:val="none"/>
        </w:rPr>
        <w:t xml:space="preserve"> выявлено 734 нарушения обязательных требований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right="20" w:firstLine="709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По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результатам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 контрольных мероприятий приняты следующие решения:</w:t>
      </w:r>
      <w:r>
        <w:rPr>
          <w:highlight w:val="none"/>
        </w:rPr>
      </w:r>
      <w:r/>
    </w:p>
    <w:p>
      <w:pPr>
        <w:ind w:right="20" w:firstLine="709"/>
        <w:jc w:val="both"/>
        <w:spacing w:after="0" w:line="240" w:lineRule="auto"/>
        <w:shd w:val="clear" w:color="auto" w:fill="auto"/>
        <w:rPr>
          <w:highlight w:val="none"/>
        </w:rPr>
        <w:suppressLineNumbers w:val="0"/>
      </w:pP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ыдано 316 предостережений о недопустимости нарушений обязательных требований, которые в полном объеме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исполнены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 </w:t>
        <w:br/>
        <w:t xml:space="preserve">в установленный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срок;</w:t>
      </w:r>
      <w:r>
        <w:rPr>
          <w:highlight w:val="none"/>
        </w:rPr>
      </w:r>
      <w:r/>
    </w:p>
    <w:p>
      <w:pPr>
        <w:ind w:left="0" w:right="20" w:firstLine="709"/>
        <w:jc w:val="both"/>
        <w:spacing w:after="0" w:line="240" w:lineRule="auto"/>
        <w:shd w:val="clear" w:color="auto" w:fill="auto"/>
        <w:rPr>
          <w:highlight w:val="none"/>
        </w:rPr>
        <w:suppressLineNumbers w:val="0"/>
      </w:pP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проведено 12 профилактических </w:t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визитов</w:t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 в торговые объекты, гаражные кооперативы;</w:t>
      </w:r>
      <w:r>
        <w:rPr>
          <w:highlight w:val="none"/>
        </w:rPr>
      </w:r>
      <w:r/>
    </w:p>
    <w:p>
      <w:pPr>
        <w:ind w:right="20" w:firstLine="709"/>
        <w:jc w:val="both"/>
        <w:spacing w:after="0" w:line="240" w:lineRule="auto"/>
        <w:shd w:val="clear" w:color="auto" w:fill="auto"/>
        <w:rPr>
          <w:highlight w:val="none"/>
        </w:rPr>
        <w:suppressLineNumbers w:val="0"/>
      </w:pP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- проведено 375 </w:t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консультирований</w:t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 жителей города, индивидуальных предпринимателей, руководителей организаций города;</w:t>
      </w:r>
      <w:r>
        <w:rPr>
          <w:highlight w:val="none"/>
        </w:rPr>
      </w:r>
      <w:r/>
    </w:p>
    <w:p>
      <w:pPr>
        <w:ind w:right="20" w:firstLine="709"/>
        <w:jc w:val="both"/>
        <w:spacing w:after="0" w:line="240" w:lineRule="auto"/>
        <w:shd w:val="clear" w:color="auto" w:fill="auto"/>
        <w:rPr>
          <w:highlight w:val="none"/>
        </w:rPr>
        <w:suppressLineNumbers w:val="0"/>
      </w:pP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выдано</w:t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 2 предписания</w:t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 индивидуальным предпринимателям </w:t>
        <w:br/>
      </w:r>
      <w:r>
        <w:rPr>
          <w:rFonts w:ascii="Liberation Sans" w:hAnsi="Liberation Sans" w:cs="Liberation Sans"/>
          <w:bCs w:val="0"/>
          <w:i w:val="0"/>
          <w:strike w:val="0"/>
          <w:color w:val="000000" w:themeColor="text1"/>
          <w:sz w:val="28"/>
          <w:szCs w:val="28"/>
          <w:highlight w:val="none"/>
        </w:rPr>
        <w:t xml:space="preserve">для устранения замечаний по содержанию детских площадо</w:t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к;</w:t>
      </w:r>
      <w:r>
        <w:rPr>
          <w:highlight w:val="none"/>
        </w:rPr>
      </w:r>
      <w:r/>
    </w:p>
    <w:p>
      <w:pPr>
        <w:ind w:right="20" w:firstLine="709"/>
        <w:jc w:val="both"/>
        <w:spacing w:after="0" w:line="240" w:lineRule="auto"/>
        <w:shd w:val="clear" w:color="auto" w:fill="auto"/>
        <w:rPr>
          <w:rFonts w:ascii="Liberation Sans" w:hAnsi="Liberation Sans" w:cs="Liberation Sans"/>
          <w:color w:val="000000" w:themeColor="text1"/>
          <w:highlight w:val="none"/>
        </w:rPr>
        <w:suppressLineNumbers w:val="0"/>
      </w:pP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- составлено 359 протоколов об административных правонарушениях в соответствии с Законом ЯНАО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от 16.12.2004</w:t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 </w:t>
        <w:br/>
        <w:t xml:space="preserve">№ 81-ЗАО.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left="0" w:right="20" w:firstLine="709"/>
        <w:jc w:val="both"/>
        <w:spacing w:after="0" w:line="240" w:lineRule="auto"/>
        <w:shd w:val="clear" w:color="auto" w:fill="auto"/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Для осуществления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муниципального контроля в части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пресечения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нарушений парковки и размещения транспортных средств на газонах </w:t>
      </w:r>
      <w:r>
        <w:rPr>
          <w:rFonts w:ascii="Liberation Sans" w:hAnsi="Liberation Sans" w:cs="Liberation Sans"/>
          <w:bCs w:val="0"/>
          <w:i w:val="0"/>
          <w:strike w:val="0"/>
          <w:color w:val="000000" w:themeColor="text1"/>
          <w:sz w:val="28"/>
          <w:szCs w:val="28"/>
          <w:highlight w:val="none"/>
        </w:rPr>
        <w:t xml:space="preserve">совместно с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ОМВД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России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по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г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 Новому Уренгою</w:t>
      </w:r>
      <w:r>
        <w:rPr>
          <w:rFonts w:ascii="Liberation Sans" w:hAnsi="Liberation Sans" w:cs="Liberation Sans"/>
          <w:bCs w:val="0"/>
          <w:i w:val="0"/>
          <w:strike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bCs w:val="0"/>
          <w:i w:val="0"/>
          <w:strike w:val="0"/>
          <w:color w:val="000000" w:themeColor="text1"/>
          <w:sz w:val="28"/>
          <w:szCs w:val="28"/>
          <w:highlight w:val="none"/>
        </w:rPr>
        <w:t xml:space="preserve">проведено </w:t>
        <w:br/>
        <w:t xml:space="preserve">25 рейдовых мероприятий. Направлено 43 межведомственных </w:t>
      </w:r>
      <w:r>
        <w:rPr>
          <w:rFonts w:ascii="Liberation Sans" w:hAnsi="Liberation Sans" w:cs="Liberation Sans"/>
          <w:bCs w:val="0"/>
          <w:i w:val="0"/>
          <w:strike w:val="0"/>
          <w:color w:val="000000" w:themeColor="text1"/>
          <w:sz w:val="28"/>
          <w:szCs w:val="28"/>
          <w:highlight w:val="none"/>
        </w:rPr>
        <w:t xml:space="preserve">запроса</w:t>
      </w:r>
      <w:r>
        <w:rPr>
          <w:rFonts w:ascii="Liberation Sans" w:hAnsi="Liberation Sans" w:cs="Liberation Sans"/>
          <w:bCs w:val="0"/>
          <w:i w:val="0"/>
          <w:strike w:val="0"/>
          <w:color w:val="000000" w:themeColor="text1"/>
          <w:sz w:val="28"/>
          <w:szCs w:val="28"/>
          <w:highlight w:val="none"/>
        </w:rPr>
        <w:t xml:space="preserve"> </w:t>
        <w:br/>
      </w:r>
      <w:r>
        <w:rPr>
          <w:rFonts w:ascii="Liberation Sans" w:hAnsi="Liberation Sans" w:cs="Liberation Sans"/>
          <w:bCs w:val="0"/>
          <w:i w:val="0"/>
          <w:strike w:val="0"/>
          <w:color w:val="000000" w:themeColor="text1"/>
          <w:sz w:val="28"/>
          <w:szCs w:val="28"/>
          <w:highlight w:val="none"/>
        </w:rPr>
        <w:t xml:space="preserve">в </w:t>
      </w:r>
      <w:r>
        <w:rPr>
          <w:rFonts w:ascii="Liberation Sans" w:hAnsi="Liberation Sans" w:cs="Liberation Sans"/>
          <w:bCs w:val="0"/>
          <w:i w:val="0"/>
          <w:strike w:val="0"/>
          <w:color w:val="000000" w:themeColor="text1"/>
          <w:sz w:val="28"/>
          <w:szCs w:val="28"/>
          <w:highlight w:val="none"/>
        </w:rPr>
        <w:t xml:space="preserve">Федеральн</w:t>
      </w:r>
      <w:r>
        <w:rPr>
          <w:rFonts w:ascii="Liberation Sans" w:hAnsi="Liberation Sans" w:cs="Liberation Sans"/>
          <w:bCs w:val="0"/>
          <w:i w:val="0"/>
          <w:strike w:val="0"/>
          <w:color w:val="000000" w:themeColor="text1"/>
          <w:sz w:val="28"/>
          <w:szCs w:val="28"/>
          <w:highlight w:val="none"/>
        </w:rPr>
        <w:t xml:space="preserve">ую</w:t>
      </w:r>
      <w:r>
        <w:rPr>
          <w:rFonts w:ascii="Liberation Sans" w:hAnsi="Liberation Sans" w:cs="Liberation Sans"/>
          <w:bCs w:val="0"/>
          <w:i w:val="0"/>
          <w:strike w:val="0"/>
          <w:color w:val="000000" w:themeColor="text1"/>
          <w:sz w:val="28"/>
          <w:szCs w:val="28"/>
          <w:highlight w:val="none"/>
        </w:rPr>
        <w:t xml:space="preserve"> информационн</w:t>
      </w:r>
      <w:r>
        <w:rPr>
          <w:rFonts w:ascii="Liberation Sans" w:hAnsi="Liberation Sans" w:cs="Liberation Sans"/>
          <w:bCs w:val="0"/>
          <w:i w:val="0"/>
          <w:strike w:val="0"/>
          <w:color w:val="000000" w:themeColor="text1"/>
          <w:sz w:val="28"/>
          <w:szCs w:val="28"/>
          <w:highlight w:val="none"/>
        </w:rPr>
        <w:t xml:space="preserve">ую</w:t>
      </w:r>
      <w:r>
        <w:rPr>
          <w:rFonts w:ascii="Liberation Sans" w:hAnsi="Liberation Sans" w:cs="Liberation Sans"/>
          <w:bCs w:val="0"/>
          <w:i w:val="0"/>
          <w:strike w:val="0"/>
          <w:color w:val="000000" w:themeColor="text1"/>
          <w:sz w:val="28"/>
          <w:szCs w:val="28"/>
          <w:highlight w:val="none"/>
        </w:rPr>
        <w:t xml:space="preserve"> систем</w:t>
      </w:r>
      <w:r>
        <w:rPr>
          <w:rFonts w:ascii="Liberation Sans" w:hAnsi="Liberation Sans" w:cs="Liberation Sans"/>
          <w:bCs w:val="0"/>
          <w:i w:val="0"/>
          <w:strike w:val="0"/>
          <w:color w:val="000000" w:themeColor="text1"/>
          <w:sz w:val="28"/>
          <w:szCs w:val="28"/>
          <w:highlight w:val="none"/>
        </w:rPr>
        <w:t xml:space="preserve">у</w:t>
      </w:r>
      <w:r>
        <w:rPr>
          <w:rFonts w:ascii="Liberation Sans" w:hAnsi="Liberation Sans" w:cs="Liberation Sans"/>
          <w:bCs w:val="0"/>
          <w:i w:val="0"/>
          <w:strike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ГИБДД</w:t>
      </w:r>
      <w:r>
        <w:rPr>
          <w:rFonts w:ascii="Liberation Sans" w:hAnsi="Liberation Sans" w:cs="Liberation Sans"/>
          <w:bCs w:val="0"/>
          <w:i w:val="0"/>
          <w:strike w:val="0"/>
          <w:color w:val="000000" w:themeColor="text1"/>
          <w:sz w:val="28"/>
          <w:szCs w:val="28"/>
          <w:highlight w:val="none"/>
        </w:rPr>
        <w:t xml:space="preserve"> </w:t>
        <w:br/>
        <w:t xml:space="preserve">на 168 </w:t>
      </w:r>
      <w:r>
        <w:rPr>
          <w:rFonts w:ascii="Liberation Sans" w:hAnsi="Liberation Sans" w:cs="Liberation Sans"/>
          <w:bCs w:val="0"/>
          <w:i w:val="0"/>
          <w:strike w:val="0"/>
          <w:color w:val="000000" w:themeColor="text1"/>
          <w:sz w:val="28"/>
          <w:szCs w:val="28"/>
          <w:highlight w:val="none"/>
        </w:rPr>
        <w:t xml:space="preserve">автотранспортных средств. </w:t>
      </w:r>
      <w:r>
        <w:rPr>
          <w:rFonts w:ascii="Liberation Sans" w:hAnsi="Liberation Sans" w:cs="Liberation Sans"/>
          <w:bCs w:val="0"/>
          <w:i w:val="0"/>
          <w:strike w:val="0"/>
          <w:color w:val="000000" w:themeColor="text1"/>
          <w:sz w:val="28"/>
          <w:szCs w:val="28"/>
          <w:highlight w:val="none"/>
        </w:rPr>
        <w:t xml:space="preserve">Составлено 24 протокола </w:t>
        <w:br/>
        <w:t xml:space="preserve">з</w:t>
      </w:r>
      <w:r>
        <w:rPr>
          <w:rFonts w:ascii="Liberation Sans" w:hAnsi="Liberation Sans" w:cs="Liberation Sans"/>
          <w:bCs w:val="0"/>
          <w:i w:val="0"/>
          <w:strike w:val="0"/>
          <w:color w:val="000000" w:themeColor="text1"/>
          <w:sz w:val="28"/>
          <w:szCs w:val="28"/>
          <w:highlight w:val="none"/>
        </w:rPr>
        <w:t xml:space="preserve">а парковку на газонах, общая сумма штрафов составила 48 тыс. руб. Вынесено 51 предостережение по парковке на газонах, проведено </w:t>
        <w:br/>
        <w:t xml:space="preserve">93 консультации о недопустимости парковки на газонах.</w:t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right="20" w:firstLine="709"/>
        <w:jc w:val="both"/>
        <w:spacing w:after="0" w:line="240" w:lineRule="auto"/>
        <w:shd w:val="clear" w:color="auto" w:fill="auto"/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  <w:t xml:space="preserve">Для осуществления 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  <w:t xml:space="preserve">муниципального контроля в части розничной торговли вне мест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  <w:t xml:space="preserve"> специально установленных органами местного самоуправления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  <w:t xml:space="preserve"> проведены следующие мероприятия: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</w:r>
      <w:r/>
    </w:p>
    <w:p>
      <w:pPr>
        <w:ind w:left="0" w:right="0" w:firstLine="708"/>
        <w:jc w:val="both"/>
        <w:spacing w:before="0" w:after="0" w:line="240" w:lineRule="auto"/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  <w:t xml:space="preserve">- вн</w:t>
      </w:r>
      <w:r>
        <w:rPr>
          <w:rFonts w:ascii="Liberation Sans" w:hAnsi="Liberation Sans" w:cs="Liberation Sans"/>
          <w:b w:val="0"/>
          <w:bCs w:val="0"/>
          <w:i w:val="0"/>
          <w:color w:val="000000" w:themeColor="text1"/>
          <w:sz w:val="28"/>
          <w:szCs w:val="28"/>
          <w:highlight w:val="none"/>
        </w:rPr>
        <w:t xml:space="preserve">есены изменения в правила благоустройства города в части исключения из положений нарушения, св</w:t>
      </w:r>
      <w:r>
        <w:rPr>
          <w:rFonts w:ascii="Liberation Sans" w:hAnsi="Liberation Sans" w:cs="Liberation Sans"/>
          <w:b w:val="0"/>
          <w:bCs w:val="0"/>
          <w:i w:val="0"/>
          <w:color w:val="000000" w:themeColor="text1"/>
          <w:sz w:val="28"/>
          <w:szCs w:val="28"/>
          <w:highlight w:val="none"/>
        </w:rPr>
        <w:t xml:space="preserve">язанного с розничной торговлей вне мест</w:t>
      </w:r>
      <w:r>
        <w:rPr>
          <w:rFonts w:ascii="Liberation Sans" w:hAnsi="Liberation Sans" w:cs="Liberation Sans"/>
          <w:b w:val="0"/>
          <w:bCs w:val="0"/>
          <w:i w:val="0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b w:val="0"/>
          <w:bCs w:val="0"/>
          <w:i w:val="0"/>
          <w:color w:val="000000" w:themeColor="text1"/>
          <w:sz w:val="28"/>
          <w:szCs w:val="28"/>
          <w:highlight w:val="none"/>
        </w:rPr>
        <w:t xml:space="preserve"> специально установленных органами местного самоуправления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  <w:t xml:space="preserve"> (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  <w:t xml:space="preserve">решение Городской Думы муниципального образования город Новый Уренгой от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  <w:t xml:space="preserve"> 22.12.2022 № 188 «</w:t>
      </w:r>
      <w:r>
        <w:rPr>
          <w:rFonts w:ascii="Liberation Sans" w:hAnsi="Liberation Sans" w:eastAsia="Arial" w:cs="Liberation Sans"/>
          <w:b w:val="0"/>
          <w:bCs w:val="0"/>
          <w:color w:val="000000"/>
          <w:sz w:val="28"/>
          <w:szCs w:val="28"/>
          <w:highlight w:val="none"/>
        </w:rPr>
        <w:t xml:space="preserve">О внесении изменения в решение Городской Думы муниципального </w:t>
      </w:r>
      <w:r>
        <w:rPr>
          <w:rFonts w:ascii="Liberation Sans" w:hAnsi="Liberation Sans" w:eastAsia="Arial" w:cs="Liberation Sans"/>
          <w:b w:val="0"/>
          <w:bCs w:val="0"/>
          <w:color w:val="000000"/>
          <w:sz w:val="28"/>
          <w:szCs w:val="28"/>
          <w:highlight w:val="none"/>
        </w:rPr>
        <w:t xml:space="preserve">образования город Новый Уренгой от 23.06.2020 № 340</w:t>
      </w:r>
      <w:r>
        <w:rPr>
          <w:rFonts w:ascii="Liberation Sans" w:hAnsi="Liberation Sans" w:eastAsia="Arial" w:cs="Liberation Sans"/>
          <w:b w:val="0"/>
          <w:bCs w:val="0"/>
          <w:color w:val="000000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b w:val="0"/>
          <w:bCs w:val="0"/>
          <w:i w:val="0"/>
          <w:color w:val="000000" w:themeColor="text1"/>
          <w:sz w:val="28"/>
          <w:szCs w:val="28"/>
          <w:highlight w:val="none"/>
        </w:rPr>
        <w:t xml:space="preserve">. Данная мера позволила возобновить практику привлечения к административной ответственности лиц, осуществляющих торговлю вне специально отведенных мест, в соответствии с</w:t>
      </w:r>
      <w:r>
        <w:rPr>
          <w:rFonts w:ascii="Liberation Sans" w:hAnsi="Liberation Sans" w:cs="Liberation Sans"/>
          <w:b w:val="0"/>
          <w:bCs w:val="0"/>
          <w:i w:val="0"/>
          <w:color w:val="000000" w:themeColor="text1"/>
          <w:sz w:val="28"/>
          <w:szCs w:val="28"/>
          <w:highlight w:val="none"/>
        </w:rPr>
        <w:t xml:space="preserve"> действующим </w:t>
      </w:r>
      <w:r>
        <w:rPr>
          <w:rFonts w:ascii="Liberation Sans" w:hAnsi="Liberation Sans" w:cs="Liberation Sans"/>
          <w:b w:val="0"/>
          <w:bCs w:val="0"/>
          <w:i w:val="0"/>
          <w:color w:val="000000" w:themeColor="text1"/>
          <w:sz w:val="28"/>
          <w:szCs w:val="28"/>
          <w:highlight w:val="none"/>
        </w:rPr>
        <w:t xml:space="preserve">законодательством;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</w:r>
      <w:r/>
    </w:p>
    <w:p>
      <w:pPr>
        <w:ind w:left="0" w:right="20" w:firstLine="709"/>
        <w:jc w:val="both"/>
        <w:spacing w:after="0" w:line="240" w:lineRule="auto"/>
        <w:shd w:val="clear" w:color="auto" w:fill="auto"/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14:ligatures w14:val="none"/>
        </w:rPr>
        <w:suppressLineNumbers w:val="0"/>
      </w:pPr>
      <w:r>
        <w:rPr>
          <w:rFonts w:ascii="Liberation Sans" w:hAnsi="Liberation Sans" w:cs="Liberation Sans"/>
          <w:b w:val="0"/>
          <w:bCs w:val="0"/>
          <w:i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b w:val="0"/>
          <w:bCs w:val="0"/>
          <w:i w:val="0"/>
          <w:color w:val="000000" w:themeColor="text1"/>
          <w:sz w:val="28"/>
          <w:szCs w:val="28"/>
          <w:highlight w:val="none"/>
        </w:rPr>
        <w:t xml:space="preserve">- составлено 184 </w:t>
      </w:r>
      <w:r>
        <w:rPr>
          <w:rFonts w:ascii="Liberation Sans" w:hAnsi="Liberation Sans" w:cs="Liberation Sans"/>
          <w:b w:val="0"/>
          <w:bCs w:val="0"/>
          <w:i w:val="0"/>
          <w:color w:val="000000" w:themeColor="text1"/>
          <w:sz w:val="28"/>
          <w:szCs w:val="28"/>
          <w:highlight w:val="none"/>
        </w:rPr>
        <w:t xml:space="preserve">протокола за торговлю в неустановленных местах (2022 год - 157, 2021 год - 99). Сумма наложенных штрафов составила 408,5 тыс. руб. (2022 год - 331 тыс. руб., 2021 год - </w:t>
        <w:br/>
        <w:t xml:space="preserve">295 т</w:t>
      </w:r>
      <w:r>
        <w:rPr>
          <w:rFonts w:ascii="Liberation Sans" w:hAnsi="Liberation Sans" w:cs="Liberation Sans"/>
          <w:b w:val="0"/>
          <w:bCs w:val="0"/>
          <w:i w:val="0"/>
          <w:color w:val="000000" w:themeColor="text1"/>
          <w:sz w:val="28"/>
          <w:szCs w:val="28"/>
          <w:highlight w:val="none"/>
        </w:rPr>
        <w:t xml:space="preserve">ыс. руб.).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  <w14:ligatures w14:val="none"/>
        </w:rPr>
      </w:r>
      <w:r/>
    </w:p>
    <w:p>
      <w:pPr>
        <w:ind w:right="20" w:firstLine="709"/>
        <w:jc w:val="both"/>
        <w:spacing w:after="0" w:line="240" w:lineRule="auto"/>
        <w:shd w:val="clear" w:color="auto" w:fill="auto"/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</w:pPr>
      <w:r>
        <w:rPr>
          <w:rFonts w:ascii="Liberation Sans" w:hAnsi="Liberation Sans" w:cs="Liberation Sans"/>
          <w:b w:val="0"/>
          <w:bCs w:val="0"/>
          <w:i w:val="0"/>
          <w:color w:val="000000" w:themeColor="text1"/>
          <w:sz w:val="28"/>
          <w:szCs w:val="28"/>
          <w:highlight w:val="none"/>
        </w:rPr>
        <w:t xml:space="preserve">Также муниципальной инспекцией в 2023 году проведены: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</w:r>
      <w:r/>
    </w:p>
    <w:p>
      <w:pPr>
        <w:ind w:right="20" w:firstLine="709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b w:val="0"/>
          <w:bCs w:val="0"/>
          <w:i w:val="0"/>
          <w:color w:val="000000" w:themeColor="text1"/>
          <w:sz w:val="28"/>
          <w:szCs w:val="28"/>
          <w:highlight w:val="none"/>
        </w:rPr>
        <w:t xml:space="preserve">- осмотры 58 территорий, на которых разрешено размещение нестационарных торговых объектов. По результатам ос</w:t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мотров составлены фототаблицы с внесением данных в электронный реестр; </w:t>
      </w:r>
      <w:r>
        <w:rPr>
          <w:highlight w:val="none"/>
        </w:rPr>
      </w:r>
      <w:r/>
    </w:p>
    <w:p>
      <w:pPr>
        <w:ind w:right="20" w:firstLine="709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- осмотры </w:t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103</w:t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 объектов незавершенного капитального строительства. Составлены фототаблицы, информация передана </w:t>
        <w:br/>
        <w:t xml:space="preserve">в </w:t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Департамент имущественных и жилищных отношений Администрации города.</w:t>
      </w:r>
      <w:r>
        <w:rPr>
          <w:highlight w:val="none"/>
        </w:rPr>
      </w:r>
      <w:r/>
    </w:p>
    <w:p>
      <w:pPr>
        <w:ind w:right="20" w:firstLine="709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highlight w:val="none"/>
        </w:rPr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В рамках рейдовых мероприятий по </w:t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соблюдению правил благоустройства</w:t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 на территории </w:t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города Новый Уренгой</w:t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 в 2023 году выявлено 38 фактов </w:t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совершения административных правонарушений, </w:t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подведомственных </w:t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другим уполномоченным органам, по которым информация передана в соответствующие структуры.</w:t>
      </w:r>
      <w:r>
        <w:rPr>
          <w:highlight w:val="none"/>
        </w:rPr>
      </w:r>
      <w:r/>
    </w:p>
    <w:p>
      <w:pPr>
        <w:ind w:right="20" w:firstLine="709"/>
        <w:jc w:val="both"/>
        <w:spacing w:after="0" w:line="240" w:lineRule="auto"/>
        <w:shd w:val="clear" w:color="auto" w:fill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В целях соблюдения правил благоустройства города </w:t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в средствах массовой информации размещено 276 материалов </w:t>
      </w:r>
      <w:r>
        <w:rPr>
          <w:rFonts w:ascii="Liberation Sans" w:hAnsi="Liberation Sans" w:cs="Liberation Sans"/>
          <w:bCs w:val="0"/>
          <w:i w:val="0"/>
          <w:color w:val="000000" w:themeColor="text1"/>
          <w:sz w:val="28"/>
          <w:szCs w:val="28"/>
          <w:highlight w:val="none"/>
        </w:rPr>
        <w:t xml:space="preserve">(2022 год - 78).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pStyle w:val="1121"/>
        <w:ind w:left="0" w:right="0" w:firstLine="709"/>
        <w:jc w:val="both"/>
        <w:spacing w:after="0" w:afterAutospacing="0"/>
        <w:rPr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рамках муниципального земельного контроля проведено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br/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680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 контрольных мероприятий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без взаимодействия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с контролируемыми лицами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(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2022 год - 649 мероприятий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2021 год - 356 мероприятий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)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 составлено 680 актов и протоколов осмотра.</w:t>
      </w:r>
      <w:r>
        <w:rPr>
          <w:highlight w:val="none"/>
        </w:rPr>
      </w:r>
      <w:r/>
    </w:p>
    <w:p>
      <w:pPr>
        <w:pStyle w:val="1121"/>
        <w:ind w:left="0" w:right="0" w:firstLine="709"/>
        <w:jc w:val="both"/>
        <w:spacing w:after="0" w:afterAutospacing="0"/>
        <w:rPr>
          <w:highlight w:val="none"/>
        </w:rPr>
      </w:pP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По результатам данных мероприятий приняты 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следующие решения:</w:t>
      </w:r>
      <w:r>
        <w:rPr>
          <w:highlight w:val="none"/>
        </w:rPr>
      </w:r>
      <w:r/>
    </w:p>
    <w:p>
      <w:pPr>
        <w:pStyle w:val="1121"/>
        <w:ind w:left="0" w:right="0" w:firstLine="709"/>
        <w:jc w:val="both"/>
        <w:spacing w:after="0" w:afterAutospacing="0"/>
        <w:rPr>
          <w:highlight w:val="none"/>
        </w:rPr>
      </w:pP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- выдано 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443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 предостережения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 о недопустимости нарушения обязательных требований 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(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2022 год - 258, 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2021 год - 8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)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121"/>
        <w:ind w:left="0" w:right="0" w:firstLine="709"/>
        <w:jc w:val="both"/>
        <w:spacing w:after="0" w:afterAutospacing="0"/>
        <w:rPr>
          <w:highlight w:val="none"/>
        </w:rPr>
      </w:pP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- проведено 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5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8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 профилактических визитов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(2022 год - 16, </w:t>
        <w:br/>
        <w:t xml:space="preserve">2021 год - 0)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. Рост 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профилактических визитов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 свидетельствует </w:t>
        <w:br/>
        <w:t xml:space="preserve">о приоритете профилактических мероприятий над контрольными;</w:t>
      </w:r>
      <w:r>
        <w:rPr>
          <w:highlight w:val="none"/>
        </w:rPr>
      </w:r>
      <w:r/>
    </w:p>
    <w:p>
      <w:pPr>
        <w:pStyle w:val="1121"/>
        <w:ind w:left="0" w:right="0" w:firstLine="709"/>
        <w:jc w:val="both"/>
        <w:spacing w:after="0" w:afterAutospacing="0"/>
        <w:rPr>
          <w:highlight w:val="none"/>
        </w:rPr>
      </w:pP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- проведено 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409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 консультирований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(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2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022 год - 375,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 2021 год - 108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1121"/>
        <w:ind w:left="0" w:right="0" w:firstLine="709"/>
        <w:jc w:val="both"/>
        <w:spacing w:after="0" w:afterAutospacing="0"/>
        <w:rPr>
          <w:rFonts w:ascii="Liberation Sans" w:hAnsi="Liberation Sans" w:eastAsia="PT Astra Serif" w:cs="Liberation Sans"/>
          <w:sz w:val="28"/>
          <w:szCs w:val="28"/>
          <w:highlight w:val="none"/>
        </w:rPr>
      </w:pPr>
      <w:r>
        <w:rPr>
          <w:rFonts w:ascii="Liberation Sans" w:hAnsi="Liberation Sans" w:eastAsia="PT Astra Serif" w:cs="Liberation Sans"/>
          <w:sz w:val="28"/>
          <w:szCs w:val="28"/>
          <w:highlight w:val="none"/>
        </w:rPr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Контрольные мероприятия со взаимоде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йствием </w:t>
        <w:br/>
        <w:t xml:space="preserve">с контролируемым лицом (проверки)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в 2023 году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не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проводились </w:t>
        <w:br/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в связи с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 мораторием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 проверок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, установленным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eastAsia="en-US"/>
        </w:rPr>
        <w:t xml:space="preserve">постановлением </w:t>
      </w:r>
      <w:r>
        <w:rPr>
          <w:rFonts w:ascii="Liberation Sans" w:hAnsi="Liberation Sans" w:eastAsia="Liberation Serif" w:cs="Liberation Sans"/>
          <w:color w:val="auto"/>
          <w:sz w:val="28"/>
          <w:szCs w:val="28"/>
          <w:highlight w:val="none"/>
        </w:rPr>
        <w:t xml:space="preserve">Правительства Российск</w:t>
      </w:r>
      <w:r>
        <w:rPr>
          <w:rFonts w:ascii="Liberation Sans" w:hAnsi="Liberation Sans" w:eastAsia="Liberation Serif" w:cs="Liberation Sans"/>
          <w:color w:val="auto"/>
          <w:sz w:val="28"/>
          <w:szCs w:val="28"/>
          <w:highlight w:val="none"/>
        </w:rPr>
        <w:t xml:space="preserve">ой Федерации от 10.03.2022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№ 336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  <w:br/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«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Об особенностях организации и осуществления государственного контроля (надзора), муниципального контроля»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(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2022 год - 6, </w:t>
        <w:br/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2021 год - 20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).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</w:r>
      <w:r/>
    </w:p>
    <w:p>
      <w:pPr>
        <w:pStyle w:val="1121"/>
        <w:ind w:left="0" w:right="0" w:firstLine="709"/>
        <w:jc w:val="both"/>
        <w:spacing w:after="0" w:afterAutospacing="0"/>
        <w:rPr>
          <w:highlight w:val="none"/>
        </w:rPr>
      </w:pPr>
      <w:r>
        <w:rPr>
          <w:rFonts w:ascii="Liberation Sans" w:hAnsi="Liberation Sans" w:eastAsia="PT Astra Serif" w:cs="Liberation Sans"/>
          <w:sz w:val="28"/>
          <w:szCs w:val="28"/>
          <w:highlight w:val="none"/>
        </w:rPr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В 2023 году провед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ено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  <w:shd w:val="clear" w:color="auto" w:fill="auto"/>
        </w:rPr>
        <w:t xml:space="preserve">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  <w:shd w:val="clear" w:color="auto" w:fill="auto"/>
        </w:rPr>
        <w:t xml:space="preserve">632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  <w:shd w:val="clear" w:color="auto" w:fill="auto"/>
        </w:rPr>
        <w:t xml:space="preserve">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  <w:shd w:val="clear" w:color="auto" w:fill="auto"/>
        </w:rPr>
        <w:t xml:space="preserve">ос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мотра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земельных участков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в рамках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выездных обследований </w:t>
      </w:r>
      <w:r>
        <w:rPr>
          <w:rFonts w:ascii="Liberation Sans" w:hAnsi="Liberation Sans" w:eastAsia="PT Astra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(</w:t>
      </w:r>
      <w:r>
        <w:rPr>
          <w:rFonts w:ascii="Liberation Sans" w:hAnsi="Liberation Sans" w:eastAsia="PT Astra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2022 год - 258</w:t>
      </w:r>
      <w:r>
        <w:rPr>
          <w:rFonts w:ascii="Liberation Sans" w:hAnsi="Liberation Sans" w:eastAsia="PT Astra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, 2021 год</w:t>
      </w:r>
      <w:r>
        <w:rPr>
          <w:rFonts w:ascii="Liberation Sans" w:hAnsi="Liberation Sans" w:eastAsia="PT Astra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-</w:t>
      </w:r>
      <w:r>
        <w:rPr>
          <w:rFonts w:ascii="Liberation Sans" w:hAnsi="Liberation Sans" w:eastAsia="PT Astra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32</w:t>
      </w:r>
      <w:r>
        <w:rPr>
          <w:rFonts w:ascii="Liberation Sans" w:hAnsi="Liberation Sans" w:eastAsia="PT Astra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1165"/>
        <w:ind w:firstLine="708"/>
        <w:jc w:val="both"/>
        <w:spacing w:after="0" w:afterAutospacing="0"/>
        <w:rPr>
          <w:highlight w:val="none"/>
        </w:rPr>
      </w:pP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Для осуществления эффективного контроля за использованием земельных участков, а также для обследования участков, выявления нарушений их использования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приобретены 2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квадрокоптер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а, из них 1 - в конце 2023 года.</w:t>
      </w:r>
      <w:r>
        <w:rPr>
          <w:highlight w:val="none"/>
        </w:rPr>
      </w:r>
      <w:r/>
    </w:p>
    <w:p>
      <w:pPr>
        <w:pStyle w:val="1165"/>
        <w:ind w:firstLine="708"/>
        <w:jc w:val="both"/>
        <w:spacing w:after="0" w:afterAutospacing="0"/>
        <w:rPr>
          <w:highlight w:val="none"/>
        </w:rPr>
      </w:pP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С использованием квадрокоптера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в 2023 году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проведена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фотофиксация </w:t>
      </w:r>
      <w:r>
        <w:rPr>
          <w:rFonts w:ascii="Liberation Sans" w:hAnsi="Liberation Sans" w:eastAsia="PT Astra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50</w:t>
      </w:r>
      <w:r>
        <w:rPr>
          <w:rFonts w:ascii="Liberation Sans" w:hAnsi="Liberation Sans" w:eastAsia="PT Astra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9</w:t>
      </w:r>
      <w:r>
        <w:rPr>
          <w:rFonts w:ascii="Liberation Sans" w:hAnsi="Liberation Sans" w:eastAsia="PT Astra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земельных участков</w:t>
      </w:r>
      <w:r>
        <w:rPr>
          <w:rFonts w:ascii="Liberation Sans" w:hAnsi="Liberation Sans" w:eastAsia="PT Astra Serif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отнесенных к территории муниципального образования город Новый Уренгой в соответствии </w:t>
        <w:br/>
        <w:t xml:space="preserve">с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Законом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</w:rPr>
        <w:t xml:space="preserve"> ЯНАО от 20.12.2022 № 145-ЗАО «О внесении изменений </w:t>
        <w:br/>
        <w:t xml:space="preserve">в некоторые законы Ямало-Ненецкого автономного округа в связи </w:t>
        <w:br/>
        <w:t xml:space="preserve">с изменениями границ муниципальных образований в Ямало-Ненецком автономном округе». На основании полученных дан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ных 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проведен пространственный анализ новых территорий. Результаты направлены в Департамент имущественных отношений ЯНАО.</w:t>
      </w:r>
      <w:r>
        <w:rPr>
          <w:highlight w:val="none"/>
        </w:rPr>
      </w:r>
      <w:r/>
    </w:p>
    <w:p>
      <w:pPr>
        <w:pStyle w:val="1165"/>
        <w:ind w:firstLine="708"/>
        <w:jc w:val="both"/>
        <w:spacing w:after="0" w:afterAutospacing="0"/>
        <w:rPr>
          <w:highlight w:val="none"/>
        </w:rPr>
      </w:pPr>
      <w:r>
        <w:rPr>
          <w:rFonts w:ascii="Liberation Sans" w:hAnsi="Liberation Sans" w:eastAsia="PT Astra Serif" w:cs="Liberation Sans"/>
          <w:sz w:val="28"/>
          <w:szCs w:val="28"/>
          <w:highlight w:val="none"/>
        </w:rPr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В связи с увеличением площади муниципального образования 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путем включения новых территорий из муниципального округа Пуровский рай</w:t>
      </w:r>
      <w:r>
        <w:rPr>
          <w:rFonts w:ascii="Liberation Sans" w:hAnsi="Liberation Sans" w:eastAsia="PT Astra Serif" w:cs="Liberation Sans"/>
          <w:color w:val="auto"/>
          <w:sz w:val="28"/>
          <w:szCs w:val="28"/>
          <w:highlight w:val="none"/>
        </w:rPr>
        <w:t xml:space="preserve">он</w:t>
      </w:r>
      <w:r>
        <w:rPr>
          <w:rFonts w:ascii="Liberation Sans" w:hAnsi="Liberation Sans" w:eastAsia="PT Astra Serif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PT Astra Serif" w:cs="Liberation Sans"/>
          <w:color w:val="auto"/>
          <w:sz w:val="28"/>
          <w:szCs w:val="28"/>
          <w:highlight w:val="none"/>
        </w:rPr>
        <w:t xml:space="preserve">Ям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ало-Ненецкого автономного округа</w:t>
      </w:r>
      <w:r>
        <w:rPr>
          <w:rFonts w:ascii="Liberation Sans" w:hAnsi="Liberation Sans" w:eastAsia="PT Astra Serif" w:cs="Liberation Sans"/>
          <w:bCs/>
          <w:sz w:val="28"/>
          <w:szCs w:val="28"/>
          <w:highlight w:val="none"/>
        </w:rPr>
        <w:t xml:space="preserve"> с 2023 года увеличилось количество земельных участков, подлежащих контролю </w:t>
        <w:br/>
        <w:t xml:space="preserve">в соответствии с действующим законодательством в сфере земельных отношений. 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На 31.12.2023 на территории города 14 877 земельных участков (на 31.12.</w:t>
      </w:r>
      <w:r>
        <w:rPr>
          <w:rFonts w:ascii="Liberation Sans" w:hAnsi="Liberation Sans" w:eastAsia="PT Astra Serif" w:cs="Liberation Sans"/>
          <w:sz w:val="28"/>
          <w:szCs w:val="28"/>
          <w:highlight w:val="none"/>
        </w:rPr>
        <w:t xml:space="preserve">2022 - 11 421).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highlight w:val="none"/>
        </w:rPr>
      </w:r>
      <w:r/>
    </w:p>
    <w:p>
      <w:pPr>
        <w:pStyle w:val="1165"/>
        <w:ind w:firstLine="708"/>
        <w:jc w:val="both"/>
        <w:spacing w:after="0" w:afterAutospacing="0"/>
        <w:rPr>
          <w:rFonts w:ascii="Liberation Sans" w:hAnsi="Liberation Sans" w:eastAsia="PT Astra Serif" w:cs="Liberation Sans"/>
          <w:color w:val="000000" w:themeColor="text1"/>
          <w:highlight w:val="none"/>
          <w14:ligatures w14:val="none"/>
        </w:rPr>
      </w:pPr>
      <w:r>
        <w:rPr>
          <w:rFonts w:ascii="Liberation Sans" w:hAnsi="Liberation Sans" w:eastAsia="PT Astra Serif" w:cs="Liberation Sans"/>
          <w:bCs/>
          <w:sz w:val="28"/>
          <w:szCs w:val="28"/>
          <w:highlight w:val="none"/>
        </w:rPr>
        <w:t xml:space="preserve">По результатам </w:t>
      </w:r>
      <w:r>
        <w:rPr>
          <w:rFonts w:ascii="Liberation Sans" w:hAnsi="Liberation Sans" w:eastAsia="PT Astra Serif" w:cs="Liberation Sans"/>
          <w:bCs/>
          <w:sz w:val="28"/>
          <w:szCs w:val="28"/>
          <w:highlight w:val="none"/>
        </w:rPr>
        <w:t xml:space="preserve">п</w:t>
      </w:r>
      <w:r>
        <w:rPr>
          <w:rFonts w:ascii="Liberation Sans" w:hAnsi="Liberation Sans" w:eastAsia="PT Astra Serif" w:cs="Liberation Sans"/>
          <w:bCs/>
          <w:sz w:val="28"/>
          <w:szCs w:val="28"/>
          <w:highlight w:val="none"/>
        </w:rPr>
        <w:t xml:space="preserve">р</w:t>
      </w:r>
      <w:r>
        <w:rPr>
          <w:rFonts w:ascii="Liberation Sans" w:hAnsi="Liberation Sans" w:eastAsia="PT Astra Serif" w:cs="Liberation Sans"/>
          <w:bCs/>
          <w:color w:val="auto"/>
          <w:sz w:val="28"/>
          <w:szCs w:val="28"/>
          <w:highlight w:val="none"/>
        </w:rPr>
        <w:t xml:space="preserve">остранственного анализа по снимкам </w:t>
        <w:br/>
        <w:t xml:space="preserve">с квадрокоптера выявлено </w:t>
      </w:r>
      <w:r>
        <w:rPr>
          <w:rFonts w:ascii="Liberation Sans" w:hAnsi="Liberation Sans" w:eastAsia="PT Astra Serif" w:cs="Liberation Sans"/>
          <w:bCs/>
          <w:color w:val="auto"/>
          <w:sz w:val="28"/>
          <w:szCs w:val="28"/>
          <w:highlight w:val="none"/>
        </w:rPr>
        <w:t xml:space="preserve">16</w:t>
      </w:r>
      <w:r>
        <w:rPr>
          <w:rFonts w:ascii="Liberation Sans" w:hAnsi="Liberation Sans" w:eastAsia="PT Astra Serif" w:cs="Liberation Sans"/>
          <w:bCs/>
          <w:color w:val="auto"/>
          <w:sz w:val="28"/>
          <w:szCs w:val="28"/>
          <w:highlight w:val="none"/>
        </w:rPr>
        <w:t xml:space="preserve"> сва</w:t>
      </w:r>
      <w:r>
        <w:rPr>
          <w:rFonts w:ascii="Liberation Sans" w:hAnsi="Liberation Sans" w:eastAsia="PT Astra Serif" w:cs="Liberation Sans"/>
          <w:bCs/>
          <w:sz w:val="28"/>
          <w:szCs w:val="28"/>
          <w:highlight w:val="none"/>
        </w:rPr>
        <w:t xml:space="preserve">лок</w:t>
      </w:r>
      <w:r>
        <w:rPr>
          <w:rFonts w:ascii="Liberation Sans" w:hAnsi="Liberation Sans" w:eastAsia="PT Astra Serif" w:cs="Liberation Sans"/>
          <w:bCs/>
          <w:sz w:val="28"/>
          <w:szCs w:val="28"/>
          <w:highlight w:val="none"/>
        </w:rPr>
        <w:t xml:space="preserve"> на землях общего пользования, которые ликвидированы</w:t>
      </w:r>
      <w:r>
        <w:rPr>
          <w:rFonts w:ascii="Liberation Sans" w:hAnsi="Liberation Sans" w:eastAsia="PT Astra Serif" w:cs="Liberation Sans"/>
          <w:bCs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PT Astra Serif" w:cs="Liberation Sans"/>
          <w:bCs/>
          <w:sz w:val="28"/>
          <w:szCs w:val="28"/>
          <w:highlight w:val="none"/>
        </w:rPr>
        <w:t xml:space="preserve"> и 3</w:t>
      </w:r>
      <w:r>
        <w:rPr>
          <w:rFonts w:ascii="Liberation Sans" w:hAnsi="Liberation Sans" w:eastAsia="PT Astra Serif" w:cs="Liberation Sans"/>
          <w:bCs/>
          <w:sz w:val="28"/>
          <w:szCs w:val="28"/>
          <w:highlight w:val="none"/>
        </w:rPr>
        <w:t xml:space="preserve">7 нарушений на 28 сформированных земельных участках новых территорий, из которых </w:t>
      </w:r>
      <w:r>
        <w:rPr>
          <w:rFonts w:ascii="Liberation Sans" w:hAnsi="Liberation Sans" w:eastAsia="PT Astra Serif" w:cs="Liberation Sans"/>
          <w:bCs/>
          <w:sz w:val="28"/>
          <w:szCs w:val="28"/>
          <w:highlight w:val="none"/>
        </w:rPr>
        <w:t xml:space="preserve">26 нарушений</w:t>
      </w:r>
      <w:r>
        <w:rPr>
          <w:rFonts w:ascii="Liberation Sans" w:hAnsi="Liberation Sans" w:eastAsia="PT Astra Serif" w:cs="Liberation Sans"/>
          <w:bCs/>
          <w:sz w:val="28"/>
          <w:szCs w:val="28"/>
          <w:highlight w:val="none"/>
        </w:rPr>
        <w:t xml:space="preserve"> устранено.</w:t>
      </w:r>
      <w:r>
        <w:rPr>
          <w:rFonts w:ascii="Liberation Sans" w:hAnsi="Liberation Sans" w:eastAsia="PT Astra Serif" w:cs="Liberation Sans"/>
          <w:color w:val="000000" w:themeColor="text1"/>
          <w:highlight w:val="none"/>
          <w14:ligatures w14:val="none"/>
        </w:rPr>
      </w:r>
      <w:r/>
    </w:p>
    <w:p>
      <w:pPr>
        <w:ind w:right="20" w:firstLine="709"/>
        <w:jc w:val="both"/>
        <w:spacing w:after="0" w:line="240" w:lineRule="auto"/>
        <w:shd w:val="clear" w:color="auto" w:fill="auto"/>
        <w:rPr>
          <w:rFonts w:ascii="Liberation Sans" w:hAnsi="Liberation Sans" w:cs="Liberation Sans"/>
          <w:color w:val="000000" w:themeColor="text1"/>
          <w:sz w:val="28"/>
          <w:szCs w:val="28"/>
          <w:highlight w:val="yellow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yellow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tabs>
          <w:tab w:val="left" w:pos="283" w:leader="none"/>
          <w:tab w:val="left" w:pos="425" w:leader="none"/>
          <w:tab w:val="left" w:pos="709" w:leader="none"/>
        </w:tabs>
        <w:rPr>
          <w:rFonts w:ascii="Liberation Sans" w:hAnsi="Liberation Sans" w:cs="Liberation Sans"/>
          <w:sz w:val="28"/>
          <w:szCs w:val="28"/>
        </w:rPr>
      </w:pPr>
      <w:r/>
      <w:bookmarkStart w:id="72" w:name="_Toc72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/>
      <w:bookmarkStart w:id="0" w:name="undefined"/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П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рофилактик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а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терроризма,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</w:t>
        <w:br/>
        <w:t xml:space="preserve">экстремизма</w:t>
      </w:r>
      <w:bookmarkEnd w:id="0"/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,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наркомании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,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алкоголизма</w:t>
      </w:r>
      <w:bookmarkEnd w:id="72"/>
      <w:r>
        <w:rPr>
          <w:rFonts w:ascii="Liberation Sans" w:hAnsi="Liberation Sans" w:cs="Liberation Sans"/>
          <w:sz w:val="28"/>
          <w:szCs w:val="28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В 202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3 году обстановка на территории муниципального образования 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в сфере противодействия терроризму оставалась стабильной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, тер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рористических актов не допущено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Массовых беспорядков и групповых нарушений общественного порядка, ф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актов захвата заложников не зарегистрировано. </w:t>
      </w:r>
      <w:r>
        <w:rPr>
          <w:highlight w:val="none"/>
        </w:rPr>
      </w:r>
      <w:r/>
    </w:p>
    <w:p>
      <w:pPr>
        <w:pStyle w:val="1121"/>
        <w:ind w:firstLine="709"/>
        <w:jc w:val="both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 территории муниципального образования к объектам потенциально террористических посягательств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отнесено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260 объектов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(2022 год - 267, 2021 год - 250).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tabs>
          <w:tab w:val="left" w:pos="702" w:leader="none"/>
        </w:tabs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2023 году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межведомственной комиссией по обследованию мест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массового пребывания людей, расположенных на территори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муниципального обра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зования,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проведено 7 обследований потенциально опасных объектов. По результатам выявлено </w:t>
        <w:br/>
        <w:t xml:space="preserve">14 нарушений, часть из которых операти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вно устранена.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Основная ч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асть выявленных в рамках проведенных мероприятий нарушений требований федерального законодательства каса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е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тся недостатков </w:t>
        <w:br/>
        <w:t xml:space="preserve">в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части оборудования инженерно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техническими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средствами.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shd w:val="clear" w:color="auto" w:fill="auto"/>
        <w:tabs>
          <w:tab w:val="left" w:pos="702" w:leader="none"/>
        </w:tabs>
        <w:rPr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На постоянной основе осуществлялся мониторинг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средств массо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вой информации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и сети Интернет на предмет выявления распространения информации, направленно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й на разжигание социальной, расовой, национальной и р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елигиозной розни, идеологии экстремизма и терроризма, распространение зап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рещенной </w:t>
        <w:br/>
        <w:t xml:space="preserve">на территории Российской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Федерации информации. Выявлено </w:t>
        <w:br/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13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материалов по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соответствующей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тем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атике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(2022 год - 23, </w:t>
        <w:br/>
        <w:t xml:space="preserve">2021 год - 7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).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Ма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териалы направлены в ОМВД России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по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г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 Новому Уренгою, прокуратуру города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Новый Уренгой,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отделение № 2 Центра </w:t>
        <w:br/>
        <w:t xml:space="preserve">по противодействию экстремизму УМВД России по ЯНАО.</w:t>
      </w:r>
      <w:r>
        <w:rPr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Для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повышения эффективности деятельности по противодействию экстремизма, гармонизации межэтнических </w:t>
        <w:br/>
        <w:t xml:space="preserve">и межкультурных отношений, профилактике проявлений ксенофобии, укрепле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нию толерантности на территории муниципального образо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вания создано 2 видеоролика, направленных на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профилактику терроризма и экстремизма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Данные ролики транслировались в эфире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и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нформационного агентства «Импульс Севера»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 использовались </w:t>
        <w:br/>
        <w:t xml:space="preserve">при проведении профилактических бесед с учащимися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образовательных организаций муниципального образования.</w:t>
      </w:r>
      <w:r>
        <w:rPr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shd w:val="clear" w:color="auto" w:fill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 учащимися 2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11 классов образовательных организаций проводились тематические встречи по теме: «Профилактика экстремизма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молодежной среде». Охват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7 250 человек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  <w:br/>
        <w:t xml:space="preserve">(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2022 год - 7 795, 2021 год - 5 282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).</w:t>
      </w:r>
      <w:r>
        <w:rPr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Антинаркотической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комисси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в сфере профилактики наркомании и алкоголизма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муниципальном образовании 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роведено 4 заседания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рассмотрено 1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8 вопросов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принято 74 решения.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Также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обеспечено уча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стие заинтересованных структур в 4 заседаниях антинаркотической комиссии в Ямало-Ненецком автономном округе в режиме видео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конференц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связи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осуществлен контроль исполнения решений антинаркотической комиссии в Ямало-Ненецком автономном округе.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shd w:val="clear" w:color="auto" w:fill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рамках координации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анти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наркотической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профилактической деятельности проведено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118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встреч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с педагогами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родителями учащи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х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ся образовательных организаций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2022 год - 178, 2021 год - 123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), организовано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335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мероприятий (круглые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столы, беседы) (2022 год - 409, 2021 год - 267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).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составе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л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екторской группы межведомственного взаимодействия принято участие в 211 мероприятиях (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2022 год - 288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2021 год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-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195)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shd w:val="clear" w:color="auto" w:fill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 целью выявления надписей, штампов, содержащих информацию по реализации наркотических средств, осуществлен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 </w:t>
        <w:br/>
        <w:t xml:space="preserve">12 рейдов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выявлена 71 на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дпись (2022 год - 27). Информация </w:t>
        <w:br/>
        <w:t xml:space="preserve">о выявленных надписях передана в управляющие компании </w:t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для удаления.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eastAsia="Calibri" w:cs="Liberation Sans"/>
          <w:sz w:val="28"/>
          <w:szCs w:val="28"/>
          <w:highlight w:val="none"/>
        </w:rPr>
      </w:pPr>
      <w:r>
        <w:rPr>
          <w:rFonts w:ascii="Liberation Sans" w:hAnsi="Liberation Sans" w:eastAsia="Calibri" w:cs="Liberation Sans"/>
          <w:sz w:val="28"/>
          <w:szCs w:val="28"/>
          <w:highlight w:val="none"/>
        </w:rPr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</w:r>
      <w:r/>
    </w:p>
    <w:p>
      <w:pPr>
        <w:pStyle w:val="946"/>
        <w:numPr>
          <w:ilvl w:val="1"/>
          <w:numId w:val="2"/>
        </w:numPr>
        <w:ind w:left="0" w:firstLine="0"/>
        <w:jc w:val="center"/>
        <w:spacing w:before="0" w:beforeAutospacing="0" w:after="0" w:afterAutospacing="0" w:line="240" w:lineRule="auto"/>
        <w:tabs>
          <w:tab w:val="left" w:pos="426" w:leader="none"/>
          <w:tab w:val="left" w:pos="851" w:leader="none"/>
        </w:tabs>
        <w:rPr>
          <w:rFonts w:ascii="Liberation Sans" w:hAnsi="Liberation Sans" w:cs="Liberation Sans"/>
          <w:sz w:val="28"/>
          <w:szCs w:val="28"/>
        </w:rPr>
      </w:pPr>
      <w:r/>
      <w:bookmarkStart w:id="73" w:name="_Toc73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 Формирование и содержание муниципального архива</w:t>
      </w:r>
      <w:bookmarkEnd w:id="0"/>
      <w:r/>
      <w:bookmarkEnd w:id="73"/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46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bCs/>
          <w:i w:val="0"/>
          <w:iCs w:val="0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contextualSpacing w:val="0"/>
        <w:ind w:firstLine="708"/>
        <w:jc w:val="both"/>
        <w:spacing w:after="0" w:line="240" w:lineRule="auto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 2023 году продолжилась работа по комплектованию, обеспечению </w:t>
      </w: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сохранности, учету и качественному использованию документов.</w:t>
      </w:r>
      <w:r>
        <w:rPr>
          <w:spacing w:val="0"/>
          <w:highlight w:val="none"/>
        </w:rPr>
      </w:r>
      <w:r/>
    </w:p>
    <w:p>
      <w:pPr>
        <w:contextualSpacing w:val="0"/>
        <w:ind w:firstLine="708"/>
        <w:jc w:val="both"/>
        <w:spacing w:after="0" w:line="240" w:lineRule="auto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По состоянию на 31.12.2023 в муниципальном архиве на хранении наход</w:t>
      </w: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ил</w:t>
      </w: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ось</w:t>
      </w: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:</w:t>
      </w:r>
      <w:r>
        <w:rPr>
          <w:spacing w:val="0"/>
          <w:highlight w:val="none"/>
        </w:rPr>
      </w:r>
      <w:r/>
    </w:p>
    <w:p>
      <w:pPr>
        <w:contextualSpacing w:val="0"/>
        <w:ind w:firstLine="708"/>
        <w:jc w:val="both"/>
        <w:spacing w:after="0" w:line="240" w:lineRule="auto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- на бумажных</w:t>
      </w: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 носителях </w:t>
      </w: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 11</w:t>
      </w: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8 фондов,</w:t>
      </w: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 53 463 </w:t>
      </w: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дела, из них</w:t>
      </w: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:</w:t>
      </w:r>
      <w:r>
        <w:rPr>
          <w:spacing w:val="0"/>
          <w:highlight w:val="none"/>
        </w:rPr>
      </w:r>
      <w:r/>
    </w:p>
    <w:p>
      <w:pPr>
        <w:contextualSpacing w:val="0"/>
        <w:ind w:left="0" w:right="0" w:firstLine="1417"/>
        <w:jc w:val="both"/>
        <w:spacing w:after="0" w:line="240" w:lineRule="auto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- 39 фондов </w:t>
      </w: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25 653 дела по личному составу</w:t>
      </w:r>
      <w:r>
        <w:rPr>
          <w:rFonts w:ascii="Liberation Sans" w:hAnsi="Liberation Sans" w:cs="Liberation Sans"/>
          <w:strike w:val="0"/>
          <w:color w:val="000000" w:themeColor="text1"/>
          <w:spacing w:val="0"/>
          <w:sz w:val="28"/>
          <w:szCs w:val="28"/>
          <w:highlight w:val="none"/>
        </w:rPr>
        <w:t xml:space="preserve">;</w:t>
      </w:r>
      <w:r>
        <w:rPr>
          <w:spacing w:val="0"/>
          <w:highlight w:val="none"/>
        </w:rPr>
      </w:r>
      <w:r/>
    </w:p>
    <w:p>
      <w:pPr>
        <w:contextualSpacing w:val="0"/>
        <w:ind w:left="0" w:right="0" w:firstLine="1417"/>
        <w:jc w:val="both"/>
        <w:spacing w:after="0" w:line="240" w:lineRule="auto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- 72 фонда </w:t>
      </w: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 27 043 дел</w:t>
      </w: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 управленческой документац</w:t>
      </w: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ии</w:t>
      </w: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 </w:t>
      </w:r>
      <w:r>
        <w:rPr>
          <w:spacing w:val="0"/>
          <w:highlight w:val="none"/>
        </w:rPr>
      </w:r>
      <w:r/>
    </w:p>
    <w:p>
      <w:pPr>
        <w:contextualSpacing w:val="0"/>
        <w:ind w:left="0" w:right="0" w:firstLine="1417"/>
        <w:jc w:val="both"/>
        <w:spacing w:after="0" w:line="240" w:lineRule="auto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- 7 фондов - 362 дела личного происхождения;</w:t>
      </w:r>
      <w:r>
        <w:rPr>
          <w:spacing w:val="0"/>
          <w:highlight w:val="none"/>
        </w:rPr>
      </w:r>
      <w:r/>
    </w:p>
    <w:p>
      <w:pPr>
        <w:contextualSpacing w:val="0"/>
        <w:ind w:left="0" w:right="0" w:firstLine="1417"/>
        <w:jc w:val="both"/>
        <w:spacing w:after="0" w:line="240" w:lineRule="auto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- 405 дел </w:t>
      </w: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научно-технических документаций;</w:t>
      </w:r>
      <w:r>
        <w:rPr>
          <w:spacing w:val="0"/>
          <w:highlight w:val="none"/>
        </w:rPr>
      </w:r>
      <w:r/>
    </w:p>
    <w:p>
      <w:pPr>
        <w:contextualSpacing w:val="0"/>
        <w:ind w:firstLine="708"/>
        <w:jc w:val="both"/>
        <w:spacing w:after="0" w:line="240" w:lineRule="auto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- аудиовизуальные документы на традиционных носителях - </w:t>
        <w:br/>
        <w:t xml:space="preserve">2 фонда, </w:t>
      </w: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1057 документов, из них:</w:t>
      </w:r>
      <w:r>
        <w:rPr>
          <w:spacing w:val="0"/>
          <w:highlight w:val="none"/>
        </w:rPr>
      </w:r>
      <w:r/>
    </w:p>
    <w:p>
      <w:pPr>
        <w:contextualSpacing w:val="0"/>
        <w:ind w:left="0" w:right="0" w:firstLine="1417"/>
        <w:jc w:val="both"/>
        <w:spacing w:after="0" w:line="240" w:lineRule="auto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- 1 фонд - 1 055 дел фотодокументов;</w:t>
      </w:r>
      <w:r>
        <w:rPr>
          <w:spacing w:val="0"/>
          <w:highlight w:val="none"/>
        </w:rPr>
      </w:r>
      <w:r/>
    </w:p>
    <w:p>
      <w:pPr>
        <w:contextualSpacing w:val="0"/>
        <w:ind w:left="0" w:right="0" w:firstLine="1417"/>
        <w:jc w:val="both"/>
        <w:spacing w:after="0" w:line="240" w:lineRule="auto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pacing w:val="0"/>
          <w:sz w:val="28"/>
          <w:szCs w:val="28"/>
          <w:highlight w:val="none"/>
        </w:rPr>
        <w:t xml:space="preserve">- 1 фонд - 2 дела видеодокументов. </w:t>
      </w:r>
      <w:r>
        <w:rPr>
          <w:spacing w:val="0"/>
          <w:highlight w:val="none"/>
        </w:rPr>
      </w:r>
      <w:r/>
    </w:p>
    <w:p>
      <w:pPr>
        <w:contextualSpacing w:val="0"/>
        <w:ind w:firstLine="708"/>
        <w:jc w:val="both"/>
        <w:spacing w:after="0" w:line="240" w:lineRule="auto"/>
        <w:rPr>
          <w:spacing w:val="0"/>
          <w:highlight w:val="none"/>
        </w:rPr>
        <w:suppressLineNumbers w:val="0"/>
      </w:pPr>
      <w:r>
        <w:rPr>
          <w:rFonts w:ascii="Liberation Sans" w:hAnsi="Liberation Sans" w:eastAsia="Calibri" w:cs="Liberation Sans"/>
          <w:spacing w:val="0"/>
          <w:sz w:val="28"/>
          <w:szCs w:val="28"/>
          <w:highlight w:val="none"/>
        </w:rPr>
        <w:t xml:space="preserve">В 2023 году на </w:t>
      </w:r>
      <w:r>
        <w:rPr>
          <w:rFonts w:ascii="Liberation Sans" w:hAnsi="Liberation Sans" w:eastAsia="Calibri" w:cs="Liberation Sans"/>
          <w:spacing w:val="0"/>
          <w:sz w:val="28"/>
          <w:szCs w:val="28"/>
          <w:highlight w:val="none"/>
        </w:rPr>
        <w:t xml:space="preserve">хранение принято 1 431 ед</w:t>
      </w:r>
      <w:r>
        <w:rPr>
          <w:rFonts w:ascii="Liberation Sans" w:hAnsi="Liberation Sans" w:eastAsia="Calibri" w:cs="Liberation Sans"/>
          <w:spacing w:val="0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Calibri" w:cs="Liberation Sans"/>
          <w:spacing w:val="0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Calibri" w:cs="Liberation Sans"/>
          <w:spacing w:val="0"/>
          <w:sz w:val="28"/>
          <w:szCs w:val="28"/>
          <w:highlight w:val="none"/>
        </w:rPr>
        <w:t xml:space="preserve">(</w:t>
      </w:r>
      <w:r>
        <w:rPr>
          <w:rFonts w:ascii="Liberation Sans" w:hAnsi="Liberation Sans" w:eastAsia="Calibri" w:cs="Liberation Sans"/>
          <w:spacing w:val="0"/>
          <w:sz w:val="28"/>
          <w:szCs w:val="28"/>
          <w:highlight w:val="none"/>
        </w:rPr>
        <w:t xml:space="preserve">2022 год - 1 775 ед</w:t>
      </w:r>
      <w:r>
        <w:rPr>
          <w:rFonts w:ascii="Liberation Sans" w:hAnsi="Liberation Sans" w:eastAsia="Calibri" w:cs="Liberation Sans"/>
          <w:spacing w:val="0"/>
          <w:sz w:val="28"/>
          <w:szCs w:val="28"/>
          <w:highlight w:val="none"/>
        </w:rPr>
        <w:t xml:space="preserve">., 2021 год - 1 481 ед.</w:t>
      </w:r>
      <w:r>
        <w:rPr>
          <w:rFonts w:ascii="Liberation Sans" w:hAnsi="Liberation Sans" w:eastAsia="Calibri" w:cs="Liberation Sans"/>
          <w:spacing w:val="0"/>
          <w:sz w:val="28"/>
          <w:szCs w:val="28"/>
          <w:highlight w:val="none"/>
        </w:rPr>
        <w:t xml:space="preserve">) архивных документов, из них:</w:t>
      </w:r>
      <w:r>
        <w:rPr>
          <w:spacing w:val="0"/>
          <w:highlight w:val="none"/>
        </w:rPr>
      </w:r>
      <w:r/>
    </w:p>
    <w:p>
      <w:pPr>
        <w:contextualSpacing w:val="0"/>
        <w:ind w:firstLine="708"/>
        <w:jc w:val="both"/>
        <w:spacing w:after="0" w:line="240" w:lineRule="auto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- </w:t>
      </w:r>
      <w:r>
        <w:rPr>
          <w:rFonts w:ascii="Liberation Sans" w:hAnsi="Liberation Sans" w:eastAsia="Calibri" w:cs="Liberation Sans"/>
          <w:spacing w:val="0"/>
          <w:sz w:val="28"/>
          <w:szCs w:val="28"/>
          <w:highlight w:val="none"/>
        </w:rPr>
        <w:t xml:space="preserve">843 ед. хранения управленческой документации;</w:t>
      </w:r>
      <w:r>
        <w:rPr>
          <w:spacing w:val="0"/>
          <w:highlight w:val="none"/>
        </w:rPr>
      </w:r>
      <w:r/>
    </w:p>
    <w:p>
      <w:pPr>
        <w:contextualSpacing w:val="0"/>
        <w:ind w:firstLine="708"/>
        <w:jc w:val="both"/>
        <w:spacing w:after="0" w:line="240" w:lineRule="auto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- </w:t>
      </w:r>
      <w:r>
        <w:rPr>
          <w:rFonts w:ascii="Liberation Sans" w:hAnsi="Liberation Sans" w:eastAsia="Calibri" w:cs="Liberation Sans"/>
          <w:spacing w:val="0"/>
          <w:sz w:val="28"/>
          <w:szCs w:val="28"/>
          <w:highlight w:val="none"/>
        </w:rPr>
        <w:t xml:space="preserve">528 ед. хранения по личному составу ликвидированных организаций;</w:t>
      </w:r>
      <w:r>
        <w:rPr>
          <w:spacing w:val="0"/>
          <w:highlight w:val="none"/>
        </w:rPr>
      </w:r>
      <w:r/>
    </w:p>
    <w:p>
      <w:pPr>
        <w:contextualSpacing w:val="0"/>
        <w:ind w:firstLine="708"/>
        <w:jc w:val="both"/>
        <w:spacing w:after="0" w:line="240" w:lineRule="auto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- </w:t>
      </w:r>
      <w:r>
        <w:rPr>
          <w:rFonts w:ascii="Liberation Sans" w:hAnsi="Liberation Sans" w:eastAsia="Calibri" w:cs="Liberation Sans"/>
          <w:spacing w:val="0"/>
          <w:sz w:val="28"/>
          <w:szCs w:val="28"/>
          <w:highlight w:val="none"/>
        </w:rPr>
        <w:t xml:space="preserve">10 ед. хранения научно-технической документации;</w:t>
      </w:r>
      <w:r>
        <w:rPr>
          <w:spacing w:val="0"/>
          <w:highlight w:val="none"/>
        </w:rPr>
      </w:r>
      <w:r/>
    </w:p>
    <w:p>
      <w:pPr>
        <w:contextualSpacing w:val="0"/>
        <w:ind w:firstLine="708"/>
        <w:jc w:val="both"/>
        <w:spacing w:after="0" w:line="240" w:lineRule="auto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- </w:t>
      </w:r>
      <w:r>
        <w:rPr>
          <w:rFonts w:ascii="Liberation Sans" w:hAnsi="Liberation Sans" w:eastAsia="Calibri" w:cs="Liberation Sans"/>
          <w:spacing w:val="0"/>
          <w:sz w:val="28"/>
          <w:szCs w:val="28"/>
          <w:highlight w:val="none"/>
        </w:rPr>
        <w:t xml:space="preserve">30 ед. хранения фотодокументов;</w:t>
      </w:r>
      <w:r>
        <w:rPr>
          <w:spacing w:val="0"/>
          <w:highlight w:val="none"/>
        </w:rPr>
      </w:r>
      <w:r/>
    </w:p>
    <w:p>
      <w:pPr>
        <w:contextualSpacing w:val="0"/>
        <w:ind w:firstLine="708"/>
        <w:jc w:val="both"/>
        <w:spacing w:after="0" w:line="240" w:lineRule="auto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- </w:t>
      </w:r>
      <w:r>
        <w:rPr>
          <w:rFonts w:ascii="Liberation Sans" w:hAnsi="Liberation Sans" w:eastAsia="Calibri" w:cs="Liberation Sans"/>
          <w:spacing w:val="0"/>
          <w:sz w:val="28"/>
          <w:szCs w:val="28"/>
          <w:highlight w:val="none"/>
        </w:rPr>
        <w:t xml:space="preserve">20 ед. хранения документов личного происхождения.</w:t>
      </w:r>
      <w:r>
        <w:rPr>
          <w:spacing w:val="0"/>
          <w:highlight w:val="none"/>
        </w:rPr>
      </w:r>
      <w:r/>
    </w:p>
    <w:p>
      <w:pPr>
        <w:contextualSpacing w:val="0"/>
        <w:ind w:firstLine="708"/>
        <w:jc w:val="both"/>
        <w:spacing w:after="0" w:line="240" w:lineRule="auto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Принятые документы поставлены на муниципальный учет, информация внесена в 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базу данных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 «Архивный фонд».</w:t>
      </w:r>
      <w:r>
        <w:rPr>
          <w:spacing w:val="0"/>
          <w:highlight w:val="none"/>
        </w:rPr>
      </w:r>
      <w:r/>
    </w:p>
    <w:p>
      <w:pPr>
        <w:contextualSpacing w:val="0"/>
        <w:ind w:firstLine="708"/>
        <w:jc w:val="both"/>
        <w:spacing w:after="0" w:line="240" w:lineRule="auto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В 2023 году отделом по делам архивов (муниципальный архив) Администрации города совместно с источниками комплектования рассмотрено и подготовлено к утверждению и согласованию экспертно-проверочной комиссией службы по делам архивов 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Ямало-Ненецкого 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автономного округа:</w:t>
      </w:r>
      <w:r>
        <w:rPr>
          <w:spacing w:val="0"/>
          <w:highlight w:val="none"/>
        </w:rPr>
      </w:r>
      <w:r/>
    </w:p>
    <w:p>
      <w:pPr>
        <w:contextualSpacing w:val="0"/>
        <w:ind w:firstLine="708"/>
        <w:jc w:val="both"/>
        <w:spacing w:after="0" w:line="240" w:lineRule="auto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- 3 номенклатуры дел;</w:t>
      </w:r>
      <w:r>
        <w:rPr>
          <w:spacing w:val="0"/>
          <w:highlight w:val="none"/>
        </w:rPr>
      </w:r>
      <w:r/>
    </w:p>
    <w:p>
      <w:pPr>
        <w:contextualSpacing w:val="0"/>
        <w:ind w:firstLine="708"/>
        <w:jc w:val="both"/>
        <w:spacing w:after="0" w:line="240" w:lineRule="auto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- 5 положений об 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экспертной комиссии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;</w:t>
      </w:r>
      <w:r>
        <w:rPr>
          <w:spacing w:val="0"/>
          <w:highlight w:val="none"/>
        </w:rPr>
      </w:r>
      <w:r/>
    </w:p>
    <w:p>
      <w:pPr>
        <w:contextualSpacing w:val="0"/>
        <w:ind w:firstLine="708"/>
        <w:jc w:val="both"/>
        <w:spacing w:after="0" w:line="240" w:lineRule="auto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- 4 положения об архиве организации;</w:t>
      </w:r>
      <w:r>
        <w:rPr>
          <w:spacing w:val="0"/>
          <w:highlight w:val="none"/>
        </w:rPr>
      </w:r>
      <w:r/>
    </w:p>
    <w:p>
      <w:pPr>
        <w:contextualSpacing w:val="0"/>
        <w:ind w:firstLine="708"/>
        <w:jc w:val="both"/>
        <w:spacing w:after="0" w:line="240" w:lineRule="auto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- описи дел постоянного 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хранения (управленческих документов) 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br/>
        <w:t xml:space="preserve">от 25 организаций на 715 ед. </w:t>
      </w:r>
      <w:r>
        <w:rPr>
          <w:rFonts w:ascii="Liberation Sans" w:hAnsi="Liberation Sans" w:eastAsia="Calibri" w:cs="Liberation Sans"/>
          <w:spacing w:val="0"/>
          <w:sz w:val="28"/>
          <w:szCs w:val="28"/>
          <w:highlight w:val="none"/>
        </w:rPr>
        <w:t xml:space="preserve">хранения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;</w:t>
      </w:r>
      <w:r>
        <w:rPr>
          <w:spacing w:val="0"/>
          <w:highlight w:val="none"/>
        </w:rPr>
      </w:r>
      <w:r/>
    </w:p>
    <w:p>
      <w:pPr>
        <w:contextualSpacing w:val="0"/>
        <w:ind w:firstLine="708"/>
        <w:jc w:val="both"/>
        <w:spacing w:after="0" w:line="240" w:lineRule="auto"/>
        <w:rPr>
          <w:spacing w:val="0"/>
          <w:highlight w:val="none"/>
        </w:rPr>
        <w:suppressLineNumbers w:val="0"/>
      </w:pP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- описи дел пост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оянного хранения 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научно-технической документации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от 3 организаций на 18 ед. </w:t>
      </w:r>
      <w:r>
        <w:rPr>
          <w:rFonts w:ascii="Liberation Sans" w:hAnsi="Liberation Sans" w:eastAsia="Calibri" w:cs="Liberation Sans"/>
          <w:spacing w:val="0"/>
          <w:sz w:val="28"/>
          <w:szCs w:val="28"/>
          <w:highlight w:val="none"/>
        </w:rPr>
        <w:t xml:space="preserve">хранения</w:t>
      </w:r>
      <w:r>
        <w:rPr>
          <w:rFonts w:ascii="Liberation Sans" w:hAnsi="Liberation Sans" w:cs="Liberation Sans"/>
          <w:spacing w:val="0"/>
          <w:sz w:val="28"/>
          <w:szCs w:val="28"/>
          <w:highlight w:val="none"/>
        </w:rPr>
        <w:t xml:space="preserve">;</w:t>
      </w:r>
      <w:r>
        <w:rPr>
          <w:spacing w:val="0"/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описи дел по личному состав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 от 22 организаций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на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1 668 ед. 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хранения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описи дел по личному составу от 5 ликвидированных организаций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528 ед. 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хранения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 описи фотодокументов на 30 ед. 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хранения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описи видеодокументов на 9 ед. 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хранения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описи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документов личного происхождения от 2 граждан на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20 ед. 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хранения.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Выполнены</w:t>
      </w:r>
      <w:r>
        <w:rPr>
          <w:rFonts w:ascii="Liberation Sans" w:hAnsi="Liberation Sans" w:eastAsia="Calibri" w:cs="Liberation Sans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eastAsia="Calibri" w:cs="Liberation Sans"/>
          <w:sz w:val="28"/>
          <w:szCs w:val="28"/>
          <w:highlight w:val="none"/>
          <w:lang w:eastAsia="en-US"/>
        </w:rPr>
        <w:t xml:space="preserve">работы: 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eastAsia="Calibri" w:cs="Liberation Sans"/>
          <w:sz w:val="28"/>
          <w:szCs w:val="28"/>
          <w:highlight w:val="none"/>
          <w:lang w:eastAsia="en-US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по </w:t>
      </w:r>
      <w:r>
        <w:rPr>
          <w:rFonts w:ascii="Liberation Sans" w:hAnsi="Liberation Sans" w:eastAsia="Calibri" w:cs="Liberation Sans"/>
          <w:sz w:val="28"/>
          <w:szCs w:val="28"/>
          <w:highlight w:val="none"/>
          <w:lang w:eastAsia="en-US"/>
        </w:rPr>
        <w:t xml:space="preserve">под</w:t>
      </w:r>
      <w:r>
        <w:rPr>
          <w:rFonts w:ascii="Liberation Sans" w:hAnsi="Liberation Sans" w:eastAsia="Calibri" w:cs="Liberation Sans"/>
          <w:sz w:val="28"/>
          <w:szCs w:val="28"/>
          <w:highlight w:val="none"/>
          <w:lang w:eastAsia="en-US"/>
        </w:rPr>
        <w:t xml:space="preserve">шивке </w:t>
      </w:r>
      <w:r>
        <w:rPr>
          <w:rFonts w:ascii="Liberation Sans" w:hAnsi="Liberation Sans" w:eastAsia="Calibri" w:cs="Liberation Sans"/>
          <w:sz w:val="28"/>
          <w:szCs w:val="28"/>
          <w:highlight w:val="none"/>
          <w:lang w:eastAsia="en-US"/>
        </w:rPr>
        <w:t xml:space="preserve">с одновременным ремонтом и реставрацией документов постоянного срока хранения</w:t>
      </w:r>
      <w:r>
        <w:rPr>
          <w:rFonts w:ascii="Liberation Sans" w:hAnsi="Liberation Sans" w:eastAsia="Calibri" w:cs="Liberation Sans"/>
          <w:sz w:val="28"/>
          <w:szCs w:val="28"/>
          <w:highlight w:val="none"/>
          <w:lang w:eastAsia="en-US"/>
        </w:rPr>
        <w:t xml:space="preserve"> - </w:t>
      </w:r>
      <w:r>
        <w:rPr>
          <w:rFonts w:ascii="Liberation Sans" w:hAnsi="Liberation Sans" w:eastAsia="Calibri" w:cs="Liberation Sans"/>
          <w:sz w:val="28"/>
          <w:szCs w:val="28"/>
          <w:highlight w:val="none"/>
          <w:lang w:eastAsia="en-US"/>
        </w:rPr>
        <w:t xml:space="preserve">595 дел (2022 год - 397 дел; 2021 год - 416 дел)</w:t>
      </w:r>
      <w:r>
        <w:rPr>
          <w:rFonts w:ascii="Liberation Sans" w:hAnsi="Liberation Sans" w:eastAsia="Calibri" w:cs="Liberation Sans"/>
          <w:sz w:val="28"/>
          <w:szCs w:val="28"/>
          <w:highlight w:val="none"/>
          <w:lang w:eastAsia="en-US"/>
        </w:rPr>
        <w:t xml:space="preserve">;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картонированию документов - 4 466 дел (2022 год - 1 861 дело; </w:t>
        <w:br/>
        <w:t xml:space="preserve">2021 год - 1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481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дело).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pacing w:val="-5"/>
          <w:sz w:val="28"/>
          <w:szCs w:val="28"/>
          <w:highlight w:val="none"/>
        </w:rPr>
        <w:t xml:space="preserve">Продолжена работа по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сканированию (оцифровке) архивных документов и загрузке в государственную информационную систему «Электронный архив Ямало-Ненецкого автономного округа» (далее –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ГИС «Электронный архив ЯНАО») с учетом поддержания 100% показателя оцифровки, индексирования и загрузки в систему описей де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л.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ГИС «Электронный архив ЯНАО»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загружена информация </w:t>
        <w:br/>
        <w:t xml:space="preserve">из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6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фондов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:</w:t>
      </w:r>
      <w:r>
        <w:rPr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rPr>
          <w:highlight w:val="none"/>
        </w:rPr>
      </w:pP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- оцифровано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378 е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д.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хранения,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62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 083 листа </w:t>
      </w:r>
      <w:r>
        <w:rPr>
          <w:rFonts w:ascii="Liberation Sans" w:hAnsi="Liberation Sans" w:cs="Liberation Sans"/>
          <w:spacing w:val="-5"/>
          <w:sz w:val="28"/>
          <w:szCs w:val="28"/>
          <w:highlight w:val="none"/>
        </w:rPr>
        <w:t xml:space="preserve">(2022 год - </w:t>
        <w:br/>
        <w:t xml:space="preserve">378 ед. хранения, 74 830 листов; </w:t>
      </w:r>
      <w:r>
        <w:rPr>
          <w:rFonts w:ascii="Liberation Sans" w:hAnsi="Liberation Sans" w:cs="Liberation Sans"/>
          <w:spacing w:val="-5"/>
          <w:sz w:val="28"/>
          <w:szCs w:val="28"/>
          <w:highlight w:val="none"/>
        </w:rPr>
        <w:t xml:space="preserve">2021 год - 472 ед. хранения, </w:t>
        <w:br/>
        <w:t xml:space="preserve">42 294 листа</w:t>
      </w:r>
      <w:r>
        <w:rPr>
          <w:rFonts w:ascii="Liberation Sans" w:hAnsi="Liberation Sans" w:cs="Liberation Sans"/>
          <w:spacing w:val="-5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spacing w:val="-5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rPr>
          <w:highlight w:val="none"/>
        </w:rPr>
      </w:pPr>
      <w:r>
        <w:rPr>
          <w:rFonts w:ascii="Liberation Sans" w:hAnsi="Liberation Sans" w:eastAsia="Liberation Serif" w:cs="Liberation Sans"/>
          <w:sz w:val="28"/>
          <w:szCs w:val="28"/>
          <w:highlight w:val="none"/>
        </w:rPr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создано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2 910 электронных карточе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к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н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а принятые дела согласно описям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(2022 год - 1 658 электронных карточек;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2021 год - </w:t>
        <w:br/>
        <w:t xml:space="preserve">1 441 электронная карточка)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eastAsia="Calibri" w:cs="Liberation Sans"/>
          <w:sz w:val="28"/>
          <w:szCs w:val="28"/>
          <w:highlight w:val="none"/>
          <w:lang w:eastAsia="en-US"/>
        </w:rPr>
        <w:t xml:space="preserve">В рамках предоставления</w:t>
      </w:r>
      <w:r>
        <w:rPr>
          <w:rFonts w:ascii="Liberation Sans" w:hAnsi="Liberation Sans" w:eastAsia="Calibri" w:cs="Liberation Sans"/>
          <w:sz w:val="28"/>
          <w:szCs w:val="28"/>
          <w:highlight w:val="none"/>
          <w:lang w:eastAsia="en-US"/>
        </w:rPr>
        <w:t xml:space="preserve"> </w:t>
      </w:r>
      <w:r>
        <w:rPr>
          <w:rFonts w:ascii="Liberation Sans" w:hAnsi="Liberation Sans" w:eastAsia="Calibri" w:cs="Liberation Sans"/>
          <w:sz w:val="28"/>
          <w:szCs w:val="28"/>
          <w:highlight w:val="none"/>
          <w:lang w:eastAsia="en-US"/>
        </w:rPr>
        <w:t xml:space="preserve">муниципальной услуги «Информационное обеспечение физических и юридических ли</w:t>
      </w:r>
      <w:r>
        <w:rPr>
          <w:rFonts w:ascii="Liberation Sans" w:hAnsi="Liberation Sans" w:eastAsia="Calibri" w:cs="Liberation Sans"/>
          <w:sz w:val="28"/>
          <w:szCs w:val="28"/>
          <w:highlight w:val="none"/>
          <w:lang w:eastAsia="en-US"/>
        </w:rPr>
        <w:t xml:space="preserve">ц на основе документов Архивного фонда Российской Федерации и других архивных документов, предоставление архивных справок, архивных выпис</w:t>
      </w:r>
      <w:r>
        <w:rPr>
          <w:rFonts w:ascii="Liberation Sans" w:hAnsi="Liberation Sans" w:eastAsia="Calibri" w:cs="Liberation Sans"/>
          <w:sz w:val="28"/>
          <w:szCs w:val="28"/>
          <w:highlight w:val="none"/>
          <w:lang w:eastAsia="en-US"/>
        </w:rPr>
        <w:t xml:space="preserve">ок и копий </w:t>
      </w:r>
      <w:r>
        <w:rPr>
          <w:rFonts w:ascii="Liberation Sans" w:hAnsi="Liberation Sans" w:eastAsia="Calibri" w:cs="Liberation Sans"/>
          <w:sz w:val="28"/>
          <w:szCs w:val="28"/>
          <w:highlight w:val="none"/>
          <w:lang w:eastAsia="en-US"/>
        </w:rPr>
        <w:t xml:space="preserve">архивных документов» отделом по делам архивов (муниципальный архив) Администрации города </w:t>
      </w:r>
      <w:r>
        <w:rPr>
          <w:rFonts w:ascii="Liberation Sans" w:hAnsi="Liberation Sans" w:eastAsia="Calibri" w:cs="Liberation Sans"/>
          <w:sz w:val="28"/>
          <w:szCs w:val="28"/>
          <w:highlight w:val="none"/>
          <w:lang w:eastAsia="en-US"/>
        </w:rPr>
        <w:t xml:space="preserve">исполнено</w:t>
      </w:r>
      <w:r>
        <w:rPr>
          <w:rFonts w:ascii="Liberation Sans" w:hAnsi="Liberation Sans" w:eastAsia="Calibri" w:cs="Liberation Sans"/>
          <w:sz w:val="28"/>
          <w:szCs w:val="28"/>
          <w:highlight w:val="none"/>
          <w:lang w:eastAsia="en-US"/>
        </w:rPr>
        <w:t xml:space="preserve">: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eastAsia="Calibri" w:cs="Liberation Sans"/>
          <w:sz w:val="28"/>
          <w:szCs w:val="28"/>
          <w:highlight w:val="none"/>
          <w:lang w:eastAsia="en-US"/>
        </w:rPr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Calibri" w:cs="Liberation Sans"/>
          <w:sz w:val="28"/>
          <w:szCs w:val="28"/>
          <w:highlight w:val="none"/>
          <w:lang w:eastAsia="en-US"/>
        </w:rPr>
        <w:t xml:space="preserve">3 888</w:t>
      </w:r>
      <w:r>
        <w:rPr>
          <w:rFonts w:ascii="Liberation Sans" w:hAnsi="Liberation Sans" w:eastAsia="Calibri" w:cs="Liberation Sans"/>
          <w:sz w:val="28"/>
          <w:szCs w:val="28"/>
          <w:highlight w:val="none"/>
          <w:lang w:eastAsia="en-US"/>
        </w:rPr>
        <w:t xml:space="preserve"> запросов социально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-правового характера;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eastAsia="Calibri" w:cs="Liberation Sans"/>
          <w:sz w:val="28"/>
          <w:szCs w:val="28"/>
          <w:highlight w:val="none"/>
        </w:rPr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91 тематический запрос. 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700" w:leader="none"/>
          <w:tab w:val="left" w:pos="5655" w:leader="none"/>
        </w:tabs>
        <w:rPr>
          <w:highlight w:val="none"/>
        </w:rPr>
      </w:pPr>
      <w:r>
        <w:rPr>
          <w:rFonts w:ascii="Liberation Sans" w:hAnsi="Liberation Sans" w:eastAsia="Liberation Serif" w:cs="Liberation Sans"/>
          <w:sz w:val="28"/>
          <w:szCs w:val="28"/>
          <w:highlight w:val="none"/>
        </w:rPr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По запросам организаций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, органов Администрации города, посетителей читального зала выдано: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700" w:leader="none"/>
          <w:tab w:val="left" w:pos="5655" w:leader="none"/>
        </w:tabs>
        <w:rPr>
          <w:highlight w:val="none"/>
        </w:rPr>
      </w:pP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- 97 копий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 архивных документов на 664 листах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(2022 год - </w:t>
        <w:br/>
        <w:t xml:space="preserve">108 документов на 935 листах;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2021 год - 123 документа на 914 листах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)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700" w:leader="none"/>
          <w:tab w:val="left" w:pos="5655" w:leader="none"/>
        </w:tabs>
        <w:rPr>
          <w:highlight w:val="none"/>
        </w:rPr>
      </w:pP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- 418 ед. хранения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во временное пользование организациям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 </w:t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2022 год - 392 ед. хранения;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2021 год - 101 ед. хранения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)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700" w:leader="none"/>
          <w:tab w:val="left" w:pos="5655" w:leader="none"/>
        </w:tabs>
        <w:rPr>
          <w:highlight w:val="none"/>
        </w:rPr>
      </w:pP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8 362 дела специалистам отдела (2022 год -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13 964,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2021 год -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br/>
        <w:t xml:space="preserve">15 435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).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Проведены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следующие мероприятия: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highlight w:val="none"/>
        </w:rPr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eastAsia="Calibri" w:cs="Liberation Sans"/>
          <w:color w:val="auto"/>
          <w:sz w:val="28"/>
          <w:szCs w:val="28"/>
          <w:highlight w:val="none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выставка к 100-летию гражданской авиации (60 человек); 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eastAsia="Calibri" w:cs="Liberation Sans"/>
          <w:sz w:val="28"/>
          <w:szCs w:val="28"/>
          <w:highlight w:val="none"/>
        </w:rPr>
      </w:r>
      <w:r>
        <w:rPr>
          <w:rFonts w:ascii="Liberation Sans" w:hAnsi="Liberation Sans" w:eastAsia="Calibri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eastAsia="Calibri" w:cs="Liberation Sans"/>
          <w:color w:val="auto"/>
          <w:sz w:val="28"/>
          <w:szCs w:val="28"/>
          <w:highlight w:val="none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семинар-практикум по темам: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«Топографические указатели»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, «Социально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правовые запросы» с участием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студентов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многопрофильного колледж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16 человек);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семинар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практикум на тему: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«Прием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передача дел </w:t>
        <w:br/>
        <w:t xml:space="preserve">на муниципальное хранение от организаций»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с участием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студентов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многопрофильного колледж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и специалиста ф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илиала «Уренгойская ГРЭС» АО «Интер РАО – Электрогенерация»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, ответственного </w:t>
        <w:br/>
        <w:t xml:space="preserve">за делопроизводство и архив (17 человек);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«А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рх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ивный диктант»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0"/>
          <w:highlight w:val="none"/>
        </w:rPr>
        <w:t xml:space="preserve">с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0"/>
          <w:highlight w:val="none"/>
        </w:rPr>
        <w:t xml:space="preserve"> представителями организаций - источников комплектования муниципального архива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студентами многопрофильного колледжа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(33 человека)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тематические архивные встречи и обзорные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экскурсии </w:t>
        <w:br/>
        <w:t xml:space="preserve">по муниципальному архиву для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студентов многопрофильного колледжа </w:t>
        <w:br/>
        <w:t xml:space="preserve">и представителей организаций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источников комплектования муницип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ального архива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(33 человек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а);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экскурсия для</w:t>
      </w:r>
      <w:r>
        <w:rPr>
          <w:rFonts w:ascii="Liberation Sans" w:hAnsi="Liberation Sans" w:eastAsia="Liberation Serif" w:cs="Liberation Sans"/>
          <w:bCs/>
          <w:color w:val="000000" w:themeColor="text1"/>
          <w:sz w:val="28"/>
          <w:szCs w:val="20"/>
          <w:highlight w:val="none"/>
          <w:lang w:eastAsia="zh-CN"/>
        </w:rPr>
        <w:t xml:space="preserve"> воспитанников</w:t>
      </w:r>
      <w:r>
        <w:rPr>
          <w:rFonts w:ascii="Liberation Sans" w:hAnsi="Liberation Sans" w:eastAsia="Liberation Serif" w:cs="Liberation Sans"/>
          <w:bCs/>
          <w:color w:val="000000" w:themeColor="text1"/>
          <w:sz w:val="28"/>
          <w:szCs w:val="20"/>
          <w:highlight w:val="none"/>
          <w:lang w:eastAsia="zh-CN"/>
        </w:rPr>
        <w:t xml:space="preserve"> </w:t>
      </w:r>
      <w:r>
        <w:rPr>
          <w:rFonts w:ascii="Liberation Sans" w:hAnsi="Liberation Sans" w:eastAsia="Liberation Serif" w:cs="Liberation Sans"/>
          <w:bCs/>
          <w:color w:val="000000" w:themeColor="text1"/>
          <w:sz w:val="28"/>
          <w:szCs w:val="20"/>
          <w:highlight w:val="none"/>
          <w:lang w:eastAsia="zh-CN"/>
        </w:rPr>
        <w:t xml:space="preserve">МАДОУ «ДС «Виниклюзия»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  <w:br/>
        <w:t xml:space="preserve">(22 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ебенка)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В рамках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регионального проекта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«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Адресная поддержка повышения производительности труда на предприятиях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(национальный проект «Производительность труда»)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отделом </w:t>
        <w:br/>
        <w:t xml:space="preserve">по делам архивов (муниципальный архив) Администрации города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принято участие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реализа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ции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мер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оприятий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по повышению производительности труда в части оцифровки архивных документов.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946"/>
        <w:numPr>
          <w:ilvl w:val="1"/>
          <w:numId w:val="2"/>
        </w:numPr>
        <w:ind w:left="0" w:firstLine="0"/>
        <w:jc w:val="center"/>
        <w:spacing w:before="0" w:beforeAutospacing="0" w:after="0" w:afterAutospacing="0" w:line="240" w:lineRule="auto"/>
        <w:tabs>
          <w:tab w:val="left" w:pos="426" w:leader="none"/>
          <w:tab w:val="left" w:pos="709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/>
      <w:bookmarkStart w:id="74" w:name="_Toc74"/>
      <w: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Работа </w:t>
      </w:r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с обращениями граждан</w:t>
      </w:r>
      <w:bookmarkEnd w:id="0"/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 </w:t>
        <w:br/>
        <w:t xml:space="preserve">и обеспечение обратной связи с </w:t>
      </w:r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населением</w:t>
      </w:r>
      <w:bookmarkEnd w:id="74"/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году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адрес Главы города и заместителей Главы Администрации города п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оступило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108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обращени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й (2022 год - 1048,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2021 год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1 101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из них: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- 211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письменных обращений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573 обращени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 форме электронного документа;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324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устных обращени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(карточек регистрации личных приемов).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right="566"/>
        <w:jc w:val="center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drawing>
          <wp:inline distT="0" distB="0" distL="0" distR="0">
            <wp:extent cx="5486399" cy="2238372"/>
            <wp:effectExtent l="3175" t="3175" r="3175" b="3175"/>
            <wp:docPr id="76" name="Диаграмма 1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  <w:r>
        <w:rPr>
          <w:rFonts w:ascii="Liberation Sans" w:hAnsi="Liberation Sans" w:cs="Liberation Sans"/>
          <w:highlight w:val="none"/>
        </w:rPr>
      </w:r>
      <w:r/>
    </w:p>
    <w:p>
      <w:pPr>
        <w:jc w:val="center"/>
        <w:spacing w:after="0" w:line="240" w:lineRule="auto"/>
        <w:tabs>
          <w:tab w:val="left" w:pos="3049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tabs>
          <w:tab w:val="left" w:pos="3049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tabs>
          <w:tab w:val="left" w:pos="3049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Источник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поступления обращений, ед.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spacing w:after="0" w:line="240" w:lineRule="auto"/>
        <w:tabs>
          <w:tab w:val="left" w:pos="3049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right"/>
        <w:spacing w:after="0" w:line="240" w:lineRule="auto"/>
        <w:tabs>
          <w:tab w:val="left" w:pos="3049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Т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аблица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1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2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tbl>
      <w:tblPr>
        <w:tblStyle w:val="974"/>
        <w:tblpPr w:horzAnchor="margin" w:tblpXSpec="center" w:vertAnchor="text" w:tblpY="74" w:leftFromText="180" w:topFromText="0" w:rightFromText="180" w:bottomFromText="0"/>
        <w:tblW w:w="5006" w:type="pct"/>
        <w:tblLayout w:type="fixed"/>
        <w:tblLook w:val="04A0" w:firstRow="1" w:lastRow="0" w:firstColumn="1" w:lastColumn="0" w:noHBand="0" w:noVBand="1"/>
      </w:tblPr>
      <w:tblGrid>
        <w:gridCol w:w="622"/>
        <w:gridCol w:w="4788"/>
        <w:gridCol w:w="1398"/>
        <w:gridCol w:w="1276"/>
        <w:gridCol w:w="1282"/>
      </w:tblGrid>
      <w:tr>
        <w:trPr>
          <w:tblHeader/>
        </w:trPr>
        <w:tc>
          <w:tcPr>
            <w:tcW w:w="62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№ 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п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/п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47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Источник поступления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9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2021 год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2022 год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highlight w:val="none"/>
              </w:rPr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8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2023 год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>
          <w:tblHeader/>
        </w:trPr>
        <w:tc>
          <w:tcPr>
            <w:tcW w:w="62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478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9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8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>
          <w:trHeight w:val="308"/>
        </w:trPr>
        <w:tc>
          <w:tcPr>
            <w:tcW w:w="62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478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Непосредственно от граждан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9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896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689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8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723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/>
        <w:tc>
          <w:tcPr>
            <w:tcW w:w="62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478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Из Администрации Президента 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Российской Федерации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9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51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55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8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46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/>
        <w:tc>
          <w:tcPr>
            <w:tcW w:w="62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3.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478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Из аппарата Губернатора 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Ямало-Ненецкого автономного 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округа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9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112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145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8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138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/>
        <w:tc>
          <w:tcPr>
            <w:tcW w:w="62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4.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4788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Из иных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 орган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ов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 государственной власти, 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иных 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должностны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х</w:t>
            </w: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 лиц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9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42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159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8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201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  <w:tr>
        <w:trPr>
          <w:trHeight w:val="286"/>
        </w:trPr>
        <w:tc>
          <w:tcPr>
            <w:gridSpan w:val="2"/>
            <w:tcW w:w="541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Всего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398" w:type="dxa"/>
            <w:textDirection w:val="lrTb"/>
            <w:noWrap w:val="false"/>
          </w:tcPr>
          <w:p>
            <w:pPr>
              <w:jc w:val="center"/>
              <w:rPr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1 101</w:t>
            </w:r>
            <w:r>
              <w:rPr>
                <w:highlight w:val="none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1 048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  <w:tc>
          <w:tcPr>
            <w:tcW w:w="128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highlight w:val="none"/>
              </w:rPr>
            </w:pPr>
            <w:r>
              <w:rPr>
                <w:rFonts w:ascii="Liberation Sans" w:hAnsi="Liberation Sans" w:cs="Liberation Sans"/>
                <w:sz w:val="24"/>
                <w:szCs w:val="24"/>
                <w:highlight w:val="none"/>
              </w:rPr>
              <w:t xml:space="preserve">1 108</w:t>
            </w:r>
            <w:r>
              <w:rPr>
                <w:rFonts w:ascii="Liberation Sans" w:hAnsi="Liberation Sans" w:cs="Liberation Sans"/>
                <w:highlight w:val="none"/>
              </w:rPr>
            </w:r>
            <w:r/>
          </w:p>
        </w:tc>
      </w:tr>
    </w:tbl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году на 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ичный прием записа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лись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324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человека в рамках </w:t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104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приемов, проведенных Главой города, заместителями Главы Администрации города (2022 год -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334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(с учетом 11 карточек, поступивших по компетенции)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110 приемов,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год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368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человек, </w:t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103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прием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).</w:t>
      </w:r>
      <w:r>
        <w:rPr>
          <w:rFonts w:ascii="Liberation Sans" w:hAnsi="Liberation Sans" w:cs="Liberation Sans"/>
          <w:highlight w:val="none"/>
        </w:rPr>
      </w:r>
      <w:r/>
    </w:p>
    <w:p>
      <w:pPr>
        <w:pStyle w:val="1118"/>
        <w:ind w:firstLine="709"/>
        <w:jc w:val="both"/>
        <w:spacing w:after="0" w:afterAutospacing="0" w:line="283" w:lineRule="atLeast"/>
        <w:rPr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А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ктивность граждан в 20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23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год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у по сравнению с 2022 годом увеличилась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н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а 5,7%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auto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В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202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3 году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на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нформационную линию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(в тональном режиме предоставляется выбор тематики по направлениям, затем звонок перенаправляется специалисту соответствующей сферы деятельности)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поступило 818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звон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ков от жителей (2022 год - 1 665, </w:t>
        <w:br/>
        <w:t xml:space="preserve">2021 год - 1 331), на все вопросы даны ответы, консультации.</w:t>
      </w:r>
      <w:r>
        <w:rPr>
          <w:rFonts w:ascii="Liberation Sans" w:hAnsi="Liberation Sans" w:cs="Liberation Sans"/>
          <w:color w:val="auto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Наиболее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актуальными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для жителей города, как и в пре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дыдущие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годы, стали вопросы жилищно-коммунальной сферы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516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обращений (50,2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от общего количества обращений) (2022 год - 563, 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год 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637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), на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втором месте вопросы экономики, строительства и дорожного хозяйства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297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 обращени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(28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%) (2022 год - 301, 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год - 2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81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), далее вопросы социальной сферы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166 обращени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й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12,7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%) </w:t>
        <w:br/>
        <w:t xml:space="preserve">(2022 год - 90, 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год 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94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вопрос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обороны, безопасности, законности - 94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обращени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я (5,8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%) (2022 год - 53, 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21 год - 36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вопрос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раздела «Государство,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общество, политика» 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35 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обращений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3,2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%) (2022 год - 41, 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год - 5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rPr>
          <w:rFonts w:ascii="Liberation Sans" w:hAnsi="Liberation Sans" w:cs="Liberation Sans"/>
          <w:color w:val="auto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Н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аиболее часто задаваемые в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опросы граждан, ед.</w:t>
      </w:r>
      <w:r>
        <w:rPr>
          <w:rFonts w:ascii="Liberation Sans" w:hAnsi="Liberation Sans" w:cs="Liberation Sans"/>
          <w:color w:val="auto"/>
          <w:highlight w:val="none"/>
        </w:rPr>
      </w:r>
      <w:r/>
    </w:p>
    <w:p>
      <w:pPr>
        <w:spacing w:after="0" w:line="240" w:lineRule="auto"/>
        <w:rPr>
          <w:rFonts w:ascii="Liberation Sans" w:hAnsi="Liberation Sans" w:cs="Liberation Sans"/>
          <w:color w:val="auto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/>
    </w:p>
    <w:p>
      <w:pPr>
        <w:jc w:val="right"/>
        <w:spacing w:after="0" w:line="240" w:lineRule="auto"/>
        <w:tabs>
          <w:tab w:val="left" w:pos="3049" w:leader="none"/>
        </w:tabs>
        <w:rPr>
          <w:rFonts w:ascii="Liberation Sans" w:hAnsi="Liberation Sans" w:cs="Liberation Sans"/>
          <w:color w:val="auto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Таблиц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а 1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3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14:ligatures w14:val="none"/>
        </w:rPr>
      </w:r>
      <w:r/>
    </w:p>
    <w:tbl>
      <w:tblPr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293"/>
        <w:gridCol w:w="1276"/>
        <w:gridCol w:w="1276"/>
        <w:gridCol w:w="1276"/>
        <w:gridCol w:w="1458"/>
      </w:tblGrid>
      <w:tr>
        <w:trPr>
          <w:trHeight w:val="443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4"/>
                <w:szCs w:val="24"/>
                <w:highlight w:val="none"/>
              </w:rPr>
              <w:t xml:space="preserve">№ 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4"/>
                <w:szCs w:val="24"/>
                <w:highlight w:val="none"/>
              </w:rPr>
              <w:t xml:space="preserve">п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4"/>
                <w:szCs w:val="24"/>
                <w:highlight w:val="none"/>
              </w:rPr>
              <w:t xml:space="preserve">/п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4"/>
                <w:szCs w:val="24"/>
                <w:highlight w:val="none"/>
              </w:rPr>
              <w:t xml:space="preserve">Вопросы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4"/>
                <w:szCs w:val="24"/>
                <w:highlight w:val="none"/>
              </w:rPr>
              <w:t xml:space="preserve">202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4"/>
                <w:szCs w:val="24"/>
                <w:highlight w:val="none"/>
              </w:rPr>
              <w:t xml:space="preserve"> год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4"/>
                <w:szCs w:val="24"/>
                <w:highlight w:val="none"/>
              </w:rPr>
              <w:t xml:space="preserve">2022 год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textDirection w:val="lrTb"/>
            <w:noWrap w:val="false"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b w:val="0"/>
                <w:bCs w:val="0"/>
                <w:color w:val="auto"/>
                <w:sz w:val="24"/>
                <w:szCs w:val="24"/>
                <w:highlight w:val="none"/>
              </w:rPr>
              <w:t xml:space="preserve">2023 год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8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color w:val="auto"/>
                <w:highlight w:val="none"/>
              </w:rPr>
            </w:pPr>
            <w:r>
              <w:rPr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2023 год 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br/>
              <w:t xml:space="preserve">к 2022 году, %</w:t>
            </w:r>
            <w:r>
              <w:rPr>
                <w:color w:val="auto"/>
                <w:highlight w:val="none"/>
              </w:rPr>
            </w:r>
            <w:r/>
          </w:p>
        </w:tc>
      </w:tr>
      <w:tr>
        <w:trPr>
          <w:trHeight w:val="290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1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textDirection w:val="lrTb"/>
            <w:noWrap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2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3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4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5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8" w:type="dxa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6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</w:tr>
      <w:tr>
        <w:trPr>
          <w:trHeight w:val="29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textDirection w:val="lrTb"/>
            <w:noWrap w:val="false"/>
          </w:tcPr>
          <w:p>
            <w:pPr>
              <w:pStyle w:val="1122"/>
              <w:numPr>
                <w:ilvl w:val="0"/>
                <w:numId w:val="97"/>
              </w:numPr>
              <w:ind w:left="244" w:right="0" w:hanging="244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  <w:suppressLineNumbers w:val="0"/>
            </w:pP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textDirection w:val="lrTb"/>
            <w:noWrap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Жилье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419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textDirection w:val="lrTb"/>
            <w:noWrap w:val="false"/>
          </w:tcPr>
          <w:p>
            <w:pPr>
              <w:ind w:left="80" w:right="0"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403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textDirection w:val="lrTb"/>
            <w:noWrap w:val="false"/>
          </w:tcPr>
          <w:p>
            <w:pPr>
              <w:ind w:left="80" w:right="0"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324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8" w:type="dxa"/>
            <w:vAlign w:val="top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-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19,6%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</w:tr>
      <w:tr>
        <w:trPr>
          <w:trHeight w:val="29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Merge w:val="restart"/>
            <w:textDirection w:val="lrTb"/>
            <w:noWrap w:val="false"/>
          </w:tcPr>
          <w:p>
            <w:pPr>
              <w:pStyle w:val="1122"/>
              <w:numPr>
                <w:ilvl w:val="0"/>
                <w:numId w:val="97"/>
              </w:numPr>
              <w:ind w:left="244" w:right="0" w:hanging="244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  <w:suppressLineNumbers w:val="0"/>
            </w:pP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Merge w:val="restart"/>
            <w:textDirection w:val="lrTb"/>
            <w:noWrap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Жилищно-коммунальное хозяйство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159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vMerge w:val="restart"/>
            <w:textDirection w:val="lrTb"/>
            <w:noWrap w:val="false"/>
          </w:tcPr>
          <w:p>
            <w:pPr>
              <w:ind w:left="80" w:right="0"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160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textDirection w:val="lrTb"/>
            <w:noWrap w:val="false"/>
          </w:tcPr>
          <w:p>
            <w:pPr>
              <w:ind w:left="80" w:right="0"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192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8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+ 20,0%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</w:tr>
      <w:tr>
        <w:trPr>
          <w:trHeight w:val="29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Merge w:val="restart"/>
            <w:textDirection w:val="lrTb"/>
            <w:noWrap w:val="false"/>
          </w:tcPr>
          <w:p>
            <w:pPr>
              <w:pStyle w:val="1122"/>
              <w:numPr>
                <w:ilvl w:val="0"/>
                <w:numId w:val="97"/>
              </w:numPr>
              <w:ind w:left="244" w:right="0" w:hanging="244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  <w:suppressLineNumbers w:val="0"/>
            </w:pP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Merge w:val="restart"/>
            <w:textDirection w:val="lrTb"/>
            <w:noWrap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Благоустройство (в т.ч. уборка снега и мусора)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129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98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textDirection w:val="lrTb"/>
            <w:noWrap w:val="false"/>
          </w:tcPr>
          <w:p>
            <w:pPr>
              <w:ind w:left="80" w:right="0"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90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8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-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8,2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%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</w:tr>
      <w:tr>
        <w:trPr>
          <w:trHeight w:val="295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textDirection w:val="lrTb"/>
            <w:noWrap w:val="false"/>
          </w:tcPr>
          <w:p>
            <w:pPr>
              <w:pStyle w:val="1122"/>
              <w:numPr>
                <w:ilvl w:val="0"/>
                <w:numId w:val="97"/>
              </w:numPr>
              <w:ind w:left="244" w:right="0" w:hanging="244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  <w:suppressLineNumbers w:val="0"/>
            </w:pP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textDirection w:val="lrTb"/>
            <w:noWrap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Транспорт и дорожное хозяйство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24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62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textDirection w:val="lrTb"/>
            <w:noWrap w:val="false"/>
          </w:tcPr>
          <w:p>
            <w:pPr>
              <w:ind w:left="80" w:right="0"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60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8" w:type="dxa"/>
            <w:vAlign w:val="top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-3,2%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</w:tr>
      <w:tr>
        <w:trPr>
          <w:trHeight w:val="295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Merge w:val="restart"/>
            <w:textDirection w:val="lrTb"/>
            <w:noWrap w:val="false"/>
          </w:tcPr>
          <w:p>
            <w:pPr>
              <w:pStyle w:val="1122"/>
              <w:numPr>
                <w:ilvl w:val="0"/>
                <w:numId w:val="97"/>
              </w:numPr>
              <w:ind w:left="244" w:right="0" w:hanging="244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  <w:suppressLineNumbers w:val="0"/>
            </w:pP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Merge w:val="restart"/>
            <w:textDirection w:val="lrTb"/>
            <w:noWrap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Сельское хозяйство, защита и использование природных ресурсов, вод, недр, лесов. Охрана окружающей среды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47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41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textDirection w:val="lrTb"/>
            <w:noWrap w:val="false"/>
          </w:tcPr>
          <w:p>
            <w:pPr>
              <w:ind w:left="80" w:right="0"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50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8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+22,0%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</w:tr>
      <w:tr>
        <w:trPr>
          <w:trHeight w:val="295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Merge w:val="restart"/>
            <w:textDirection w:val="lrTb"/>
            <w:noWrap w:val="false"/>
          </w:tcPr>
          <w:p>
            <w:pPr>
              <w:pStyle w:val="1122"/>
              <w:numPr>
                <w:ilvl w:val="0"/>
                <w:numId w:val="97"/>
              </w:numPr>
              <w:ind w:left="244" w:right="0" w:hanging="244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  <w:suppressLineNumbers w:val="0"/>
            </w:pP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Merge w:val="restart"/>
            <w:textDirection w:val="lrTb"/>
            <w:noWrap/>
          </w:tcPr>
          <w:p>
            <w:pPr>
              <w:spacing w:after="0" w:afterAutospacing="0" w:line="240" w:lineRule="auto"/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Безопасность и охрана правопорядка, работа правоохранительных органов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14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26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vMerge w:val="restart"/>
            <w:textDirection w:val="lrTb"/>
            <w:noWrap w:val="false"/>
          </w:tcPr>
          <w:p>
            <w:pPr>
              <w:ind w:left="80" w:right="0"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43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8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+ 65,4%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</w:tr>
      <w:tr>
        <w:trPr>
          <w:trHeight w:val="295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Merge w:val="restart"/>
            <w:textDirection w:val="lrTb"/>
            <w:noWrap w:val="false"/>
          </w:tcPr>
          <w:p>
            <w:pPr>
              <w:pStyle w:val="1122"/>
              <w:numPr>
                <w:ilvl w:val="0"/>
                <w:numId w:val="97"/>
              </w:numPr>
              <w:ind w:left="244" w:right="0" w:hanging="244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  <w:suppressLineNumbers w:val="0"/>
            </w:pP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Merge w:val="restart"/>
            <w:textDirection w:val="lrTb"/>
            <w:noWrap/>
          </w:tcPr>
          <w:p>
            <w:pPr>
              <w:spacing w:after="0" w:afterAutospacing="0" w:line="240" w:lineRule="auto"/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Трудоустройство, занятость,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 задержка выплаты заработной платы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9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8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vMerge w:val="restart"/>
            <w:textDirection w:val="lrTb"/>
            <w:noWrap w:val="false"/>
          </w:tcPr>
          <w:p>
            <w:pPr>
              <w:ind w:left="80" w:right="0"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31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8" w:type="dxa"/>
            <w:vAlign w:val="top"/>
            <w:vMerge w:val="restart"/>
            <w:textDirection w:val="lrTb"/>
            <w:noWrap w:val="false"/>
          </w:tcPr>
          <w:p>
            <w:pPr>
              <w:ind w:left="0" w:firstLine="0"/>
              <w:jc w:val="center"/>
              <w:spacing w:after="0" w:afterAutospacing="0" w:line="240" w:lineRule="auto"/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+ в 3,9 раза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</w:tr>
      <w:tr>
        <w:trPr>
          <w:trHeight w:val="5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textDirection w:val="lrTb"/>
            <w:noWrap w:val="false"/>
          </w:tcPr>
          <w:p>
            <w:pPr>
              <w:pStyle w:val="1122"/>
              <w:numPr>
                <w:ilvl w:val="0"/>
                <w:numId w:val="97"/>
              </w:numPr>
              <w:ind w:left="244" w:right="0" w:hanging="244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  <w:suppressLineNumbers w:val="0"/>
            </w:pP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textDirection w:val="lrTb"/>
            <w:noWrap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Охрана и использование животного мира (отлов безнадзорных животных)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19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42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textDirection w:val="lrTb"/>
            <w:noWrap w:val="false"/>
          </w:tcPr>
          <w:p>
            <w:pPr>
              <w:ind w:left="80" w:right="0"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20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8" w:type="dxa"/>
            <w:vAlign w:val="top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-52,4%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</w:tr>
      <w:tr>
        <w:trPr>
          <w:trHeight w:val="5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75" w:type="dxa"/>
            <w:vMerge w:val="restart"/>
            <w:textDirection w:val="lrTb"/>
            <w:noWrap w:val="false"/>
          </w:tcPr>
          <w:p>
            <w:pPr>
              <w:pStyle w:val="1122"/>
              <w:numPr>
                <w:ilvl w:val="0"/>
                <w:numId w:val="97"/>
              </w:numPr>
              <w:ind w:left="244" w:right="0" w:hanging="244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  <w:suppressLineNumbers w:val="0"/>
            </w:pP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93" w:type="dxa"/>
            <w:vMerge w:val="restart"/>
            <w:textDirection w:val="lrTb"/>
            <w:noWrap/>
          </w:tcPr>
          <w:p>
            <w:pPr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Строительство и устранение строительных недоделок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11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12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76" w:type="dxa"/>
            <w:vAlign w:val="top"/>
            <w:textDirection w:val="lrTb"/>
            <w:noWrap w:val="false"/>
          </w:tcPr>
          <w:p>
            <w:pPr>
              <w:ind w:left="80" w:right="0" w:firstLine="0"/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12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58" w:type="dxa"/>
            <w:vAlign w:val="top"/>
            <w:vMerge w:val="restart"/>
            <w:textDirection w:val="lrTb"/>
            <w:noWrap w:val="false"/>
          </w:tcPr>
          <w:p>
            <w:pPr>
              <w:jc w:val="center"/>
              <w:spacing w:after="0" w:afterAutospacing="0" w:line="240" w:lineRule="auto"/>
              <w:rPr>
                <w:rFonts w:ascii="Liberation Sans" w:hAnsi="Liberation Sans" w:cs="Liberation Sans"/>
                <w:color w:val="auto"/>
                <w:highlight w:val="none"/>
              </w:rPr>
            </w:pP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  <w:t xml:space="preserve">0%</w:t>
            </w:r>
            <w:r>
              <w:rPr>
                <w:rFonts w:ascii="Liberation Sans" w:hAnsi="Liberation Sans" w:cs="Liberation Sans"/>
                <w:color w:val="auto"/>
                <w:highlight w:val="none"/>
              </w:rPr>
            </w:r>
            <w:r/>
          </w:p>
        </w:tc>
      </w:tr>
    </w:tbl>
    <w:p>
      <w:pPr>
        <w:ind w:firstLine="708"/>
        <w:jc w:val="both"/>
        <w:spacing w:after="0" w:afterAutospacing="0" w:line="240" w:lineRule="auto"/>
        <w:rPr>
          <w:rFonts w:ascii="Liberation Sans" w:hAnsi="Liberation Sans" w:eastAsia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/>
    </w:p>
    <w:p>
      <w:pPr>
        <w:pStyle w:val="1118"/>
        <w:ind w:firstLine="708"/>
        <w:jc w:val="both"/>
        <w:spacing w:after="0" w:afterAutospacing="0" w:line="240" w:lineRule="auto"/>
        <w:rPr>
          <w:rFonts w:ascii="Liberation Sans" w:hAnsi="Liberation Sans" w:eastAsia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Количество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повторных об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ращений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в адрес Главы города и его заместителей в 2023 году составило 25 (202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2 год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- 12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)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.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Основная причина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повторных обращений в Администрацию города Новый Уренгой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-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вопрос оконч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ательно не разрешен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Случа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нарушения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установленного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30-дневного срока рассмотрения обращений граждан, поступивших в адрес Главы города, заместителей Главы Администрации города, не зафиксирован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highlight w:val="none"/>
        </w:rPr>
      </w:r>
      <w:r/>
    </w:p>
    <w:p>
      <w:pPr>
        <w:pStyle w:val="1118"/>
        <w:ind w:firstLine="708"/>
        <w:jc w:val="both"/>
        <w:spacing w:after="0" w:afterAutospacing="0" w:line="283" w:lineRule="atLeast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В 2023 году наблюда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лась</w:t>
      </w:r>
      <w:r>
        <w:rPr>
          <w:rFonts w:ascii="Liberation Sans" w:hAnsi="Liberation Sans" w:eastAsia="Liberation Sans" w:cs="Liberation Sans"/>
          <w:color w:val="000000"/>
          <w:sz w:val="28"/>
          <w:szCs w:val="28"/>
          <w:highlight w:val="none"/>
        </w:rPr>
        <w:t xml:space="preserve"> положительная динамика в сокращении сроков рассмотрения обращений граждан.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line="240" w:lineRule="auto"/>
        <w:tabs>
          <w:tab w:val="left" w:pos="709" w:leader="none"/>
        </w:tabs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В ежедневном режиме проводился мониторинг блогосферы, социальных сетей и других электронных площадок, что позволяло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br/>
        <w:t xml:space="preserve">в оперативном порядке выявлять и реагировать на острые проблемы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в городе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и факторы, негативно воздействующие на общую ситуацию </w:t>
        <w:br/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в муниципальном образовании, анализировать прич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ины их появления и спрогнозировать возможное развитие ситуац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ии и ее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последствия. 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afterAutospacing="0" w:line="283" w:lineRule="atLeast"/>
        <w:tabs>
          <w:tab w:val="left" w:pos="709" w:leader="none"/>
        </w:tabs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Мониторингу подлежа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социальные сети 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ВКонтакте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«Одноклассники», Telegram-каналы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интернет-СМИ.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хват -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</w:t>
        <w:br/>
        <w:t xml:space="preserve">65 площадок.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afterAutospacing="0" w:line="283" w:lineRule="atLeast"/>
        <w:tabs>
          <w:tab w:val="left" w:pos="709" w:leader="none"/>
        </w:tabs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Также в 2023 году активно осуществлялась обратная связь </w:t>
        <w:br/>
        <w:t xml:space="preserve">с 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аселением в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официальных аккаунтах в социальных сетях и Telegram-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каналах Главы города и Администрации города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 В данные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официальные аккаунты за 2023 год поступило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5 190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соо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бщений и комментариев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 (2022 год - 3 818,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21 год - 2 891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)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, из них: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83" w:lineRule="atLeast"/>
        <w:tabs>
          <w:tab w:val="left" w:pos="709" w:leader="none"/>
        </w:tabs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4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557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сообщений -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en-US"/>
        </w:rPr>
        <w:t xml:space="preserve">в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en-US"/>
        </w:rPr>
        <w:t xml:space="preserve"> </w:t>
      </w:r>
      <w:r>
        <w:rPr>
          <w:rFonts w:ascii="Liberation Sans" w:hAnsi="Liberation Sans" w:eastAsia="Liberation Sans" w:cs="Liberation Sans"/>
          <w:i w:val="0"/>
          <w:iCs w:val="0"/>
          <w:color w:val="000000" w:themeColor="text1"/>
          <w:spacing w:val="-5"/>
          <w:sz w:val="28"/>
          <w:szCs w:val="28"/>
          <w:highlight w:val="none"/>
        </w:rPr>
        <w:t xml:space="preserve">телеграм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-канал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е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Главы города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,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через аккаунты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Главы города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в социальных сетях «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ВКонтакте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»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,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«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Одноклассники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»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;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83" w:lineRule="atLeast"/>
        <w:tabs>
          <w:tab w:val="left" w:pos="709" w:leader="none"/>
        </w:tabs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633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сообщения -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en-US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en-US"/>
        </w:rPr>
        <w:t xml:space="preserve">в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en-US"/>
        </w:rPr>
        <w:t xml:space="preserve"> </w:t>
      </w:r>
      <w:r>
        <w:rPr>
          <w:rFonts w:ascii="Liberation Sans" w:hAnsi="Liberation Sans" w:eastAsia="Liberation Sans" w:cs="Liberation Sans"/>
          <w:i w:val="0"/>
          <w:iCs w:val="0"/>
          <w:color w:val="000000" w:themeColor="text1"/>
          <w:spacing w:val="-5"/>
          <w:sz w:val="28"/>
          <w:szCs w:val="28"/>
          <w:highlight w:val="none"/>
        </w:rPr>
        <w:t xml:space="preserve">телеграм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-канал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е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Администрации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города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en-US"/>
        </w:rPr>
        <w:t xml:space="preserve">,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через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аккаунты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en-US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Администрации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города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в социальных сетях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«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ВКонтакте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»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,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«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Одноклассники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  <w:lang w:val="ru-RU"/>
        </w:rPr>
        <w:t xml:space="preserve">»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.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</w:r>
      <w:r/>
    </w:p>
    <w:p>
      <w:pPr>
        <w:ind w:left="0" w:right="0" w:firstLine="709"/>
        <w:jc w:val="both"/>
        <w:spacing w:after="0" w:afterAutospacing="0" w:line="283" w:lineRule="atLeast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Наиболее часто задаваемые вопросы касались </w:t>
        <w:br/>
        <w:t xml:space="preserve">благоустройства - 819 , дорожного хозяйства - 685, уборки снега - 679,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жилищно-коммунального хозяйства - 679.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afterAutospacing="0" w:line="283" w:lineRule="atLeast"/>
        <w:tabs>
          <w:tab w:val="left" w:pos="709" w:leader="none"/>
        </w:tabs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Через систему «Инцидент менеджмент» в 2023 году поступило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5 060 сообщений (2022 год - 5 072, 2021 год - 3 130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).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afterAutospacing="0" w:line="283" w:lineRule="atLeast"/>
        <w:tabs>
          <w:tab w:val="left" w:pos="709" w:leader="none"/>
        </w:tabs>
        <w:rPr>
          <w:rFonts w:ascii="Liberation Sans" w:hAnsi="Liberation Sans" w:cs="Liberation Sans"/>
          <w:b w:val="0"/>
          <w:bCs w:val="0"/>
          <w:highlight w:val="none"/>
        </w:rPr>
      </w:pP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Через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п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латформу обратной связи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 (сайт «Госуслуги»)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b w:val="0"/>
          <w:bCs w:val="0"/>
          <w:sz w:val="28"/>
          <w:szCs w:val="28"/>
          <w:highlight w:val="none"/>
        </w:rPr>
        <w:t xml:space="preserve">(далее - ПОС)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в Администр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ацию города Новый Уренгой за 2023 год поступило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1 143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 сообщения (2022 год - 911,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2021 год - 820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). Лидируют вопросы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жилищно-коммунального хозяйства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 - 274, содержания улиц и дворов - 192,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дорожного хозяйства - 131, </w:t>
      </w:r>
      <w:r>
        <w:rPr>
          <w:rFonts w:ascii="Liberation Sans" w:hAnsi="Liberation Sans" w:eastAsia="Liberation Sans" w:cs="Liberation Sans"/>
          <w:b w:val="0"/>
          <w:bCs w:val="0"/>
          <w:sz w:val="28"/>
          <w:szCs w:val="28"/>
          <w:highlight w:val="none"/>
        </w:rPr>
        <w:t xml:space="preserve">благоустройства - 70, транспортного обслуживания - 62, образования - 51.</w:t>
      </w:r>
      <w:r>
        <w:rPr>
          <w:rFonts w:ascii="Liberation Sans" w:hAnsi="Liberation Sans" w:cs="Liberation Sans"/>
          <w:b w:val="0"/>
          <w:bCs w:val="0"/>
          <w:highlight w:val="none"/>
        </w:rPr>
      </w:r>
      <w:r/>
    </w:p>
    <w:p>
      <w:pPr>
        <w:ind w:firstLine="709"/>
        <w:jc w:val="both"/>
        <w:spacing w:after="0" w:afterAutospacing="0" w:line="283" w:lineRule="atLeast"/>
        <w:tabs>
          <w:tab w:val="left" w:pos="709" w:leader="none"/>
        </w:tabs>
        <w:rPr>
          <w:color w:val="auto"/>
          <w:highlight w:val="none"/>
        </w:rPr>
      </w:pP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С помощью ПОС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было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проведено </w:t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18</w:t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опросов </w:t>
      </w:r>
      <w:r>
        <w:rPr>
          <w:rFonts w:ascii="Liberation Sans" w:hAnsi="Liberation Sans" w:eastAsia="Liberation Sans" w:cs="Liberation Sans"/>
          <w:b w:val="0"/>
          <w:bCs w:val="0"/>
          <w:color w:val="auto"/>
          <w:sz w:val="28"/>
          <w:szCs w:val="28"/>
          <w:highlight w:val="none"/>
        </w:rPr>
        <w:t xml:space="preserve">по ра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зличным тематикам (2022 год - 17).</w:t>
      </w:r>
      <w:r>
        <w:rPr>
          <w:color w:val="auto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u w:val="none"/>
        </w:rPr>
        <w:t xml:space="preserve">Тематика опросов на ПОС: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u w:val="none"/>
        </w:rPr>
        <w:t xml:space="preserve">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u w:val="none"/>
        </w:rPr>
        <w:t xml:space="preserve">освещение дворовых территорий и и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u w:val="none"/>
        </w:rPr>
        <w:t xml:space="preserve">гровых площадок в городе, выбор названия площадки для выгула собак,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u w:val="none"/>
        </w:rPr>
        <w:t xml:space="preserve">необходимость развития киберспорта, озеленение города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  <w:u w:val="none"/>
        </w:rPr>
        <w:t xml:space="preserve">, благоустройство территорий и др.</w:t>
      </w:r>
      <w:r>
        <w:rPr>
          <w:color w:val="auto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tabs>
          <w:tab w:val="left" w:pos="709" w:leader="none"/>
        </w:tabs>
        <w:rPr>
          <w:highlight w:val="none"/>
        </w:rPr>
      </w:pPr>
      <w:r>
        <w:rPr>
          <w:color w:val="auto"/>
          <w:highlight w:val="none"/>
        </w:rPr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Кроме того,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на ПОС 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в 2023 году проведено 5 обсуждений </w:t>
        <w:br/>
        <w:t xml:space="preserve">(2022 год - 2), а</w:t>
      </w:r>
      <w:r>
        <w:rPr>
          <w:rFonts w:ascii="Liberation Sans" w:hAnsi="Liberation Sans" w:eastAsia="Liberation Sans" w:cs="Liberation Sans"/>
          <w:color w:val="auto"/>
          <w:sz w:val="28"/>
          <w:szCs w:val="28"/>
          <w:highlight w:val="none"/>
        </w:rPr>
        <w:t xml:space="preserve"> также размещена информация о проводимых публичных слушаниях.</w:t>
      </w:r>
      <w:r>
        <w:rPr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tabs>
          <w:tab w:val="left" w:pos="709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946"/>
        <w:numPr>
          <w:ilvl w:val="1"/>
          <w:numId w:val="2"/>
        </w:numPr>
        <w:ind w:left="0" w:firstLine="0"/>
        <w:jc w:val="center"/>
        <w:spacing w:before="0" w:beforeAutospacing="0" w:after="0" w:afterAutospacing="0" w:line="240" w:lineRule="auto"/>
        <w:tabs>
          <w:tab w:val="left" w:pos="426" w:leader="none"/>
          <w:tab w:val="left" w:pos="709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/>
      <w:bookmarkStart w:id="75" w:name="_Toc75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 Организация предоставления</w:t>
      </w:r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 государственных </w:t>
        <w:br/>
        <w:t xml:space="preserve">и </w:t>
      </w:r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муниципальных услуг</w:t>
      </w:r>
      <w:bookmarkEnd w:id="0"/>
      <w:r/>
      <w:bookmarkEnd w:id="75"/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Органами Администрации города предоставля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сь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  <w:br/>
        <w:t xml:space="preserve">152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государственны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 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муни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ципальны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услуги, из них 84 - муниципальны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spacing w:after="0" w:line="240" w:lineRule="auto"/>
        <w:tabs>
          <w:tab w:val="left" w:pos="993" w:leader="none"/>
        </w:tabs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течение 20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3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года оказано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11 030,1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тыс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государственных и муниципальных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услуг, в том числе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: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tabs>
          <w:tab w:val="left" w:pos="993" w:leader="none"/>
        </w:tabs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электронном виде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10 239,7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тыс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услуг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9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2,83%)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tabs>
          <w:tab w:val="left" w:pos="993" w:leader="none"/>
        </w:tabs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при личном обращении 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777,3 тыс. услуг (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7,05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%)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</w:r>
      <w:r/>
    </w:p>
    <w:p>
      <w:pPr>
        <w:ind w:firstLine="709"/>
        <w:jc w:val="both"/>
        <w:spacing w:after="0" w:line="240" w:lineRule="auto"/>
        <w:tabs>
          <w:tab w:val="left" w:pos="993" w:leader="none"/>
        </w:tabs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-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многофункциональным центром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-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1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2,2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тыс. услуг (0,11%)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</w:r>
      <w:r/>
    </w:p>
    <w:p>
      <w:pPr>
        <w:ind w:firstLine="709"/>
        <w:jc w:val="both"/>
        <w:spacing w:after="0" w:line="240" w:lineRule="auto"/>
        <w:tabs>
          <w:tab w:val="left" w:pos="993" w:leader="none"/>
        </w:tabs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другим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способ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ами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0,9 тыс.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у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слуг (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0,01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%)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tabs>
          <w:tab w:val="left" w:pos="993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 них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11 009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тыс.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ок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  <w:t xml:space="preserve">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занные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муниципальные услуги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том числе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92,96%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электронном виде,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7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,02%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при личном обращении,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01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%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через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многофункциональны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центр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0,01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%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другим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спо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соб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tabs>
          <w:tab w:val="left" w:pos="993" w:leader="none"/>
        </w:tabs>
        <w:rPr>
          <w:rFonts w:ascii="Liberation Sans" w:hAnsi="Liberation Sans" w:cs="Liberation Sans"/>
          <w:color w:val="000000" w:themeColor="text1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По состоянию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на 31.12.2023 организована возможность </w:t>
        <w:br/>
        <w:t xml:space="preserve">для заявителей получать в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электронном виде 59 массовых социально значимых государственных и муниципальных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ru-RU"/>
        </w:rPr>
        <w:t xml:space="preserve">услуг, что позволяет с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ократить временные 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административные затраты </w:t>
        <w:br/>
        <w:t xml:space="preserve">при предоставлении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 услуг, повысить доступность, снизить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административные барьеры.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spacing w:after="0" w:line="240" w:lineRule="auto"/>
        <w:tabs>
          <w:tab w:val="left" w:pos="993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рамках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регионального проекта «Цифровое государственное управление»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(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национальный проект «Цифровая экономика»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)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целях обеспечения удовлетворенности граждан качеством предоставления массовых социа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льно значимых государственных и муниципальных услуг в электронном виде с использованием Единого портала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государственных и муниципальных услуг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(далее - ЕПГУ) проводился мониторинг достижения показателей.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По итогам 2023 года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 w:eastAsia="en-US"/>
        </w:rPr>
        <w:br/>
        <w:t xml:space="preserve">по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 w:eastAsia="en-US"/>
        </w:rPr>
        <w:t xml:space="preserve">муниципальному образованию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: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tabs>
          <w:tab w:val="left" w:pos="993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доля массовых социально значимых государственных и муниципальных услуг в электронном виде, предоставляемых </w:t>
        <w:br/>
        <w:t xml:space="preserve">с использованием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ЕПГУ, от общего количества таких услуг, предоставляемых в электронном виде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 w:eastAsia="en-US"/>
        </w:rPr>
        <w:t xml:space="preserve">, составила 98% </w:t>
        <w:br/>
        <w:t xml:space="preserve">(план по ЯНАО - 95%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);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tabs>
          <w:tab w:val="left" w:pos="993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-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доля обращений за получением массовых социаль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но значимых государственных и муниципальных услуг в электронном виде </w:t>
        <w:br/>
        <w:t xml:space="preserve">с использованием ЕПГУ, без необходимости личного посещения органов государственной 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ласти, органов местного самоуправления и многофункциональных центров предостав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ления государственных 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муниципальных услуг, от общего количества таких услуг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 w:eastAsia="en-US"/>
        </w:rPr>
        <w:t xml:space="preserve">составила 35%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 w:eastAsia="en-US"/>
        </w:rPr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 w:eastAsia="en-US"/>
        </w:rPr>
        <w:t xml:space="preserve">(план по ЯНАО - 40%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 w:eastAsia="en-US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after="0" w:line="240" w:lineRule="auto"/>
        <w:tabs>
          <w:tab w:val="left" w:pos="993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Для оценки удовлетворенности качеством предоставляемых услуг органами Админис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трации города проводилось анкетирование получателей услуг.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Респонденты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об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ратившиеся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за получение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услуг в 2023 году,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оценили качество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их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предоставления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среднем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4,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9 бал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(2022 год - 4,9)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ачество предоставления услуг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электронном виде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составило 5 баллов (2022 год -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4,9).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целом у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ровень удовлетворенности получателе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й госу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дарственных и муниципальных услуг качеством их предоставления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составил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98,5%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(участники анкетирования пр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оставили оценки </w:t>
        <w:br/>
        <w:t xml:space="preserve">5 и 4 балла) (2022 год - 96,1%).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946"/>
        <w:numPr>
          <w:ilvl w:val="1"/>
          <w:numId w:val="2"/>
        </w:numPr>
        <w:ind w:left="0" w:firstLine="0"/>
        <w:jc w:val="center"/>
        <w:spacing w:before="0" w:beforeAutospacing="0" w:after="0" w:afterAutospacing="0" w:line="240" w:lineRule="auto"/>
        <w:tabs>
          <w:tab w:val="left" w:pos="426" w:leader="none"/>
          <w:tab w:val="left" w:pos="709" w:leader="none"/>
          <w:tab w:val="left" w:pos="851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/>
      <w:bookmarkStart w:id="76" w:name="_Toc76"/>
      <w:r>
        <w:rPr>
          <w:rFonts w:ascii="Liberation Sans" w:hAnsi="Liberation Sans" w:cs="Liberation Sans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Осуществление мер по противодействию коррупции</w:t>
      </w:r>
      <w:bookmarkEnd w:id="0"/>
      <w:r>
        <w:rPr>
          <w:rFonts w:ascii="Liberation Sans" w:hAnsi="Liberation Sans" w:cs="Liberation Sans"/>
        </w:rPr>
      </w:r>
      <w:bookmarkEnd w:id="76"/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Ме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жведомственным советом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при Главе города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Н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овый Уренгой в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соо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тветствии с Планом мероприятий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по противодействию коррупции </w:t>
        <w:br/>
        <w:t xml:space="preserve">на территории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муниципального образования город Новый Уренгой </w:t>
        <w:br/>
        <w:t xml:space="preserve">в 202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3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году проведено 4 заседания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рассмотрено 13 вопросов, принято </w:t>
        <w:br/>
        <w:t xml:space="preserve">42 решения.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auto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На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официальн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ом сайте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муниципального образования город Новый Уренгой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en-US"/>
        </w:rPr>
        <w:t xml:space="preserve">nur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en-US"/>
        </w:rPr>
        <w:t xml:space="preserve">yanao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:lang w:val="en-US"/>
        </w:rPr>
        <w:t xml:space="preserve">ru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в разделе «Противодействие коррупции» размещаемая информация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поддерживается в актуальном состоянии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В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средствах массовой информации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размещено 23 материала по теме прот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иводействия коррупци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и.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В д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еятельности муниципальных служащих коррупционные правонарушения не выявлены.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946"/>
        <w:numPr>
          <w:ilvl w:val="1"/>
          <w:numId w:val="2"/>
        </w:numPr>
        <w:ind w:left="0" w:firstLine="0"/>
        <w:jc w:val="center"/>
        <w:spacing w:before="0" w:beforeAutospacing="0" w:after="0" w:afterAutospacing="0" w:line="240" w:lineRule="auto"/>
        <w:tabs>
          <w:tab w:val="left" w:pos="426" w:leader="none"/>
          <w:tab w:val="left" w:pos="709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/>
      <w:bookmarkStart w:id="77" w:name="_Toc77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 Правовое и информационное обеспечение деятельности Администрации города Новый Уренгой</w:t>
      </w:r>
      <w:bookmarkEnd w:id="0"/>
      <w:r>
        <w:rPr>
          <w:rFonts w:ascii="Liberation Sans" w:hAnsi="Liberation Sans" w:cs="Liberation Sans"/>
          <w:sz w:val="28"/>
          <w:szCs w:val="28"/>
        </w:rPr>
      </w:r>
      <w:bookmarkEnd w:id="77"/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tabs>
          <w:tab w:val="left" w:pos="426" w:leader="none"/>
          <w:tab w:val="left" w:pos="993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/>
      <w:bookmarkStart w:id="78" w:name="_Toc78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Приведение Устава муниципального образования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br/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город Новый Уренгой </w:t>
        <w:br/>
        <w:t xml:space="preserve">в соответствие действующ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е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м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у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законодательств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у</w:t>
      </w:r>
      <w:bookmarkEnd w:id="0"/>
      <w:r>
        <w:rPr>
          <w:rFonts w:ascii="Liberation Sans" w:hAnsi="Liberation Sans" w:cs="Liberation Sans"/>
          <w:sz w:val="28"/>
          <w:szCs w:val="28"/>
        </w:rPr>
      </w:r>
      <w:bookmarkEnd w:id="78"/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целях приведения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соответствие действующему законодательству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в положения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Устава муниципального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образования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город Новый Уренгой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в 2023 году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внесены изменения в части: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Liberation Serif" w:cs="Liberation Sans"/>
          <w:i w:val="0"/>
          <w:color w:val="000000" w:themeColor="text1"/>
          <w:sz w:val="28"/>
          <w:szCs w:val="28"/>
          <w:highlight w:val="none"/>
        </w:rPr>
        <w:t xml:space="preserve">расширения полномочий Администрации города </w:t>
      </w:r>
      <w:r>
        <w:rPr>
          <w:rFonts w:ascii="Liberation Sans" w:hAnsi="Liberation Sans" w:eastAsia="Liberation Serif" w:cs="Liberation Sans"/>
          <w:i w:val="0"/>
          <w:color w:val="000000" w:themeColor="text1"/>
          <w:sz w:val="28"/>
          <w:szCs w:val="28"/>
          <w:highlight w:val="none"/>
        </w:rPr>
        <w:t xml:space="preserve">в следующих сферах: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детско-юношеского спорта, 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</w:rPr>
        <w:t xml:space="preserve">гражданской обороны, экологии,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международных и внешнеэкономических связей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color w:val="000000" w:themeColor="text1"/>
          <w:sz w:val="28"/>
          <w:szCs w:val="28"/>
        </w:rPr>
      </w:pP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  <w:u w:val="none"/>
        </w:rPr>
        <w:t xml:space="preserve">исключения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  <w:u w:val="none"/>
        </w:rPr>
        <w:t xml:space="preserve"> </w:t>
      </w:r>
      <w:r>
        <w:rPr>
          <w:rFonts w:ascii="Liberation Sans" w:hAnsi="Liberation Sans" w:eastAsia="Times New Roman" w:cs="Liberation Sans"/>
          <w:b w:val="0"/>
          <w:bCs w:val="0"/>
          <w:color w:val="000000" w:themeColor="text1"/>
          <w:sz w:val="28"/>
          <w:szCs w:val="28"/>
          <w:highlight w:val="none"/>
          <w:u w:val="none"/>
        </w:rPr>
        <w:t xml:space="preserve">полномочий по соз</w:t>
      </w:r>
      <w:r>
        <w:rPr>
          <w:rFonts w:ascii="Liberation Sans" w:hAnsi="Liberation Sans" w:eastAsia="Times New Roman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данию, развитию и обеспечению охраны лечебно-оздоров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highlight w:val="none"/>
        </w:rPr>
        <w:t xml:space="preserve">ительных местностей и курортов местного значения на территории </w:t>
      </w:r>
      <w:r>
        <w:rPr>
          <w:rFonts w:ascii="Liberation Sans" w:hAnsi="Liberation Sans" w:cs="Liberation Sans"/>
          <w:b w:val="0"/>
          <w:bCs w:val="0"/>
          <w:i w:val="0"/>
          <w:iCs w:val="0"/>
          <w:strike w:val="0"/>
          <w:color w:val="000000" w:themeColor="text1"/>
          <w:sz w:val="28"/>
          <w:szCs w:val="28"/>
          <w:highlight w:val="none"/>
          <w:u w:val="none"/>
        </w:rPr>
        <w:t xml:space="preserve">муниципального образования город Новый Уренгой</w:t>
      </w:r>
      <w:r>
        <w:rPr>
          <w:rFonts w:ascii="Liberation Sans" w:hAnsi="Liberation Sans" w:eastAsia="Tahoma" w:cs="Liberation Sans"/>
          <w:b w:val="0"/>
          <w:i w:val="0"/>
          <w:strike w:val="0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TimesNewRoman" w:cs="Liberation Sans"/>
          <w:b w:val="0"/>
          <w:i w:val="0"/>
          <w:strike w:val="0"/>
          <w:color w:val="000000" w:themeColor="text1"/>
          <w:sz w:val="28"/>
          <w:szCs w:val="28"/>
          <w:highlight w:val="none"/>
        </w:rPr>
        <w:t xml:space="preserve">по выдаче разрешения </w:t>
      </w:r>
      <w:r>
        <w:rPr>
          <w:rFonts w:ascii="Liberation Sans" w:hAnsi="Liberation Sans" w:eastAsia="TimesNewRoman" w:cs="Liberation Sans"/>
          <w:b w:val="0"/>
          <w:i w:val="0"/>
          <w:strike w:val="0"/>
          <w:color w:val="000000" w:themeColor="text1"/>
          <w:sz w:val="28"/>
          <w:szCs w:val="28"/>
          <w:highlight w:val="none"/>
        </w:rPr>
        <w:t xml:space="preserve">на строительство объекта капитальн</w:t>
      </w:r>
      <w:r>
        <w:rPr>
          <w:rFonts w:ascii="Liberation Sans" w:hAnsi="Liberation Sans" w:eastAsia="TimesNewRoman" w:cs="Liberation Sans"/>
          <w:b w:val="0"/>
          <w:i w:val="0"/>
          <w:strike w:val="0"/>
          <w:color w:val="000000" w:themeColor="text1"/>
          <w:sz w:val="28"/>
          <w:szCs w:val="28"/>
          <w:highlight w:val="none"/>
        </w:rPr>
        <w:t xml:space="preserve">ого с</w:t>
      </w:r>
      <w:r>
        <w:rPr>
          <w:rFonts w:ascii="Liberation Sans" w:hAnsi="Liberation Sans" w:eastAsia="TimesNewRoman" w:cs="Liberation Sans"/>
          <w:b w:val="0"/>
          <w:i w:val="0"/>
          <w:strike w:val="0"/>
          <w:color w:val="000000" w:themeColor="text1"/>
          <w:sz w:val="28"/>
          <w:szCs w:val="28"/>
          <w:highlight w:val="none"/>
        </w:rPr>
        <w:t xml:space="preserve">троительства на земельном участке, предоставленном пользователю недр и необходимом для ведения работ, связанных </w:t>
        <w:br/>
        <w:t xml:space="preserve">с пользованием недрами (за искл</w:t>
      </w:r>
      <w:r>
        <w:rPr>
          <w:rFonts w:ascii="Liberation Sans" w:hAnsi="Liberation Sans" w:eastAsia="TimesNewRoman" w:cs="Liberation Sans"/>
          <w:b w:val="0"/>
          <w:i w:val="0"/>
          <w:strike w:val="0"/>
          <w:color w:val="000000" w:themeColor="text1"/>
          <w:sz w:val="28"/>
          <w:szCs w:val="28"/>
          <w:highlight w:val="none"/>
        </w:rPr>
        <w:t xml:space="preserve">ючением работ, связанных </w:t>
        <w:br/>
        <w:t xml:space="preserve">с пользованием участками недр местного значения)</w:t>
      </w:r>
      <w:r>
        <w:rPr>
          <w:color w:val="000000" w:themeColor="text1"/>
          <w:sz w:val="28"/>
          <w:szCs w:val="28"/>
        </w:rPr>
        <w:t xml:space="preserve">;</w:t>
      </w:r>
      <w:r>
        <w:rPr>
          <w:color w:val="000000" w:themeColor="text1"/>
          <w:sz w:val="28"/>
          <w:szCs w:val="28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color w:val="000000" w:themeColor="text1"/>
        </w:rPr>
      </w:pPr>
      <w:r>
        <w:rPr>
          <w:color w:val="000000" w:themeColor="text1"/>
        </w:rPr>
        <w:t xml:space="preserve">–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Times New Roman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организации доступа к информации о деятельности органов местного самоуправления Нового Уренгоя</w:t>
      </w:r>
      <w:r>
        <w:rPr>
          <w:rFonts w:ascii="Liberation Sans" w:hAnsi="Liberation Sans" w:eastAsia="Times New Roman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;</w:t>
      </w:r>
      <w:r>
        <w:rPr>
          <w:color w:val="000000" w:themeColor="text1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Times New Roman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Times New Roman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основания для </w:t>
      </w:r>
      <w:r>
        <w:rPr>
          <w:rFonts w:ascii="Liberation Sans" w:hAnsi="Liberation Sans" w:eastAsia="Liberation Serif" w:cs="Liberation Sans"/>
          <w:i w:val="0"/>
          <w:color w:val="000000" w:themeColor="text1"/>
          <w:sz w:val="28"/>
          <w:szCs w:val="28"/>
          <w:highlight w:val="none"/>
        </w:rPr>
        <w:t xml:space="preserve">досрочно</w:t>
      </w:r>
      <w:r>
        <w:rPr>
          <w:rFonts w:ascii="Liberation Sans" w:hAnsi="Liberation Sans" w:eastAsia="Times New Roman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го </w:t>
      </w:r>
      <w:r>
        <w:rPr>
          <w:rFonts w:ascii="Liberation Sans" w:hAnsi="Liberation Sans" w:eastAsia="Liberation Serif" w:cs="Liberation Sans"/>
          <w:i w:val="0"/>
          <w:color w:val="000000" w:themeColor="text1"/>
          <w:sz w:val="28"/>
          <w:szCs w:val="28"/>
          <w:highlight w:val="none"/>
        </w:rPr>
        <w:t xml:space="preserve">прекращения</w:t>
      </w:r>
      <w:r>
        <w:rPr>
          <w:rFonts w:ascii="Liberation Sans" w:hAnsi="Liberation Sans" w:eastAsia="Liberation Serif" w:cs="Liberation Sans"/>
          <w:i w:val="0"/>
          <w:color w:val="000000" w:themeColor="text1"/>
          <w:sz w:val="28"/>
          <w:szCs w:val="28"/>
          <w:highlight w:val="none"/>
        </w:rPr>
        <w:t xml:space="preserve"> полномочий депутата Городской Думы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eastAsia="Liberation Serif" w:cs="Liberation Sans"/>
          <w:bCs w:val="0"/>
          <w:i w:val="0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erif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Liberation Serif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исключения </w:t>
      </w:r>
      <w:r>
        <w:rPr>
          <w:rFonts w:ascii="Liberation Sans" w:hAnsi="Liberation Sans" w:eastAsia="Liberation Serif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конкретного сро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ка представления 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Главой города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Новый Уренгой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 отчетов о своей деятельности перед жителями города и Городской Думой</w:t>
      </w:r>
      <w:r>
        <w:rPr>
          <w:rFonts w:ascii="Liberation Sans" w:hAnsi="Liberation Sans" w:eastAsia="Liberation Serif" w:cs="Liberation Sans"/>
          <w:i w:val="0"/>
          <w:iCs w:val="0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eastAsia="Liberation Serif" w:cs="Liberation Sans"/>
          <w:bCs w:val="0"/>
          <w:i w:val="0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ограничения публикаций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муниципальных правовых актов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содержащих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сведения, ра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спространение которых ограничено федеральным законом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освобождения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Главы города, де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путата Городской Думы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Times New Roman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председателя и аудитора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Контрольно-счётной палаты Нового Уренгоя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от дисциплинарной ответственности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за несоблюдение ограничений и запретов, требований о предотвращении или об урегулировании конф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ликта интересов и неисполнении обя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занностей</w:t>
      </w: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  <w:u w:val="none"/>
        </w:rPr>
        <w:t xml:space="preserve"> </w:t>
      </w: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  <w:u w:val="none"/>
        </w:rPr>
        <w:t xml:space="preserve">в случае, если</w:t>
      </w: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  <w:u w:val="none"/>
        </w:rPr>
        <w:t xml:space="preserve"> 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есоблюдение таких ограничений, запретов и требований, а также неисполнение таких обязанностей признается следствием </w:t>
        <w:br/>
        <w:t xml:space="preserve">не зависящих от данных лиц обстоятельств.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14:ligatures w14:val="none"/>
        </w:rPr>
      </w:r>
      <w:r/>
    </w:p>
    <w:p>
      <w:pPr>
        <w:pStyle w:val="1135"/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Изменения утверждены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решени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ями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Городской Думы муниципального образования город Новый Урен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гой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от 25.05.2023 </w:t>
        <w:br/>
        <w:t xml:space="preserve">№ 230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от 30.11.2023 № 267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которые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зарегистрированы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Управлении Министерства юстиции Российской Федерации по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Ямало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енецкому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автономному округу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16.06.2023 (регистрационный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номер RU89304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0002023001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) 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08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.12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202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3 (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регистрационный номер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RU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893040002023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00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2)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851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white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tabs>
          <w:tab w:val="left" w:pos="426" w:leader="none"/>
          <w:tab w:val="left" w:pos="567" w:leader="none"/>
          <w:tab w:val="left" w:pos="993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/>
      <w:bookmarkStart w:id="79" w:name="_Toc79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Организация правового обеспечения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деятельно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сти Администрации</w:t>
      </w:r>
      <w:bookmarkEnd w:id="0"/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города </w:t>
      </w:r>
      <w:r>
        <w:rPr>
          <w:rFonts w:ascii="Liberation Sans" w:hAnsi="Liberation Sans" w:cs="Liberation Sans"/>
          <w:sz w:val="28"/>
          <w:szCs w:val="28"/>
        </w:rPr>
      </w:r>
      <w:bookmarkEnd w:id="79"/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tabs>
          <w:tab w:val="left" w:pos="390" w:leader="none"/>
        </w:tabs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проведена правовая экспертиза 7 428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правовых актов Администрации города Новый Уре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нгой.</w:t>
      </w:r>
      <w:r>
        <w:rPr>
          <w:highlight w:val="none"/>
        </w:rPr>
      </w:r>
      <w:r/>
    </w:p>
    <w:p>
      <w:pPr>
        <w:jc w:val="both"/>
        <w:spacing w:after="0" w:line="240" w:lineRule="auto"/>
        <w:tabs>
          <w:tab w:val="left" w:pos="390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tabs>
          <w:tab w:val="left" w:pos="525" w:leader="none"/>
        </w:tabs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drawing>
          <wp:inline distT="0" distB="0" distL="0" distR="0">
            <wp:extent cx="5471993" cy="3492206"/>
            <wp:effectExtent l="4762" t="4762" r="4762" b="4762"/>
            <wp:docPr id="77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tabs>
          <w:tab w:val="left" w:pos="390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tabs>
          <w:tab w:val="left" w:pos="390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За 2023 год прокуратурой города Новый Уренгой внесены протесты на 4 правовых акта, из них 1 протест удовлетворен, внесено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71 представление, из них удовлетворено 13.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both"/>
        <w:spacing w:after="0" w:line="240" w:lineRule="auto"/>
        <w:tabs>
          <w:tab w:val="left" w:pos="390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tabs>
          <w:tab w:val="left" w:pos="390" w:leader="none"/>
        </w:tabs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drawing>
          <wp:inline distT="0" distB="0" distL="0" distR="0">
            <wp:extent cx="5471989" cy="2273394"/>
            <wp:effectExtent l="4762" t="4762" r="4762" b="4762"/>
            <wp:docPr id="78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  <w:r>
        <w:rPr>
          <w:highlight w:val="none"/>
        </w:rPr>
      </w:r>
      <w:r/>
    </w:p>
    <w:p>
      <w:pPr>
        <w:spacing w:after="0" w:line="240" w:lineRule="auto"/>
        <w:tabs>
          <w:tab w:val="left" w:pos="390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tabs>
          <w:tab w:val="left" w:pos="390" w:leader="none"/>
        </w:tabs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Администрацией города Новый Уренгой,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муниципальным казенным учреждением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Служба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э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кстренного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еагирования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заключено 664 договора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включая муниципальные контракты, соглашения, дополнительные соглашения, соглашения </w:t>
        <w:br/>
        <w:t xml:space="preserve">о расторжении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(2022 год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647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2021 год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504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), в том чи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сле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заключены </w:t>
      </w:r>
      <w:r>
        <w:rPr>
          <w:rFonts w:ascii="Liberation Sans" w:hAnsi="Liberation Sans" w:eastAsia="Arial" w:cs="Liberation Sans"/>
          <w:color w:val="000000" w:themeColor="text1"/>
          <w:sz w:val="28"/>
          <w:szCs w:val="28"/>
          <w:highlight w:val="none"/>
        </w:rPr>
        <w:t xml:space="preserve">соглашения (договоры):</w:t>
      </w:r>
      <w:r>
        <w:rPr>
          <w:highlight w:val="none"/>
        </w:rPr>
      </w:r>
      <w:r/>
    </w:p>
    <w:p>
      <w:pPr>
        <w:pStyle w:val="1121"/>
        <w:ind w:firstLine="708"/>
        <w:jc w:val="both"/>
        <w:rPr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Arial" w:cs="Liberation Sans"/>
          <w:color w:val="auto"/>
          <w:sz w:val="28"/>
          <w:szCs w:val="28"/>
          <w:highlight w:val="none"/>
        </w:rPr>
        <w:t xml:space="preserve">на</w:t>
      </w:r>
      <w:r>
        <w:rPr>
          <w:rFonts w:ascii="Liberation Sans" w:hAnsi="Liberation Sans" w:eastAsia="Arial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Arial" w:cs="Liberation Sans"/>
          <w:color w:val="auto"/>
          <w:sz w:val="28"/>
          <w:szCs w:val="28"/>
          <w:highlight w:val="none"/>
        </w:rPr>
        <w:t xml:space="preserve">выполнение работ по разработке проектной документации </w:t>
        <w:br/>
        <w:t xml:space="preserve">и капитальному ремонт</w:t>
      </w:r>
      <w:r>
        <w:rPr>
          <w:rFonts w:ascii="Liberation Sans" w:hAnsi="Liberation Sans" w:eastAsia="Arial" w:cs="Liberation Sans"/>
          <w:color w:val="auto"/>
          <w:sz w:val="28"/>
          <w:szCs w:val="28"/>
          <w:highlight w:val="none"/>
        </w:rPr>
        <w:t xml:space="preserve">у объекта, расположенного по адресу: ЯНАО, </w:t>
        <w:br/>
        <w:t xml:space="preserve">г. Новый Уренгой, мкр. Тундровый, д. 6</w:t>
      </w:r>
      <w:r>
        <w:rPr>
          <w:rFonts w:ascii="Liberation Sans" w:hAnsi="Liberation Sans" w:eastAsia="Arial" w:cs="Liberation Sans"/>
          <w:color w:val="auto"/>
          <w:sz w:val="28"/>
          <w:szCs w:val="28"/>
          <w:highlight w:val="none"/>
        </w:rPr>
        <w:t xml:space="preserve">,</w:t>
      </w:r>
      <w:r>
        <w:rPr>
          <w:rFonts w:ascii="Liberation Sans" w:hAnsi="Liberation Sans" w:eastAsia="Arial" w:cs="Liberation Sans"/>
          <w:color w:val="auto"/>
          <w:sz w:val="28"/>
          <w:szCs w:val="28"/>
          <w:highlight w:val="none"/>
        </w:rPr>
        <w:t xml:space="preserve"> для размещения филиала Государственного фонда поддержки участников специальной военной операции «</w:t>
      </w:r>
      <w:r>
        <w:rPr>
          <w:rFonts w:ascii="Liberation Sans" w:hAnsi="Liberation Sans" w:eastAsia="Arial" w:cs="Liberation Sans"/>
          <w:color w:val="auto"/>
          <w:sz w:val="28"/>
          <w:szCs w:val="28"/>
          <w:highlight w:val="none"/>
        </w:rPr>
        <w:t xml:space="preserve">Защитники Отечества» (договор о</w:t>
      </w:r>
      <w:r>
        <w:rPr>
          <w:rFonts w:ascii="Liberation Sans" w:hAnsi="Liberation Sans" w:eastAsia="Arial" w:cs="Liberation Sans"/>
          <w:color w:val="auto"/>
          <w:sz w:val="28"/>
          <w:szCs w:val="28"/>
          <w:highlight w:val="none"/>
        </w:rPr>
        <w:t xml:space="preserve">т 03.05.2023 </w:t>
        <w:br/>
        <w:t xml:space="preserve">№ 12509-23/174-юр);</w:t>
      </w:r>
      <w:r>
        <w:rPr>
          <w:highlight w:val="none"/>
        </w:rPr>
      </w:r>
      <w:r/>
    </w:p>
    <w:p>
      <w:pPr>
        <w:pStyle w:val="1121"/>
        <w:ind w:firstLine="708"/>
        <w:jc w:val="both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на разработку проектной документации по объекту «Административное здание, корпус 2, мкр. Советский в г. Новый Уренгой» (договор от 30.05.2023 № 2385-23/222-юр)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121"/>
        <w:ind w:firstLine="708"/>
        <w:jc w:val="both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 выполнение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научно-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исследовательских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работ по теме: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«Разработка мастер-плана г. Новый Уренгой»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(договор от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23.06.2023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№ 6.12-20/230623-1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/262-юр)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;</w:t>
      </w:r>
      <w:r>
        <w:rPr>
          <w:highlight w:val="none"/>
        </w:rPr>
      </w:r>
      <w:r/>
    </w:p>
    <w:p>
      <w:pPr>
        <w:pStyle w:val="1121"/>
        <w:ind w:left="0" w:right="0" w:firstLine="708"/>
        <w:jc w:val="both"/>
        <w:rPr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проведении совместных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мероприятий при реализации пилотного проекта «Внедрение в городе Новый Уренгой системы 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автоматической фиксации и обработки нарушений в сфере благоустройства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«Ангел: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Административная комиссия»</w:t>
      </w:r>
      <w:r>
        <w:rPr>
          <w:rFonts w:ascii="Liberation Sans" w:hAnsi="Liberation Sans" w:cs="Liberation Sans"/>
          <w:color w:val="000000" w:themeColor="text1"/>
          <w:spacing w:val="-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(соглашение </w:t>
        <w:br/>
        <w:t xml:space="preserve">от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11.07.2023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№ 302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-юр);</w:t>
      </w:r>
      <w:r>
        <w:rPr>
          <w:highlight w:val="none"/>
        </w:rPr>
      </w:r>
      <w:r/>
    </w:p>
    <w:p>
      <w:pPr>
        <w:pStyle w:val="1121"/>
        <w:ind w:left="0" w:right="0" w:firstLine="708"/>
        <w:jc w:val="both"/>
        <w:rPr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 взаимодействии между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1a1a1a"/>
          <w:sz w:val="28"/>
          <w:szCs w:val="28"/>
          <w:highlight w:val="none"/>
        </w:rPr>
        <w:t xml:space="preserve">департаментом имущественных отношений Ямало-Ненецкого автономного округа и Администрацией города Новый Уренгой </w:t>
      </w:r>
      <w:r>
        <w:rPr>
          <w:rFonts w:ascii="Liberation Sans" w:hAnsi="Liberation Sans" w:cs="Liberation Sans"/>
          <w:color w:val="1a1a1a"/>
          <w:sz w:val="28"/>
          <w:szCs w:val="28"/>
          <w:highlight w:val="none"/>
        </w:rPr>
        <w:t xml:space="preserve">по вопросам использования тематической карты «Общественный земельный контроль» Единой картографической системы Ямало-Ненецкого авт</w:t>
      </w:r>
      <w:r>
        <w:rPr>
          <w:rFonts w:ascii="Liberation Sans" w:hAnsi="Liberation Sans" w:cs="Liberation Sans"/>
          <w:color w:val="1a1a1a"/>
          <w:sz w:val="28"/>
          <w:szCs w:val="28"/>
          <w:highlight w:val="none"/>
        </w:rPr>
        <w:t xml:space="preserve">ономного округа</w:t>
      </w:r>
      <w:r>
        <w:rPr>
          <w:rFonts w:ascii="Liberation Sans" w:hAnsi="Liberation Sans" w:cs="Liberation Sans"/>
          <w:color w:val="1a1a1a"/>
          <w:sz w:val="28"/>
          <w:szCs w:val="28"/>
          <w:highlight w:val="none"/>
        </w:rPr>
        <w:t xml:space="preserve"> (соглашение </w:t>
        <w:br/>
        <w:t xml:space="preserve">от 30.08.2023</w:t>
      </w:r>
      <w:r>
        <w:rPr>
          <w:rFonts w:ascii="Liberation Sans" w:hAnsi="Liberation Sans" w:cs="Liberation Sans"/>
          <w:color w:val="1a1a1a"/>
          <w:sz w:val="28"/>
          <w:szCs w:val="28"/>
          <w:highlight w:val="none"/>
        </w:rPr>
        <w:t xml:space="preserve"> № 465-юр).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Проведена 61 проверка при осуществлении закупок товаров, работ, услуг для нужд заказчиков.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0"/>
        <w:jc w:val="center"/>
        <w:spacing w:after="0" w:line="240" w:lineRule="auto"/>
        <w:tabs>
          <w:tab w:val="left" w:pos="390" w:leader="none"/>
        </w:tabs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drawing>
          <wp:inline distT="0" distB="0" distL="0" distR="0">
            <wp:extent cx="5471995" cy="2037412"/>
            <wp:effectExtent l="4762" t="4762" r="4762" b="4762"/>
            <wp:docPr id="79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  <w:r>
        <w:rPr>
          <w:highlight w:val="none"/>
        </w:rPr>
      </w:r>
      <w:r/>
    </w:p>
    <w:p>
      <w:pPr>
        <w:ind w:firstLine="0"/>
        <w:jc w:val="both"/>
        <w:spacing w:after="0" w:line="240" w:lineRule="auto"/>
        <w:tabs>
          <w:tab w:val="left" w:pos="390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tabs>
          <w:tab w:val="left" w:pos="390" w:leader="none"/>
        </w:tabs>
        <w:rPr>
          <w:rFonts w:ascii="Liberation Sans" w:hAnsi="Liberation Sans" w:cs="Liberation Sans"/>
          <w:color w:val="auto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Проверено 3 185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случаев осуществления закупок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2022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год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  <w:br/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4 226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2021 год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4 875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). Объем проверенных закупок составил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br/>
        <w:t xml:space="preserve">44 940,5 млн руб.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2022 год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5 977,1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млн руб.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2021 год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  <w:br/>
        <w:t xml:space="preserve">7 856,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0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млн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руб.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).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tabs>
          <w:tab w:val="left" w:pos="390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tabs>
          <w:tab w:val="left" w:pos="390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tabs>
          <w:tab w:val="left" w:pos="425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/>
      <w:bookmarkStart w:id="80" w:name="_Toc80"/>
      <w:r>
        <w:rPr>
          <w:rFonts w:ascii="Liberation Sans" w:hAnsi="Liberation Sans" w:cs="Liberation Sans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Представительство в судах, подготовка исков в защиту интересов муниципального образования</w:t>
      </w:r>
      <w:bookmarkEnd w:id="0"/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город Новый Уренгой</w:t>
      </w:r>
      <w:r>
        <w:rPr>
          <w:rFonts w:ascii="Liberation Sans" w:hAnsi="Liberation Sans" w:cs="Liberation Sans"/>
          <w:sz w:val="28"/>
          <w:szCs w:val="28"/>
        </w:rPr>
      </w:r>
      <w:bookmarkEnd w:id="80"/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both"/>
        <w:spacing w:before="0" w:beforeAutospacing="0" w:after="0" w:afterAutospacing="0" w:line="240" w:lineRule="auto"/>
        <w:tabs>
          <w:tab w:val="num" w:pos="709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tabs>
          <w:tab w:val="num" w:pos="709" w:leader="none"/>
        </w:tabs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2023 году 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целях защиты прав и интересов Администрации города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проведена исковая ра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бота в отношении 423 дел.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tabs>
          <w:tab w:val="num" w:pos="709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tabs>
          <w:tab w:val="num" w:pos="709" w:leader="none"/>
        </w:tabs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drawing>
          <wp:inline distT="0" distB="0" distL="0" distR="0">
            <wp:extent cx="5764552" cy="3038022"/>
            <wp:effectExtent l="4762" t="4762" r="4762" b="4762"/>
            <wp:docPr id="80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  <w:r>
        <w:rPr>
          <w:highlight w:val="none"/>
        </w:rPr>
      </w:r>
      <w:r/>
    </w:p>
    <w:p>
      <w:pPr>
        <w:pStyle w:val="1150"/>
        <w:ind w:firstLine="709"/>
        <w:widowControl w:val="off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SimSun" w:cs="Liberation Sans"/>
          <w:color w:val="000000" w:themeColor="text1"/>
          <w:sz w:val="28"/>
          <w:szCs w:val="28"/>
          <w:highlight w:val="none"/>
          <w:lang w:val="ru-RU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1150"/>
        <w:ind w:firstLine="709"/>
        <w:widowControl w:val="off"/>
        <w:rPr>
          <w:rFonts w:ascii="Liberation Sans" w:hAnsi="Liberation Sans" w:eastAsia="SimSun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SimSun" w:cs="Liberation Sans"/>
          <w:color w:val="000000" w:themeColor="text1"/>
          <w:sz w:val="28"/>
          <w:szCs w:val="28"/>
          <w:highlight w:val="none"/>
          <w:lang w:val="ru-RU"/>
        </w:rPr>
        <w:t xml:space="preserve">Определениями Салехардского городского суда Ямало-Ненец</w:t>
      </w:r>
      <w:r>
        <w:rPr>
          <w:rFonts w:ascii="Liberation Sans" w:hAnsi="Liberation Sans" w:eastAsia="SimSun" w:cs="Liberation Sans"/>
          <w:color w:val="000000" w:themeColor="text1"/>
          <w:sz w:val="28"/>
          <w:szCs w:val="28"/>
          <w:highlight w:val="none"/>
          <w:lang w:val="ru-RU"/>
        </w:rPr>
        <w:t xml:space="preserve">кого автономного округа по </w:t>
      </w:r>
      <w:r>
        <w:rPr>
          <w:rFonts w:ascii="Liberation Sans" w:hAnsi="Liberation Sans" w:eastAsia="SimSun" w:cs="Liberation Sans"/>
          <w:b w:val="0"/>
          <w:bCs w:val="0"/>
          <w:color w:val="000000" w:themeColor="text1"/>
          <w:sz w:val="28"/>
          <w:szCs w:val="28"/>
          <w:highlight w:val="none"/>
          <w:lang w:val="ru-RU"/>
        </w:rPr>
        <w:t xml:space="preserve">19</w:t>
      </w:r>
      <w:r>
        <w:rPr>
          <w:rFonts w:ascii="Liberation Sans" w:hAnsi="Liberation Sans" w:eastAsia="SimSun" w:cs="Liberation Sans"/>
          <w:b/>
          <w:bCs/>
          <w:color w:val="000000" w:themeColor="text1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eastAsia="SimSun" w:cs="Liberation Sans"/>
          <w:color w:val="000000" w:themeColor="text1"/>
          <w:sz w:val="28"/>
          <w:szCs w:val="28"/>
          <w:highlight w:val="none"/>
          <w:lang w:val="ru-RU"/>
        </w:rPr>
        <w:t xml:space="preserve">искам Администрации города Новый Уренгой к Межрайонному отделению судебных приставов </w:t>
        <w:br/>
        <w:t xml:space="preserve">по особым исполнител</w:t>
      </w:r>
      <w:r>
        <w:rPr>
          <w:rFonts w:ascii="Liberation Sans" w:hAnsi="Liberation Sans" w:eastAsia="SimSun" w:cs="Liberation Sans"/>
          <w:color w:val="000000" w:themeColor="text1"/>
          <w:sz w:val="28"/>
          <w:szCs w:val="28"/>
          <w:highlight w:val="none"/>
          <w:lang w:val="ru-RU"/>
        </w:rPr>
        <w:t xml:space="preserve">ьным производства</w:t>
      </w:r>
      <w:r>
        <w:rPr>
          <w:rFonts w:ascii="Liberation Sans" w:hAnsi="Liberation Sans" w:eastAsia="SimSun" w:cs="Liberation Sans"/>
          <w:color w:val="000000" w:themeColor="text1"/>
          <w:sz w:val="28"/>
          <w:szCs w:val="28"/>
          <w:highlight w:val="none"/>
          <w:lang w:val="ru-RU"/>
        </w:rPr>
        <w:t xml:space="preserve">м</w:t>
      </w:r>
      <w:r>
        <w:rPr>
          <w:rFonts w:ascii="Liberation Sans" w:hAnsi="Liberation Sans" w:eastAsia="SimSun" w:cs="Liberation Sans"/>
          <w:color w:val="000000" w:themeColor="text1"/>
          <w:sz w:val="28"/>
          <w:szCs w:val="28"/>
          <w:highlight w:val="none"/>
          <w:lang w:val="ru-RU"/>
        </w:rPr>
        <w:t xml:space="preserve"> УФССП</w:t>
      </w:r>
      <w:r>
        <w:rPr>
          <w:rFonts w:ascii="Liberation Sans" w:hAnsi="Liberation Sans" w:eastAsia="SimSun" w:cs="Liberation Sans"/>
          <w:color w:val="000000" w:themeColor="text1"/>
          <w:sz w:val="28"/>
          <w:szCs w:val="28"/>
          <w:highlight w:val="none"/>
          <w:lang w:val="ru-RU"/>
        </w:rPr>
        <w:t xml:space="preserve"> Рос</w:t>
      </w:r>
      <w:r>
        <w:rPr>
          <w:rFonts w:ascii="Liberation Sans" w:hAnsi="Liberation Sans" w:eastAsia="SimSun" w:cs="Liberation Sans"/>
          <w:color w:val="000000" w:themeColor="text1"/>
          <w:sz w:val="28"/>
          <w:szCs w:val="28"/>
          <w:highlight w:val="none"/>
          <w:lang w:val="ru-RU"/>
        </w:rPr>
        <w:t xml:space="preserve">сии по ЯНАО по оспариванию постановлений о взыскании исполнительского сбора </w:t>
        <w:br/>
        <w:t xml:space="preserve">в рамках</w:t>
      </w:r>
      <w:r>
        <w:rPr>
          <w:rFonts w:ascii="Liberation Sans" w:hAnsi="Liberation Sans" w:eastAsia="SimSun" w:cs="Liberation Sans"/>
          <w:color w:val="000000" w:themeColor="text1"/>
          <w:sz w:val="28"/>
          <w:szCs w:val="28"/>
          <w:highlight w:val="none"/>
          <w:lang w:val="ru-RU"/>
        </w:rPr>
        <w:t xml:space="preserve"> исполнительных производств на общую сумму </w:t>
      </w:r>
      <w:r>
        <w:rPr>
          <w:rFonts w:ascii="Liberation Sans" w:hAnsi="Liberation Sans" w:eastAsia="SimSun" w:cs="Liberation Sans"/>
          <w:b w:val="0"/>
          <w:bCs w:val="0"/>
          <w:color w:val="000000" w:themeColor="text1"/>
          <w:sz w:val="28"/>
          <w:szCs w:val="28"/>
          <w:highlight w:val="none"/>
          <w:lang w:val="ru-RU"/>
        </w:rPr>
        <w:t xml:space="preserve">950,0</w:t>
      </w:r>
      <w:r>
        <w:rPr>
          <w:rFonts w:ascii="Liberation Sans" w:hAnsi="Liberation Sans" w:eastAsia="SimSun" w:cs="Liberation Sans"/>
          <w:color w:val="000000" w:themeColor="text1"/>
          <w:sz w:val="28"/>
          <w:szCs w:val="28"/>
          <w:highlight w:val="none"/>
          <w:lang w:val="ru-RU"/>
        </w:rPr>
        <w:t xml:space="preserve"> тыс. руб. прекращены производства по делам в связи с отменой данных постановлений судебным приставом</w:t>
      </w:r>
      <w:r>
        <w:rPr>
          <w:rFonts w:ascii="Liberation Sans" w:hAnsi="Liberation Sans" w:eastAsia="SimSun" w:cs="Liberation Sans"/>
          <w:color w:val="000000" w:themeColor="text1"/>
          <w:sz w:val="28"/>
          <w:szCs w:val="28"/>
          <w:highlight w:val="none"/>
          <w:lang w:val="ru-RU"/>
        </w:rPr>
        <w:t xml:space="preserve">-и</w:t>
      </w:r>
      <w:r>
        <w:rPr>
          <w:rFonts w:ascii="Liberation Sans" w:hAnsi="Liberation Sans" w:eastAsia="SimSun" w:cs="Liberation Sans"/>
          <w:color w:val="000000" w:themeColor="text1"/>
          <w:sz w:val="28"/>
          <w:szCs w:val="28"/>
          <w:highlight w:val="none"/>
          <w:lang w:val="ru-RU"/>
        </w:rPr>
        <w:t xml:space="preserve">сполнителем до судебного заседания. </w:t>
      </w:r>
      <w:r>
        <w:rPr>
          <w:rFonts w:ascii="Liberation Sans" w:hAnsi="Liberation Sans" w:eastAsia="SimSun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1150"/>
        <w:ind w:firstLine="709"/>
        <w:widowControl w:val="off"/>
        <w:rPr>
          <w:highlight w:val="none"/>
        </w:rPr>
      </w:pPr>
      <w:r>
        <w:rPr>
          <w:rFonts w:ascii="Liberation Sans" w:hAnsi="Liberation Sans" w:eastAsia="SimSun" w:cs="Liberation Sans"/>
          <w:color w:val="000000" w:themeColor="text1"/>
          <w:sz w:val="28"/>
          <w:szCs w:val="28"/>
          <w:highlight w:val="none"/>
          <w:lang w:val="ru-RU"/>
        </w:rPr>
        <w:t xml:space="preserve">Решением </w:t>
      </w:r>
      <w:r>
        <w:rPr>
          <w:rFonts w:ascii="Liberation Sans" w:hAnsi="Liberation Sans" w:eastAsia="SimSun" w:cs="Liberation Sans"/>
          <w:color w:val="000000" w:themeColor="text1"/>
          <w:sz w:val="28"/>
          <w:szCs w:val="28"/>
          <w:highlight w:val="none"/>
          <w:lang w:val="ru-RU"/>
        </w:rPr>
        <w:t xml:space="preserve">Салехардского городского суда Ямало-Ненецкого автономного округа</w:t>
      </w:r>
      <w:r>
        <w:rPr>
          <w:rFonts w:ascii="Liberation Sans" w:hAnsi="Liberation Sans" w:eastAsia="SimSun" w:cs="Liberation Sans"/>
          <w:color w:val="000000" w:themeColor="text1"/>
          <w:sz w:val="28"/>
          <w:szCs w:val="28"/>
          <w:highlight w:val="none"/>
          <w:lang w:val="ru-RU"/>
        </w:rPr>
        <w:t xml:space="preserve"> от 18.10.2023 по</w:t>
      </w:r>
      <w:r>
        <w:rPr>
          <w:rFonts w:ascii="Liberation Sans" w:hAnsi="Liberation Sans" w:eastAsia="SimSun" w:cs="Liberation Sans"/>
          <w:b w:val="0"/>
          <w:bCs w:val="0"/>
          <w:color w:val="000000" w:themeColor="text1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eastAsia="SimSun" w:cs="Liberation Sans"/>
          <w:b w:val="0"/>
          <w:bCs w:val="0"/>
          <w:color w:val="000000" w:themeColor="text1"/>
          <w:sz w:val="28"/>
          <w:szCs w:val="28"/>
          <w:highlight w:val="none"/>
          <w:lang w:val="ru-RU"/>
        </w:rPr>
        <w:t xml:space="preserve">1</w:t>
      </w:r>
      <w:r>
        <w:rPr>
          <w:rFonts w:ascii="Liberation Sans" w:hAnsi="Liberation Sans" w:eastAsia="SimSun" w:cs="Liberation Sans"/>
          <w:b w:val="0"/>
          <w:bCs w:val="0"/>
          <w:color w:val="000000" w:themeColor="text1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eastAsia="SimSun" w:cs="Liberation Sans"/>
          <w:b w:val="0"/>
          <w:bCs w:val="0"/>
          <w:color w:val="000000" w:themeColor="text1"/>
          <w:sz w:val="28"/>
          <w:szCs w:val="28"/>
          <w:highlight w:val="none"/>
          <w:lang w:val="ru-RU"/>
        </w:rPr>
        <w:t xml:space="preserve">заяв</w:t>
      </w:r>
      <w:r>
        <w:rPr>
          <w:rFonts w:ascii="Liberation Sans" w:hAnsi="Liberation Sans" w:eastAsia="SimSun" w:cs="Liberation Sans"/>
          <w:color w:val="000000" w:themeColor="text1"/>
          <w:sz w:val="28"/>
          <w:szCs w:val="28"/>
          <w:highlight w:val="none"/>
          <w:lang w:val="ru-RU"/>
        </w:rPr>
        <w:t xml:space="preserve">лению Администрации города Новый Уренгой об уменьшении исполнительского сбора </w:t>
        <w:br/>
        <w:t xml:space="preserve">по исполнительному производству сбор уменьшен с 50,0 тыс. руб. </w:t>
        <w:br/>
        <w:t xml:space="preserve">до</w:t>
      </w:r>
      <w:r>
        <w:rPr>
          <w:rFonts w:ascii="Liberation Sans" w:hAnsi="Liberation Sans" w:eastAsia="SimSun" w:cs="Liberation Sans"/>
          <w:b w:val="0"/>
          <w:bCs w:val="0"/>
          <w:color w:val="000000" w:themeColor="text1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eastAsia="SimSun" w:cs="Liberation Sans"/>
          <w:b w:val="0"/>
          <w:bCs w:val="0"/>
          <w:color w:val="000000" w:themeColor="text1"/>
          <w:sz w:val="28"/>
          <w:szCs w:val="28"/>
          <w:highlight w:val="none"/>
          <w:lang w:val="ru-RU"/>
        </w:rPr>
        <w:t xml:space="preserve">37,5 тыс.</w:t>
      </w:r>
      <w:r>
        <w:rPr>
          <w:rFonts w:ascii="Liberation Sans" w:hAnsi="Liberation Sans" w:eastAsia="SimSun" w:cs="Liberation Sans"/>
          <w:b/>
          <w:bCs/>
          <w:color w:val="000000" w:themeColor="text1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eastAsia="SimSun" w:cs="Liberation Sans"/>
          <w:color w:val="000000" w:themeColor="text1"/>
          <w:sz w:val="28"/>
          <w:szCs w:val="28"/>
          <w:highlight w:val="none"/>
          <w:lang w:val="ru-RU"/>
        </w:rPr>
        <w:t xml:space="preserve">руб. </w:t>
      </w:r>
      <w:r>
        <w:rPr>
          <w:highlight w:val="none"/>
        </w:rPr>
      </w:r>
      <w:r/>
    </w:p>
    <w:p>
      <w:pPr>
        <w:pStyle w:val="1150"/>
        <w:ind w:firstLine="709"/>
        <w:widowControl w:val="off"/>
        <w:rPr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eastAsia="SimSun" w:cs="Liberation Sans"/>
          <w:color w:val="000000" w:themeColor="text1"/>
          <w:sz w:val="28"/>
          <w:szCs w:val="28"/>
          <w:highlight w:val="none"/>
          <w:lang w:val="ru-RU"/>
        </w:rPr>
        <w:t xml:space="preserve">В рамках претензионной и судебной работы по делам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взыскании компенсации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морального вреда, причиненного на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падением и укусами безнадзорн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ых животных, 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о искам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рокурора города Новый Уренгой </w:t>
        <w:br/>
        <w:t xml:space="preserve">с Администрации города Новый Уренгой взыскано 155,0 тыс. руб. </w:t>
        <w:br/>
        <w:t xml:space="preserve">из заявленных 220,0 тыс. руб.</w:t>
      </w:r>
      <w:r>
        <w:rPr>
          <w:highlight w:val="none"/>
        </w:rPr>
      </w:r>
      <w:r/>
    </w:p>
    <w:p>
      <w:pPr>
        <w:pStyle w:val="1150"/>
        <w:ind w:firstLine="709"/>
        <w:widowControl w:val="off"/>
        <w:rPr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Гражданами подан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  <w:lang w:val="ru-RU"/>
        </w:rPr>
        <w:t xml:space="preserve">12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 заявлений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в Новоуренгойский городской суд,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рбитражный суд по ЯНАО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 о взыскании с Администрации города Новый Уренгой судебных расходов по делам о призна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нии права пользования жилыми помещениями на условиях договора социального найма (ул. Северная коммунальная зона, д. 13) на общую сумму </w:t>
        <w:br/>
        <w:t xml:space="preserve">2 524,1 тыс. руб. Решениям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Новоуренгойского городского суда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рбитражного суд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а по ЯНАО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данные заявления удовлетворены частично в размере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  <w:lang w:val="ru-RU"/>
        </w:rPr>
        <w:t xml:space="preserve">1 886,3 тыс.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  <w:lang w:val="ru-RU"/>
        </w:rPr>
        <w:t xml:space="preserve"> р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val="ru-RU"/>
        </w:rPr>
        <w:t xml:space="preserve">уб.</w:t>
      </w:r>
      <w:r>
        <w:rPr>
          <w:highlight w:val="none"/>
        </w:rPr>
        <w:t xml:space="preserve"> </w:t>
      </w:r>
      <w:r>
        <w:rPr>
          <w:highlight w:val="none"/>
        </w:rPr>
      </w:r>
      <w:r/>
    </w:p>
    <w:p>
      <w:pPr>
        <w:ind w:firstLine="708"/>
        <w:jc w:val="both"/>
        <w:spacing w:after="0" w:line="240" w:lineRule="auto"/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рамках исполнительных производств, возбужденных </w:t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отделении судебных приставов УФССП России по ЯНАО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</w:t>
        <w:br/>
        <w:t xml:space="preserve">в отношении Администрации город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Новый Уренгой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в 2023 году подано в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Новоуренгойский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городской суд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24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заявления об отсроч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ке исполнения решений суда и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17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частных жалоб в вышестоящую инстанцию </w:t>
        <w:br/>
        <w:t xml:space="preserve">на определения суда об отказе в предоставлении отсрочек </w:t>
        <w:br/>
        <w:t xml:space="preserve">по заявлениям Администрации города Новый Уренгой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tabs>
          <w:tab w:val="num" w:pos="709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/>
      <w:bookmarkStart w:id="81" w:name="_Toc81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 Информ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ационная политика </w:t>
      </w:r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br/>
        <w:t xml:space="preserve">Администрации города Новый Уренгой</w:t>
      </w:r>
      <w:bookmarkEnd w:id="0"/>
      <w:r/>
      <w:bookmarkEnd w:id="81"/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18"/>
        <w:ind w:firstLine="709"/>
        <w:jc w:val="both"/>
        <w:spacing w:after="0" w:afterAutospacing="0" w:line="240" w:lineRule="auto"/>
        <w:rPr>
          <w:highlight w:val="none"/>
        </w:rPr>
      </w:pPr>
      <w:r>
        <w:rPr>
          <w:sz w:val="28"/>
          <w:szCs w:val="28"/>
          <w:highlight w:val="none"/>
        </w:rPr>
        <w:t xml:space="preserve">Информационная политика Администр</w:t>
      </w:r>
      <w:r>
        <w:rPr>
          <w:sz w:val="28"/>
          <w:szCs w:val="28"/>
          <w:highlight w:val="none"/>
        </w:rPr>
        <w:t xml:space="preserve">ации города Новый Уренгой направлена на информационное сопровождение деятельности Главы города Новый Уренгой, </w:t>
      </w:r>
      <w:r>
        <w:rPr>
          <w:rFonts w:ascii="Liberation Sans" w:hAnsi="Liberation Sans" w:eastAsia="PT Astra Serif" w:cs="Liberation Sans"/>
          <w:b w:val="0"/>
          <w:bCs w:val="0"/>
          <w:sz w:val="28"/>
          <w:szCs w:val="28"/>
          <w:highlight w:val="none"/>
        </w:rPr>
        <w:t xml:space="preserve">органов местного самоуправления</w:t>
      </w:r>
      <w:r>
        <w:rPr>
          <w:sz w:val="28"/>
          <w:szCs w:val="28"/>
          <w:highlight w:val="none"/>
        </w:rPr>
        <w:t xml:space="preserve"> муниципального образования, информационную поддержку городских мероприятий, обеспечение обратной связи с населением города Новый Уренгой.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auto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Традиционным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источнико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информации остается официальный сайт муни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ципального образования город Новый Уренгой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nur.yanao.ru.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br/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2023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году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количество посещений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сайта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оставило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4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68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тыс.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(2022 год - 492 тыс. посещений,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2021 год 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364,4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тыс. 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осещений).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азмещено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2,0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тыс.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 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материалов,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1,7 тыс. пресс-релизов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auto"/>
          <w:highlight w:val="none"/>
        </w:rPr>
      </w:r>
      <w:r/>
    </w:p>
    <w:p>
      <w:pPr>
        <w:ind w:firstLine="709"/>
        <w:jc w:val="both"/>
        <w:spacing w:after="0" w:line="240" w:lineRule="auto"/>
        <w:tabs>
          <w:tab w:val="center" w:pos="4677" w:leader="none"/>
          <w:tab w:val="center" w:pos="4677" w:leader="none"/>
          <w:tab w:val="left" w:pos="6191" w:leader="none"/>
        </w:tabs>
        <w:rPr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 постоянн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ой основе на федерально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платформе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  <w:rtl w:val="0"/>
        </w:rPr>
        <w:t xml:space="preserve">«</w:t>
      </w:r>
      <w:r>
        <w:rPr>
          <w:rFonts w:ascii="Liberation Sans" w:hAnsi="Liberation Sans" w:eastAsia="PT Astra Serif" w:cs="Liberation Sans"/>
          <w:color w:val="000000" w:themeColor="text1"/>
          <w:sz w:val="28"/>
          <w:szCs w:val="28"/>
          <w:highlight w:val="none"/>
          <w:rtl w:val="0"/>
        </w:rPr>
        <w:t xml:space="preserve">Система распределения контента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размещались пресс-релизы о реализации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приоритетных национальных проектов в Новом Уренгое. Опубликовано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1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27 ма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териалов. </w:t>
      </w:r>
      <w:r>
        <w:rPr>
          <w:highlight w:val="none"/>
        </w:rPr>
      </w:r>
      <w:r/>
    </w:p>
    <w:p>
      <w:pPr>
        <w:ind w:firstLine="709"/>
        <w:jc w:val="both"/>
        <w:spacing w:after="0" w:line="240" w:lineRule="auto"/>
        <w:tabs>
          <w:tab w:val="center" w:pos="4677" w:leader="none"/>
          <w:tab w:val="center" w:pos="4677" w:leader="none"/>
          <w:tab w:val="left" w:pos="6191" w:leader="none"/>
        </w:tabs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Велось информационное сопровождение проектов #грантыотгубернатора, «Герои Ямала». 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дним из эффективн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ых вариантов взаимодействия с населением являются социальные сети. На официальных страницах Главы города и Администрации города публиковались актуальные новости, которые сопровождались фотографиями.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b w:val="0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бщий охват подписчиков официальных аккаунтов Администрации города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2023 году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состави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33,8 ты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с. человек </w:t>
        <w:br/>
        <w:t xml:space="preserve">(2022 год - 25,8 тыс. человек)</w:t>
      </w:r>
      <w:r>
        <w:rPr>
          <w:rFonts w:ascii="Liberation Sans" w:hAnsi="Liberation Sans" w:eastAsia="Liberation Serif" w:cs="Liberation Sans"/>
          <w:b w:val="0"/>
          <w:sz w:val="28"/>
          <w:szCs w:val="28"/>
          <w:highlight w:val="none"/>
          <w:rtl w:val="0"/>
        </w:rPr>
        <w:t xml:space="preserve">.</w:t>
      </w:r>
      <w:r>
        <w:rPr>
          <w:rFonts w:ascii="Liberation Sans" w:hAnsi="Liberation Sans" w:cs="Liberation Sans"/>
          <w:b w:val="0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auto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Количество подписчиков аккаунта Администрации города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в сети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«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ВКонтакте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за год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увеличилось на 26,4% и составило </w:t>
        <w:br/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22,1 тыс. человек.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Средний просмотр паблика в день составил </w:t>
        <w:br/>
        <w:t xml:space="preserve">97,0 тыс. раз.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rtl w:val="0"/>
        </w:rPr>
        <w:t xml:space="preserve">Ежедневно осуществлялся контент-анализ печатных и электронных СМИ Нового Уренгоя, велась работа по поиску респондентов по запрашиваемым темам от СМИ, организации пресс-конференций и брифингов. 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color w:val="auto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  <w:rtl w:val="0"/>
        </w:rPr>
        <w:t xml:space="preserve">Осуществлялась работа в системе </w:t>
      </w:r>
      <w:r>
        <w:rPr>
          <w:rFonts w:ascii="Liberation Sans" w:hAnsi="Liberation Sans" w:cs="Liberation Sans"/>
          <w:sz w:val="28"/>
          <w:szCs w:val="28"/>
          <w:highlight w:val="none"/>
          <w:rtl w:val="0"/>
        </w:rPr>
        <w:t xml:space="preserve">«</w:t>
      </w:r>
      <w:r>
        <w:rPr>
          <w:rFonts w:ascii="Liberation Sans" w:hAnsi="Liberation Sans" w:cs="Liberation Sans"/>
          <w:sz w:val="28"/>
          <w:szCs w:val="28"/>
          <w:highlight w:val="none"/>
          <w:rtl w:val="0"/>
        </w:rPr>
        <w:t xml:space="preserve">Госпаблики</w:t>
      </w:r>
      <w:r>
        <w:rPr>
          <w:rFonts w:ascii="Liberation Sans" w:hAnsi="Liberation Sans" w:cs="Liberation Sans"/>
          <w:sz w:val="28"/>
          <w:szCs w:val="28"/>
          <w:highlight w:val="none"/>
          <w:rtl w:val="0"/>
        </w:rPr>
        <w:t xml:space="preserve">»</w:t>
      </w:r>
      <w:r>
        <w:rPr>
          <w:rFonts w:ascii="Liberation Sans" w:hAnsi="Liberation Sans" w:cs="Liberation Sans"/>
          <w:sz w:val="28"/>
          <w:szCs w:val="28"/>
          <w:highlight w:val="none"/>
          <w:rtl w:val="0"/>
        </w:rPr>
        <w:t xml:space="preserve">, поддержка федеральной повестки, взаимодействие с ЦУР, с администраторами </w:t>
      </w:r>
      <w:r>
        <w:rPr>
          <w:rFonts w:ascii="Liberation Sans" w:hAnsi="Liberation Sans" w:cs="Liberation Sans"/>
          <w:sz w:val="28"/>
          <w:szCs w:val="28"/>
          <w:highlight w:val="none"/>
          <w:rtl w:val="0"/>
        </w:rPr>
        <w:t xml:space="preserve">официальных пабликов муниципальных учреждений (школы, детские сады, учреждения дополнительного образования, спорта, молодежи и культуры и пр.) и органов Администрации города. П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ресс-служба является куратором по работе в системе «Госпаблики» учреждений го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рода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(86 пабликов/учреждений)</w:t>
      </w:r>
      <w:r>
        <w:rPr>
          <w:rFonts w:ascii="Liberation Sans" w:hAnsi="Liberation Sans" w:cs="Liberation Sans"/>
          <w:color w:val="auto"/>
          <w:highlight w:val="none"/>
        </w:rPr>
        <w:t xml:space="preserve">.</w:t>
      </w:r>
      <w:r>
        <w:rPr>
          <w:rFonts w:ascii="Liberation Sans" w:hAnsi="Liberation Sans" w:cs="Liberation Sans"/>
          <w:color w:val="auto"/>
          <w:highlight w:val="none"/>
        </w:rPr>
      </w:r>
      <w:r/>
    </w:p>
    <w:p>
      <w:pPr>
        <w:ind w:firstLine="709"/>
        <w:jc w:val="both"/>
        <w:spacing w:after="0" w:line="240" w:lineRule="auto"/>
        <w:tabs>
          <w:tab w:val="center" w:pos="4677" w:leader="none"/>
          <w:tab w:val="left" w:pos="6191" w:leader="none"/>
        </w:tabs>
        <w:rPr>
          <w:rFonts w:ascii="Liberation Sans" w:hAnsi="Liberation Sans" w:eastAsia="Liberation Serif" w:cs="Liberation Sans"/>
          <w:b w:val="0"/>
          <w:bCs w:val="0"/>
          <w:color w:val="auto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b w:val="0"/>
          <w:color w:val="auto"/>
          <w:sz w:val="28"/>
          <w:szCs w:val="28"/>
          <w:highlight w:val="none"/>
          <w:rtl w:val="0"/>
        </w:rPr>
        <w:t xml:space="preserve">Продолжена реализация проекта «ЯмалКлик».</w:t>
      </w:r>
      <w:r>
        <w:rPr>
          <w:rFonts w:ascii="Liberation Sans" w:hAnsi="Liberation Sans" w:cs="Liberation Sans"/>
          <w:color w:val="auto"/>
          <w:highlight w:val="none"/>
        </w:rPr>
        <w:t xml:space="preserve"> </w:t>
      </w:r>
      <w:r>
        <w:rPr>
          <w:rFonts w:ascii="Liberation Sans" w:hAnsi="Liberation Sans" w:eastAsia="PT Astra Serif" w:cs="Liberation Sans"/>
          <w:color w:val="auto"/>
          <w:sz w:val="28"/>
          <w:szCs w:val="28"/>
          <w:highlight w:val="none"/>
        </w:rPr>
        <w:t xml:space="preserve">Проведены мастер-классы, лекции, охват - 120 человек</w:t>
      </w:r>
      <w:r>
        <w:rPr>
          <w:rFonts w:ascii="Liberation Sans" w:hAnsi="Liberation Sans" w:cs="Liberation Sans"/>
          <w:color w:val="auto"/>
          <w:highlight w:val="none"/>
        </w:rPr>
        <w:t xml:space="preserve">.</w:t>
      </w:r>
      <w:r>
        <w:rPr>
          <w:rFonts w:ascii="Liberation Sans" w:hAnsi="Liberation Sans" w:eastAsia="Liberation Serif" w:cs="Liberation Sans"/>
          <w:b w:val="0"/>
          <w:bCs w:val="0"/>
          <w:color w:val="auto"/>
          <w:sz w:val="28"/>
          <w:szCs w:val="28"/>
          <w:highlight w:val="none"/>
        </w:rPr>
      </w:r>
      <w:r/>
    </w:p>
    <w:p>
      <w:pPr>
        <w:ind w:firstLine="708"/>
        <w:jc w:val="both"/>
        <w:spacing w:after="0" w:afterAutospacing="0" w:line="240" w:lineRule="auto"/>
        <w:shd w:val="clear" w:color="ffffff" w:fill="ffffff"/>
        <w:rPr>
          <w:rFonts w:ascii="Liberation Sans" w:hAnsi="Liberation Sans" w:cs="Liberation Sans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В рамках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оказания содействия в реализации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регионального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социально-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медийного проекта «Герои Ямала»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 подготовлены программы визит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ов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 для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8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героев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 (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Мурзи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н В.В., журналист, поэт, автор песен о Новом Уренгое;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Леб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едева И.Г., участковый терапевт </w:t>
        <w:br/>
        <w:t xml:space="preserve">с 30-летним стажем;</w:t>
      </w:r>
      <w:r>
        <w:rPr>
          <w:b w:val="0"/>
          <w:bCs w:val="0"/>
          <w:highlight w:val="none"/>
        </w:rPr>
        <w:t xml:space="preserve">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Шва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рц Г.Р., ветеран газовой промышленности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;</w:t>
      </w:r>
      <w:r>
        <w:rPr>
          <w:b w:val="0"/>
          <w:bCs w:val="0"/>
          <w:highlight w:val="none"/>
        </w:rPr>
        <w:t xml:space="preserve">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Т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агильцев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 А.П., принимал участие в строительстве первого деревянного аэропорта в Новом Уренгое;</w:t>
      </w:r>
      <w:r>
        <w:rPr>
          <w:b w:val="0"/>
          <w:bCs w:val="0"/>
          <w:highlight w:val="none"/>
        </w:rPr>
        <w:t xml:space="preserve">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Мер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лушкин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а Г.В.,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педагог, председатель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Совета Тюменской региональной общественной организации «Новоуренгойское землячество»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;</w:t>
      </w:r>
      <w:r>
        <w:rPr>
          <w:b w:val="0"/>
          <w:bCs w:val="0"/>
          <w:highlight w:val="none"/>
        </w:rPr>
        <w:t xml:space="preserve"> 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Уж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егов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 И.Г., участник первого десанта 1973 года, водитель первой головной машины – гусеничного транспортёра ГТ-Т;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 Шест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аков А.П., маркшейдер, встречал первый десант 23 декабря 1973 года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;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 Ж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олудев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а М.А., более 30 лет работала в поч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товом отделении района Коротчаево</w:t>
      </w:r>
      <w:r>
        <w:rPr>
          <w:rFonts w:ascii="Liberation Sans" w:hAnsi="Liberation Sans" w:eastAsia="Roboto" w:cs="Liberation Sans"/>
          <w:b w:val="0"/>
          <w:bCs w:val="0"/>
          <w:color w:val="000000"/>
          <w:sz w:val="28"/>
          <w:szCs w:val="28"/>
          <w:highlight w:val="none"/>
        </w:rPr>
        <w:t xml:space="preserve">).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21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946"/>
        <w:numPr>
          <w:ilvl w:val="2"/>
          <w:numId w:val="2"/>
        </w:numPr>
        <w:ind w:left="0" w:firstLine="0"/>
        <w:jc w:val="center"/>
        <w:spacing w:before="0" w:beforeAutospacing="0" w:after="0" w:afterAutospacing="0" w:line="240" w:lineRule="auto"/>
        <w:tabs>
          <w:tab w:val="left" w:pos="992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/>
      <w:bookmarkStart w:id="82" w:name="_Toc82"/>
      <w:r>
        <w:rPr>
          <w:rFonts w:ascii="Liberation Sans" w:hAnsi="Liberation Sans" w:cs="Liberation Sans"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bookmarkStart w:id="0" w:name="undefined"/>
      <w:r>
        <w:rPr>
          <w:rStyle w:val="947"/>
          <w:rFonts w:ascii="Liberation Sans" w:hAnsi="Liberation Sans" w:cs="Liberation Sans"/>
          <w:b/>
          <w:bCs/>
          <w:sz w:val="28"/>
          <w:szCs w:val="28"/>
        </w:rPr>
        <w:t xml:space="preserve">Социально-экономическое самочувствие жителей</w:t>
      </w:r>
      <w:bookmarkEnd w:id="0"/>
      <w:r>
        <w:rPr>
          <w:rFonts w:ascii="Liberation Sans" w:hAnsi="Liberation Sans" w:cs="Liberation Sans"/>
          <w:sz w:val="28"/>
          <w:szCs w:val="28"/>
        </w:rPr>
      </w:r>
      <w:bookmarkEnd w:id="82"/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both"/>
        <w:spacing w:before="0" w:beforeAutospacing="0" w:after="0" w:afterAutospacing="0" w:line="240" w:lineRule="auto"/>
        <w:tabs>
          <w:tab w:val="left" w:pos="1276" w:leader="none"/>
        </w:tabs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Эффективная работа орг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анов местного самоуправления невозможн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 б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ез оценки населением проводимой на территории муниципального образования политики.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202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 году организовано и проведено 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социологических исследований,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опрошен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4 337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человек (2022 год - 10 исследований, </w:t>
        <w:br/>
        <w:t xml:space="preserve">5 748 опрошенных,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год 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10 исследований,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6 1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92 опрошенных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Деятельность органов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местного самоуправления в 202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году опреде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лили как удовлетворительную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75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спондент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ов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(2022 год - 75%,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2021 год - 74%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83" w:lineRule="atLeast"/>
        <w:tabs>
          <w:tab w:val="left" w:pos="709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 w:eastAsiaTheme="minorHAnsi"/>
          <w:sz w:val="28"/>
          <w:szCs w:val="28"/>
          <w:highlight w:val="none"/>
          <w:lang w:eastAsia="en-US"/>
        </w:rPr>
        <w:t xml:space="preserve">В целом 87% опрошенных довольны положением дел 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  <w:lang w:eastAsia="en-US"/>
        </w:rPr>
        <w:t xml:space="preserve">в городе, 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  <w:lang w:eastAsia="en-US"/>
        </w:rPr>
        <w:t xml:space="preserve">недовольны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- 11%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2022 год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довольны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76%, </w:t>
      </w:r>
      <w:r>
        <w:rPr>
          <w:rFonts w:ascii="Liberation Sans" w:hAnsi="Liberation Sans" w:cs="Liberation Sans" w:eastAsiaTheme="minorHAnsi"/>
          <w:sz w:val="28"/>
          <w:szCs w:val="28"/>
          <w:highlight w:val="none"/>
          <w:lang w:eastAsia="en-US"/>
        </w:rPr>
        <w:t xml:space="preserve">недовольны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14%, </w:t>
        <w:br/>
        <w:t xml:space="preserve">20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21 год - довольны 71%, </w:t>
      </w:r>
      <w:r>
        <w:rPr>
          <w:rFonts w:ascii="Liberation Sans" w:hAnsi="Liberation Sans" w:cs="Liberation Sans" w:eastAsiaTheme="minorHAnsi"/>
          <w:color w:val="000000" w:themeColor="text1"/>
          <w:sz w:val="28"/>
          <w:szCs w:val="28"/>
          <w:highlight w:val="none"/>
          <w:lang w:eastAsia="en-US"/>
        </w:rPr>
        <w:t xml:space="preserve">недовольны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27%).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При оценке общей ситуации в Новом Уренгое преобладают положительные высказывания: 65%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респондентов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указали,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что есть отдельные проблемы, но в целом ситуация стабильная; </w:t>
        <w:br/>
        <w:t xml:space="preserve">25%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респондентов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отметили,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что обстановка в город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е нормальная. </w:t>
        <w:br/>
        <w:t xml:space="preserve">4% респондентов отметили ситуацию как «тяжёлая».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  <w:spacing w:after="0" w:afterAutospacing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drawing>
          <wp:inline distT="0" distB="0" distL="0" distR="0">
            <wp:extent cx="5964574" cy="2231469"/>
            <wp:effectExtent l="4762" t="4762" r="4762" b="4762"/>
            <wp:docPr id="81" name="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right="-284"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ind w:right="-284" w:firstLine="708"/>
        <w:jc w:val="both"/>
        <w:spacing w:after="0" w:line="240" w:lineRule="auto"/>
        <w:rPr>
          <w:rFonts w:ascii="Liberation Sans" w:hAnsi="Liberation Sans" w:cs="Liberation Sans"/>
          <w:color w:val="auto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 оценке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горожан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ами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отдельных направлений деятельности Администрации города по 5-балльной шкале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средний балл по всем направлениям остался на уровне 2022 года и составил 3,8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 </w:t>
        <w:br/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Рост </w:t>
      </w:r>
      <w:r>
        <w:rPr>
          <w:rFonts w:ascii="Liberation Sans" w:hAnsi="Liberation Sans" w:cs="Liberation Sans"/>
          <w:bCs/>
          <w:sz w:val="28"/>
          <w:szCs w:val="28"/>
          <w:highlight w:val="none"/>
        </w:rPr>
        <w:t xml:space="preserve">по сравнению с 2022 годом произошел по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направлениям: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решение жилищной проблемы (с 3,3 до 3,5)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социальная поддержка населения </w:t>
        <w:br/>
        <w:t xml:space="preserve">(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с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3,3 до 3,4), торговля (с 3,8 до 3,9)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bCs/>
          <w:color w:val="auto"/>
          <w:sz w:val="28"/>
          <w:szCs w:val="28"/>
          <w:highlight w:val="none"/>
        </w:rPr>
        <w:t xml:space="preserve">Значительное снижение произошло по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направлени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ю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развитие физкультуры и спорта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(с 4,2 до 3,9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)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услуги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общественно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го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питани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я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(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с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 4,0 до 3,8)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auto"/>
          <w:sz w:val="28"/>
          <w:szCs w:val="28"/>
          <w:highlight w:val="none"/>
          <w14:ligatures w14:val="none"/>
        </w:rPr>
      </w:r>
      <w:r/>
    </w:p>
    <w:p>
      <w:pPr>
        <w:ind w:right="-284"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Говоря о внешнем облике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муниципального образования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85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 респондентов отметили, что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город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изменился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лучшую сторону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8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дан ответ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«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ничего не изменилось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»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3%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отметили, что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город изменился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 худшую сторону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pStyle w:val="1133"/>
        <w:ind w:firstLine="709"/>
        <w:jc w:val="both"/>
        <w:spacing w:after="0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33"/>
        <w:jc w:val="center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drawing>
          <wp:inline distT="0" distB="0" distL="0" distR="0">
            <wp:extent cx="5753097" cy="2285998"/>
            <wp:effectExtent l="3175" t="3175" r="3175" b="3175"/>
            <wp:docPr id="82" name="Диаграмма 52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pStyle w:val="1133"/>
        <w:jc w:val="center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drawing>
          <wp:inline distT="0" distB="0" distL="0" distR="0">
            <wp:extent cx="5766131" cy="2525085"/>
            <wp:effectExtent l="3175" t="3175" r="3175" b="3175"/>
            <wp:docPr id="83" name="Диаграмма 48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По данным ежегодного мониторинга «Изучение общественного мнения по организации обеспечения общественного порядка </w:t>
        <w:br/>
        <w:t xml:space="preserve">в муниципальном образовании город Новый Уренгой» респонденты оценили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криминогенную ситуацию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в городе как стабильную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drawing>
          <wp:inline distT="0" distB="0" distL="0" distR="0">
            <wp:extent cx="5487443" cy="2632663"/>
            <wp:effectExtent l="3175" t="3175" r="3175" b="3175"/>
            <wp:docPr id="84" name="Диаграмма 52" hidden="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  <w:r>
        <w:rPr>
          <w:rFonts w:ascii="Liberation Sans" w:hAnsi="Liberation Sans" w:cs="Liberation Sans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sz w:val="28"/>
          <w:szCs w:val="28"/>
          <w:highlight w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Деятельность правоохранительных органов позитивно оценили </w:t>
      </w:r>
      <w:r>
        <w:rPr>
          <w:rFonts w:ascii="Liberation Sans" w:hAnsi="Liberation Sans" w:cs="Liberation Sans"/>
          <w:sz w:val="28"/>
          <w:szCs w:val="28"/>
          <w:highlight w:val="none"/>
        </w:rPr>
        <w:br/>
        <w:t xml:space="preserve">57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% опрошенных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2022 год - 60%, 2021 год - 58%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),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неудовлетворительно - 6% (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2022 год - 10%, 2021 год - 11%)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sz w:val="28"/>
          <w:szCs w:val="28"/>
          <w:highlight w:val="none"/>
        </w:rPr>
      </w:r>
      <w:r/>
    </w:p>
    <w:p>
      <w:pPr>
        <w:jc w:val="both"/>
        <w:spacing w:after="0" w:line="240" w:lineRule="auto"/>
        <w:tabs>
          <w:tab w:val="left" w:pos="1276" w:leader="none"/>
        </w:tabs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946"/>
        <w:numPr>
          <w:ilvl w:val="1"/>
          <w:numId w:val="2"/>
        </w:numPr>
        <w:ind w:left="0" w:firstLine="0"/>
        <w:jc w:val="center"/>
        <w:spacing w:before="0" w:beforeAutospacing="0" w:after="0" w:afterAutospacing="0" w:line="240" w:lineRule="auto"/>
        <w:tabs>
          <w:tab w:val="left" w:pos="426" w:leader="none"/>
          <w:tab w:val="left" w:pos="709" w:leader="none"/>
        </w:tabs>
        <w:rPr>
          <w:rFonts w:ascii="Liberation Sans" w:hAnsi="Liberation Sans" w:cs="Liberation Sans"/>
          <w:sz w:val="28"/>
          <w:szCs w:val="28"/>
        </w:rPr>
      </w:pPr>
      <w:r/>
      <w:bookmarkStart w:id="83" w:name="_Toc83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Fonts w:ascii="Liberation Sans" w:hAnsi="Liberation Sans" w:cs="Liberation Sans"/>
          <w:sz w:val="28"/>
          <w:szCs w:val="28"/>
        </w:rPr>
      </w:r>
      <w:bookmarkStart w:id="0" w:name="undefined"/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 Основные задачи Администрации города Новый Уренгой </w:t>
      </w:r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br/>
        <w:t xml:space="preserve">на </w:t>
      </w:r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очередной год и </w:t>
      </w:r>
      <w:r>
        <w:rPr>
          <w:rStyle w:val="945"/>
          <w:rFonts w:ascii="Liberation Sans" w:hAnsi="Liberation Sans" w:cs="Liberation Sans"/>
          <w:b/>
          <w:bCs/>
          <w:sz w:val="28"/>
          <w:szCs w:val="28"/>
        </w:rPr>
        <w:t xml:space="preserve">среднесрочную перспективу</w:t>
      </w:r>
      <w:bookmarkEnd w:id="0"/>
      <w:r/>
      <w:bookmarkEnd w:id="83"/>
      <w:r>
        <w:rPr>
          <w:rFonts w:ascii="Liberation Sans" w:hAnsi="Liberation Sans" w:cs="Liberation Sans"/>
          <w:sz w:val="28"/>
          <w:szCs w:val="28"/>
        </w:rPr>
      </w:r>
      <w:r/>
    </w:p>
    <w:p>
      <w:pPr>
        <w:spacing w:before="0" w:beforeAutospacing="0" w:after="0" w:afterAutospacing="0" w:line="240" w:lineRule="auto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Основными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задачами Администрации города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на </w:t>
      </w:r>
      <w:r>
        <w:rPr>
          <w:rFonts w:ascii="Liberation Sans" w:hAnsi="Liberation Sans" w:cs="Liberation Sans"/>
          <w:bCs/>
          <w:iCs/>
          <w:color w:val="000000" w:themeColor="text1"/>
          <w:sz w:val="28"/>
          <w:szCs w:val="28"/>
        </w:rPr>
        <w:t xml:space="preserve">очередной год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и с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реднесрочный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период являются: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Cs/>
          <w:iCs/>
          <w:color w:val="000000" w:themeColor="text1"/>
          <w:sz w:val="28"/>
          <w:szCs w:val="28"/>
          <w:highlight w:val="none"/>
        </w:rPr>
        <w:t xml:space="preserve">2.1</w:t>
      </w:r>
      <w:r>
        <w:rPr>
          <w:rFonts w:ascii="Liberation Sans" w:hAnsi="Liberation Sans" w:cs="Liberation Sans"/>
          <w:bCs/>
          <w:iCs/>
          <w:color w:val="000000" w:themeColor="text1"/>
          <w:sz w:val="28"/>
          <w:szCs w:val="28"/>
          <w:highlight w:val="none"/>
        </w:rPr>
        <w:t xml:space="preserve">6</w:t>
      </w:r>
      <w:r>
        <w:rPr>
          <w:rFonts w:ascii="Liberation Sans" w:hAnsi="Liberation Sans" w:cs="Liberation Sans"/>
          <w:bCs/>
          <w:iCs/>
          <w:color w:val="000000" w:themeColor="text1"/>
          <w:sz w:val="28"/>
          <w:szCs w:val="28"/>
          <w:highlight w:val="none"/>
        </w:rPr>
        <w:t xml:space="preserve">.1.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 В муниципальном управлении: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обеспечение финансовой устойчивости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проведение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мероприятий по взысканию задолженности </w:t>
        <w:br/>
        <w:t xml:space="preserve">за пользование земельными участками, муниципальным имуществом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расширение практик 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нициативного бюджетиров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ани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я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за счет студенческого инициативного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бюджетирования.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Cs/>
          <w:iCs/>
          <w:color w:val="000000" w:themeColor="text1"/>
          <w:sz w:val="28"/>
          <w:szCs w:val="28"/>
          <w:highlight w:val="none"/>
        </w:rPr>
        <w:t xml:space="preserve">2.1</w:t>
      </w:r>
      <w:r>
        <w:rPr>
          <w:rFonts w:ascii="Liberation Sans" w:hAnsi="Liberation Sans" w:cs="Liberation Sans"/>
          <w:bCs/>
          <w:iCs/>
          <w:color w:val="000000" w:themeColor="text1"/>
          <w:sz w:val="28"/>
          <w:szCs w:val="28"/>
          <w:highlight w:val="none"/>
        </w:rPr>
        <w:t xml:space="preserve">6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.2. Для повышения инвестиционной привлекательности, развития малого и среднего предпринимательства: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финансовая поддержк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субъектов малого и среднего п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редпринимательства</w:t>
      </w:r>
      <w:r>
        <w:rPr>
          <w:rFonts w:ascii="Liberation Sans" w:hAnsi="Liberation Sans" w:eastAsia="Times New Roman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  <w:t xml:space="preserve"> и самозанятых граждан</w:t>
      </w:r>
      <w:r>
        <w:rPr>
          <w:rFonts w:ascii="Liberation Sans" w:hAnsi="Liberation Sans" w:eastAsia="Times New Roman" w:cs="Liberation Sans"/>
          <w:b w:val="0"/>
          <w:bCs w:val="0"/>
          <w:i w:val="0"/>
          <w:iCs w:val="0"/>
          <w:color w:val="000000" w:themeColor="text1"/>
          <w:sz w:val="28"/>
          <w:szCs w:val="28"/>
          <w:highlight w:val="none"/>
        </w:rPr>
        <w:t xml:space="preserve">,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</w:rPr>
        <w:t xml:space="preserve">некоммерческих организаций, осуществляющих деятельность по организации и проведению мероприятий</w:t>
      </w:r>
      <w:r>
        <w:rPr>
          <w:rFonts w:ascii="Liberation Sans" w:hAnsi="Liberation Sans" w:cs="Liberation Sans"/>
          <w:b w:val="0"/>
          <w:bCs w:val="0"/>
          <w:i w:val="0"/>
          <w:iCs w:val="0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b w:val="0"/>
          <w:bCs w:val="0"/>
          <w:i w:val="0"/>
          <w:sz w:val="28"/>
          <w:szCs w:val="28"/>
          <w:highlight w:val="none"/>
        </w:rPr>
      </w:pPr>
      <w:r>
        <w:rPr>
          <w:rFonts w:ascii="Liberation Sans" w:hAnsi="Liberation Sans" w:cs="Liberation Sans"/>
          <w:b w:val="0"/>
          <w:bCs w:val="0"/>
          <w:i w:val="0"/>
          <w:iCs w:val="0"/>
          <w:sz w:val="28"/>
          <w:szCs w:val="28"/>
          <w:highlight w:val="none"/>
        </w:rPr>
        <w:t xml:space="preserve">- </w:t>
      </w:r>
      <w:r>
        <w:rPr>
          <w:rFonts w:ascii="Liberation Sans" w:hAnsi="Liberation Sans"/>
          <w:sz w:val="28"/>
          <w:szCs w:val="28"/>
          <w:highlight w:val="white"/>
        </w:rPr>
        <w:t xml:space="preserve">имущественная поддержка субъектов малого и среднего предпринимательства</w:t>
      </w:r>
      <w:r>
        <w:rPr>
          <w:rFonts w:ascii="Liberation Sans" w:hAnsi="Liberation Sans" w:cs="Liberation Sans"/>
          <w:b w:val="0"/>
          <w:bCs w:val="0"/>
          <w:i w:val="0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b w:val="0"/>
          <w:bCs w:val="0"/>
          <w:i w:val="0"/>
          <w:sz w:val="28"/>
          <w:szCs w:val="28"/>
          <w:highlight w:val="none"/>
        </w:rPr>
      </w:r>
      <w:r/>
    </w:p>
    <w:p>
      <w:pPr>
        <w:pStyle w:val="1118"/>
        <w:ind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outlineLvl w:val="0"/>
      </w:pPr>
      <w:r/>
      <w:bookmarkStart w:id="84" w:name="_Toc84"/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- проведение конку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  <w:t xml:space="preserve">рса «НУР_доверяет»;</w:t>
      </w:r>
      <w:bookmarkEnd w:id="84"/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after="0" w:line="240" w:lineRule="auto"/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  <w:lang w:val="ru-RU"/>
        </w:rPr>
        <w:outlineLvl w:val="0"/>
      </w:pPr>
      <w:r/>
      <w:bookmarkStart w:id="85" w:name="_Toc85"/>
      <w:r>
        <w:rPr>
          <w:rFonts w:ascii="Liberation Sans" w:hAnsi="Liberation Sans" w:cs="Liberation Sans"/>
          <w:b w:val="0"/>
          <w:bCs w:val="0"/>
          <w:i w:val="0"/>
          <w:iCs w:val="0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b w:val="0"/>
          <w:bCs w:val="0"/>
          <w:i w:val="0"/>
          <w:sz w:val="28"/>
          <w:szCs w:val="28"/>
          <w:highlight w:val="none"/>
        </w:rPr>
        <w:t xml:space="preserve">реализация 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  <w:lang w:val="ru-RU"/>
        </w:rPr>
        <w:t xml:space="preserve">инвестиционных проектов в сфере здравоохранения, спорта, </w:t>
      </w:r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  <w:lang w:val="ru-RU"/>
        </w:rPr>
        <w:t xml:space="preserve">потребительского рынка,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общественно-делового назначения.</w:t>
      </w:r>
      <w:bookmarkEnd w:id="85"/>
      <w:r>
        <w:rPr>
          <w:rFonts w:ascii="Liberation Sans" w:hAnsi="Liberation Sans" w:eastAsia="Liberation Serif" w:cs="Liberation Sans"/>
          <w:b w:val="0"/>
          <w:bCs w:val="0"/>
          <w:color w:val="000000" w:themeColor="text1"/>
          <w:sz w:val="28"/>
          <w:szCs w:val="28"/>
          <w:highlight w:val="none"/>
          <w:lang w:val="ru-RU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tabs>
          <w:tab w:val="left" w:pos="360" w:leader="none"/>
        </w:tabs>
        <w:rPr>
          <w:color w:val="000000" w:themeColor="text1"/>
          <w:highlight w:val="none"/>
        </w:rPr>
      </w:pPr>
      <w:r>
        <w:rPr>
          <w:rFonts w:ascii="Liberation Sans" w:hAnsi="Liberation Sans" w:cs="Liberation Sans"/>
          <w:bCs/>
          <w:iCs/>
          <w:color w:val="000000" w:themeColor="text1"/>
          <w:sz w:val="28"/>
          <w:szCs w:val="28"/>
          <w:highlight w:val="none"/>
        </w:rPr>
        <w:t xml:space="preserve">2.1</w:t>
      </w:r>
      <w:r>
        <w:rPr>
          <w:rFonts w:ascii="Liberation Sans" w:hAnsi="Liberation Sans" w:cs="Liberation Sans"/>
          <w:bCs/>
          <w:iCs/>
          <w:color w:val="000000" w:themeColor="text1"/>
          <w:sz w:val="28"/>
          <w:szCs w:val="28"/>
          <w:highlight w:val="none"/>
        </w:rPr>
        <w:t xml:space="preserve">6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.3.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 сфере городского хозяйства: </w:t>
      </w:r>
      <w:r>
        <w:rPr>
          <w:color w:val="000000" w:themeColor="text1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  <w:lang w:eastAsia="ar-SA"/>
        </w:rPr>
        <w:t xml:space="preserve">- развитие транспортной, дорожной инфраструктуры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  <w:lang w:eastAsia="ar-SA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благоустройство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городской среды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, улучшение архитектурного облика города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tabs>
          <w:tab w:val="left" w:pos="360" w:leader="none"/>
          <w:tab w:val="num" w:pos="501" w:leader="none"/>
          <w:tab w:val="num" w:pos="1512" w:leader="none"/>
        </w:tabs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осуществление капитального ремонта участков сетей теплоснабжения, водоснабжения и водоотведения;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tabs>
          <w:tab w:val="left" w:pos="360" w:leader="none"/>
          <w:tab w:val="num" w:pos="501" w:leader="none"/>
          <w:tab w:val="num" w:pos="1512" w:leader="none"/>
        </w:tabs>
        <w:rPr>
          <w:rFonts w:ascii="Liberation Sans" w:hAnsi="Liberation Sans" w:cs="Liberation Sans"/>
          <w:color w:val="00000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осуществление контроля за исполнением Концессионе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рами обязательств, определенными в концессионных соглашениях в отношении систем коммунальной инфраструктуры (тепло-, водоснабжение, водоотведение и отдельные объекты таких систем), находящихся в собственности муниципального образования город Новый Уренгой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реа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лизация мероприятий по охране окружающей среды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color w:val="000000" w:themeColor="text1"/>
          <w:highlight w:val="none"/>
        </w:rPr>
        <w:t xml:space="preserve">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реализация</w:t>
      </w:r>
      <w:r>
        <w:rPr>
          <w:rFonts w:ascii="Liberation Sans" w:hAnsi="Liberation Sans" w:eastAsia="Calibri" w:cs="Liberation Sans"/>
          <w:color w:val="000000" w:themeColor="text1"/>
          <w:sz w:val="28"/>
          <w:szCs w:val="28"/>
          <w:highlight w:val="none"/>
        </w:rPr>
        <w:t xml:space="preserve"> мероприятий по обращению с твердыми коммунальными отходами.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Cs/>
          <w:iCs/>
          <w:color w:val="000000" w:themeColor="text1"/>
          <w:sz w:val="28"/>
          <w:szCs w:val="28"/>
          <w:highlight w:val="none"/>
        </w:rPr>
        <w:t xml:space="preserve">2.1</w:t>
      </w:r>
      <w:r>
        <w:rPr>
          <w:rFonts w:ascii="Liberation Sans" w:hAnsi="Liberation Sans" w:cs="Liberation Sans"/>
          <w:bCs/>
          <w:iCs/>
          <w:color w:val="000000" w:themeColor="text1"/>
          <w:sz w:val="28"/>
          <w:szCs w:val="28"/>
          <w:highlight w:val="none"/>
        </w:rPr>
        <w:t xml:space="preserve">6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.4.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 </w:t>
      </w:r>
      <w:r>
        <w:rPr>
          <w:rFonts w:ascii="Liberation Sans" w:hAnsi="Liberation Sans" w:cs="Liberation Sans"/>
          <w:color w:val="000000" w:themeColor="text1"/>
          <w:spacing w:val="2"/>
          <w:sz w:val="28"/>
          <w:szCs w:val="28"/>
          <w:highlight w:val="none"/>
          <w:shd w:val="clear" w:color="auto" w:fill="ffffff"/>
        </w:rPr>
        <w:t xml:space="preserve">В сфере здравоохранени</w:t>
      </w:r>
      <w:r>
        <w:rPr>
          <w:rFonts w:ascii="Liberation Sans" w:hAnsi="Liberation Sans" w:cs="Liberation Sans"/>
          <w:color w:val="000000" w:themeColor="text1"/>
          <w:spacing w:val="2"/>
          <w:sz w:val="28"/>
          <w:szCs w:val="28"/>
          <w:highlight w:val="none"/>
          <w:shd w:val="clear" w:color="auto" w:fill="ffffff"/>
        </w:rPr>
        <w:t xml:space="preserve">я</w:t>
      </w:r>
      <w:r>
        <w:rPr>
          <w:rFonts w:ascii="Liberation Sans" w:hAnsi="Liberation Sans" w:cs="Liberation Sans"/>
          <w:color w:val="000000" w:themeColor="text1"/>
          <w:spacing w:val="2"/>
          <w:sz w:val="28"/>
          <w:szCs w:val="28"/>
          <w:highlight w:val="none"/>
          <w:shd w:val="clear" w:color="auto" w:fill="ffffff"/>
        </w:rPr>
        <w:t xml:space="preserve"> и социальной защит</w:t>
      </w:r>
      <w:r>
        <w:rPr>
          <w:rFonts w:ascii="Liberation Sans" w:hAnsi="Liberation Sans" w:cs="Liberation Sans"/>
          <w:color w:val="000000" w:themeColor="text1"/>
          <w:spacing w:val="2"/>
          <w:sz w:val="28"/>
          <w:szCs w:val="28"/>
          <w:highlight w:val="none"/>
          <w:shd w:val="clear" w:color="auto" w:fill="ffffff"/>
        </w:rPr>
        <w:t xml:space="preserve">ы</w:t>
      </w:r>
      <w:r>
        <w:rPr>
          <w:rFonts w:ascii="Liberation Sans" w:hAnsi="Liberation Sans" w:cs="Liberation Sans"/>
          <w:color w:val="000000" w:themeColor="text1"/>
          <w:spacing w:val="2"/>
          <w:sz w:val="28"/>
          <w:szCs w:val="28"/>
          <w:highlight w:val="none"/>
          <w:shd w:val="clear" w:color="auto" w:fill="ffffff"/>
        </w:rPr>
        <w:t xml:space="preserve"> населения: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outlineLvl w:val="3"/>
      </w:pPr>
      <w:r/>
      <w:bookmarkStart w:id="86" w:name="_Toc86"/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строительств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о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объектов здравоохранения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bookmarkEnd w:id="86"/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outlineLvl w:val="3"/>
      </w:pPr>
      <w:r/>
      <w:bookmarkStart w:id="87" w:name="_Toc87"/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снижение уровня бедности за счет предоставления мер социальной поддержки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и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государственной социальной помощи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bookmarkEnd w:id="87"/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pacing w:val="2"/>
          <w:sz w:val="28"/>
          <w:szCs w:val="28"/>
          <w:highlight w:val="none"/>
          <w:shd w:val="clear" w:color="auto" w:fill="ffffff"/>
        </w:rPr>
        <w:t xml:space="preserve">- развитие доступной среды жизнедеятельности для инвалидов и других маломобильных групп населения;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реализация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мероприятий в рамках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Г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ода семьи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в Российской Федерации и Года детства в ЯНАО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рамках действующих полномочий.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1139"/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 w:val="0"/>
          <w:bCs w:val="0"/>
          <w:iCs/>
          <w:color w:val="000000" w:themeColor="text1"/>
          <w:sz w:val="28"/>
          <w:szCs w:val="28"/>
          <w:highlight w:val="none"/>
        </w:rPr>
        <w:t xml:space="preserve">2.1</w:t>
      </w:r>
      <w:r>
        <w:rPr>
          <w:rFonts w:ascii="Liberation Sans" w:hAnsi="Liberation Sans" w:cs="Liberation Sans"/>
          <w:b w:val="0"/>
          <w:bCs w:val="0"/>
          <w:iCs/>
          <w:color w:val="000000" w:themeColor="text1"/>
          <w:sz w:val="28"/>
          <w:szCs w:val="28"/>
          <w:highlight w:val="none"/>
        </w:rPr>
        <w:t xml:space="preserve">6</w:t>
      </w:r>
      <w:r>
        <w:rPr>
          <w:rFonts w:ascii="Liberation Sans" w:hAnsi="Liberation Sans" w:cs="Liberation Sans"/>
          <w:b w:val="0"/>
          <w:color w:val="000000" w:themeColor="text1"/>
          <w:sz w:val="28"/>
          <w:szCs w:val="28"/>
          <w:highlight w:val="none"/>
        </w:rPr>
        <w:t xml:space="preserve">.5. В</w:t>
      </w:r>
      <w:r>
        <w:rPr>
          <w:rFonts w:ascii="Liberation Sans" w:hAnsi="Liberation Sans" w:cs="Liberation Sans"/>
          <w:b w:val="0"/>
          <w:color w:val="000000" w:themeColor="text1"/>
          <w:sz w:val="28"/>
          <w:szCs w:val="28"/>
          <w:highlight w:val="none"/>
        </w:rPr>
        <w:t xml:space="preserve"> сфере образования: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 реализация программы мероприятий Года семьи в Российской Федерации и Года детства в ЯНАО; </w:t>
      </w:r>
      <w:r>
        <w:rPr>
          <w:color w:val="000000" w:themeColor="text1"/>
        </w:rPr>
      </w:r>
      <w:r/>
    </w:p>
    <w:p>
      <w:pPr>
        <w:pStyle w:val="1161"/>
        <w:ind w:left="0" w:firstLine="708"/>
        <w:jc w:val="both"/>
        <w:spacing w:after="0"/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 реализации стратегии кадрового потенциала через разработку и внедрение индивидуальных образовательных маршрутов педагога </w:t>
        <w:br/>
        <w:t xml:space="preserve">и использование инструментов цифровой образовательной среды;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14:ligatures w14:val="none"/>
        </w:rPr>
      </w:r>
      <w:r/>
    </w:p>
    <w:p>
      <w:pPr>
        <w:pStyle w:val="1161"/>
        <w:ind w:left="0" w:firstLine="708"/>
        <w:jc w:val="both"/>
        <w:spacing w:after="0"/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 реализация проектов «Старшая школа» и «Подростковая школа»;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14:ligatures w14:val="none"/>
        </w:rPr>
      </w:r>
      <w:r/>
    </w:p>
    <w:p>
      <w:pPr>
        <w:pStyle w:val="1161"/>
        <w:ind w:left="0" w:firstLine="708"/>
        <w:jc w:val="both"/>
        <w:spacing w:after="0"/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 совершенствование деятельности по выявлению, поддержке </w:t>
        <w:br/>
        <w:t xml:space="preserve">и развитию одаренных детей;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14:ligatures w14:val="none"/>
        </w:rPr>
      </w:r>
      <w:r/>
    </w:p>
    <w:p>
      <w:pPr>
        <w:pStyle w:val="1161"/>
        <w:ind w:left="0" w:firstLine="708"/>
        <w:jc w:val="both"/>
        <w:spacing w:after="0"/>
        <w:rPr>
          <w:sz w:val="28"/>
          <w:szCs w:val="28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 синхро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низация федеральных и региональных проектов </w:t>
        <w:br/>
        <w:t xml:space="preserve">для воспитания гражданственности и патриотизма обучающихся через развитие детско-юношеского движения;</w:t>
      </w:r>
      <w:r>
        <w:rPr>
          <w:sz w:val="28"/>
          <w:szCs w:val="28"/>
        </w:rPr>
      </w:r>
      <w:r/>
    </w:p>
    <w:p>
      <w:pPr>
        <w:pStyle w:val="1161"/>
        <w:ind w:left="0" w:firstLine="708"/>
        <w:jc w:val="both"/>
        <w:spacing w:after="0"/>
        <w:rPr>
          <w:sz w:val="28"/>
          <w:szCs w:val="28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 обеспечение объективности образовательных достижений через открытость, прозрачность и достоверность процедур внутренней </w:t>
        <w:br/>
        <w:t xml:space="preserve">и внешней оценки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образовательных результатов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обучающихся;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</w:t>
      </w:r>
      <w:r>
        <w:rPr>
          <w:sz w:val="28"/>
          <w:szCs w:val="28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eastAsia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 формирование и развитие функциональной грамотности обучающихся через систему урочной и внеурочной деятельности, включая использовани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е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банка заданий.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tabs>
          <w:tab w:val="left" w:pos="851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Cs/>
          <w:iCs/>
          <w:color w:val="000000" w:themeColor="text1"/>
          <w:sz w:val="28"/>
          <w:szCs w:val="28"/>
          <w:highlight w:val="none"/>
        </w:rPr>
        <w:t xml:space="preserve">2.1</w:t>
      </w:r>
      <w:r>
        <w:rPr>
          <w:rFonts w:ascii="Liberation Sans" w:hAnsi="Liberation Sans" w:cs="Liberation Sans"/>
          <w:bCs/>
          <w:iCs/>
          <w:color w:val="000000" w:themeColor="text1"/>
          <w:sz w:val="28"/>
          <w:szCs w:val="28"/>
          <w:highlight w:val="none"/>
        </w:rPr>
        <w:t xml:space="preserve">6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.6. В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  <w:lang w:eastAsia="ar-SA"/>
        </w:rPr>
        <w:t xml:space="preserve"> сфере культуры: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tabs>
          <w:tab w:val="left" w:pos="851" w:leader="none"/>
        </w:tabs>
        <w:rPr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  <w:lang w:eastAsia="ar-SA"/>
        </w:rPr>
        <w:t xml:space="preserve">-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  <w:lang w:eastAsia="ar-SA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реализация мероприятий по подготовке к празднованию </w:t>
        <w:br/>
        <w:t xml:space="preserve">50-летия Нового Уренгоя;</w:t>
      </w:r>
      <w:r>
        <w:rPr>
          <w:color w:val="000000" w:themeColor="text1"/>
          <w:sz w:val="28"/>
          <w:szCs w:val="28"/>
          <w:highlight w:val="none"/>
        </w:rPr>
      </w:r>
      <w:r/>
    </w:p>
    <w:p>
      <w:pPr>
        <w:pStyle w:val="960"/>
        <w:ind w:firstLine="709"/>
        <w:jc w:val="both"/>
        <w:spacing w:before="0" w:beforeAutospacing="0" w:after="0" w:afterAutospacing="0" w:line="240" w:lineRule="auto"/>
        <w:rPr>
          <w:sz w:val="28"/>
          <w:szCs w:val="28"/>
        </w:rPr>
      </w:pPr>
      <w:r>
        <w:rPr>
          <w:rFonts w:ascii="Liberation Sans" w:hAnsi="Liberation Sans"/>
          <w:b w:val="0"/>
          <w:sz w:val="28"/>
          <w:szCs w:val="28"/>
        </w:rPr>
        <w:t xml:space="preserve">- </w:t>
      </w:r>
      <w:r>
        <w:rPr>
          <w:rFonts w:ascii="Liberation Sans" w:hAnsi="Liberation Sans" w:cs="Times New Roman"/>
          <w:b w:val="0"/>
          <w:sz w:val="28"/>
          <w:szCs w:val="28"/>
        </w:rPr>
        <w:t xml:space="preserve">обновление материально-технической базы учреждений культуры,</w:t>
      </w:r>
      <w:r>
        <w:rPr>
          <w:rFonts w:ascii="Liberation Sans" w:hAnsi="Liberation Sans"/>
          <w:b w:val="0"/>
          <w:sz w:val="28"/>
          <w:szCs w:val="28"/>
        </w:rPr>
        <w:t xml:space="preserve"> </w:t>
      </w:r>
      <w:r>
        <w:rPr>
          <w:rFonts w:ascii="Liberation Sans" w:hAnsi="Liberation Sans"/>
          <w:b w:val="0"/>
          <w:sz w:val="28"/>
          <w:szCs w:val="28"/>
        </w:rPr>
        <w:t xml:space="preserve">оснащение современным оборудованием, музыкальными инструментами;</w:t>
      </w:r>
      <w:r>
        <w:rPr>
          <w:sz w:val="28"/>
          <w:szCs w:val="28"/>
        </w:rPr>
      </w:r>
      <w:r/>
    </w:p>
    <w:p>
      <w:pPr>
        <w:pStyle w:val="960"/>
        <w:ind w:firstLine="709"/>
        <w:jc w:val="both"/>
        <w:spacing w:before="0" w:beforeAutospacing="0" w:after="0" w:afterAutospacing="0" w:line="240" w:lineRule="auto"/>
        <w:rPr>
          <w:sz w:val="28"/>
          <w:szCs w:val="28"/>
        </w:rPr>
      </w:pPr>
      <w:r>
        <w:rPr>
          <w:rFonts w:ascii="Liberation Sans" w:hAnsi="Liberation Sans"/>
          <w:b w:val="0"/>
          <w:sz w:val="28"/>
          <w:szCs w:val="28"/>
        </w:rPr>
        <w:t xml:space="preserve">- строительство </w:t>
      </w:r>
      <w:r>
        <w:rPr>
          <w:rFonts w:ascii="Liberation Sans" w:hAnsi="Liberation Sans" w:cs="Times New Roman"/>
          <w:b w:val="0"/>
          <w:sz w:val="28"/>
          <w:szCs w:val="28"/>
        </w:rPr>
        <w:t xml:space="preserve">новой д</w:t>
      </w:r>
      <w:r>
        <w:rPr>
          <w:rFonts w:ascii="Liberation Sans" w:hAnsi="Liberation Sans"/>
          <w:b w:val="0"/>
          <w:sz w:val="28"/>
          <w:szCs w:val="28"/>
        </w:rPr>
        <w:t xml:space="preserve">етской школы искусств, Культурного центра, капитальный ремонт </w:t>
      </w:r>
      <w:r>
        <w:rPr>
          <w:rFonts w:ascii="Liberation Sans" w:hAnsi="Liberation Sans"/>
          <w:b w:val="0"/>
          <w:sz w:val="28"/>
          <w:szCs w:val="28"/>
        </w:rPr>
        <w:t xml:space="preserve">МБУ ДО «ДШИ им. С.В. Рахманинова»</w:t>
      </w:r>
      <w:r>
        <w:rPr>
          <w:rFonts w:ascii="Liberation Sans" w:hAnsi="Liberation Sans"/>
          <w:b w:val="0"/>
          <w:sz w:val="28"/>
          <w:szCs w:val="28"/>
        </w:rPr>
        <w:t xml:space="preserve">, МАУК «ЦКС»</w:t>
      </w:r>
      <w:r>
        <w:rPr>
          <w:rFonts w:ascii="Liberation Sans" w:hAnsi="Liberation Sans"/>
          <w:b w:val="0"/>
          <w:sz w:val="28"/>
          <w:szCs w:val="28"/>
        </w:rPr>
        <w:t xml:space="preserve">;</w:t>
      </w:r>
      <w:r>
        <w:rPr>
          <w:sz w:val="28"/>
          <w:szCs w:val="28"/>
        </w:rPr>
      </w:r>
      <w:r/>
    </w:p>
    <w:p>
      <w:pPr>
        <w:pStyle w:val="960"/>
        <w:ind w:firstLine="709"/>
        <w:jc w:val="both"/>
        <w:spacing w:before="0" w:beforeAutospacing="0" w:after="0" w:afterAutospacing="0" w:line="240" w:lineRule="auto"/>
        <w:rPr>
          <w:sz w:val="28"/>
          <w:szCs w:val="28"/>
        </w:rPr>
      </w:pPr>
      <w:r>
        <w:rPr>
          <w:rFonts w:ascii="Liberation Sans" w:hAnsi="Liberation Sans"/>
          <w:b w:val="0"/>
          <w:sz w:val="28"/>
          <w:szCs w:val="28"/>
        </w:rPr>
        <w:t xml:space="preserve">- </w:t>
      </w:r>
      <w:r>
        <w:rPr>
          <w:rFonts w:ascii="Liberation Sans" w:hAnsi="Liberation Sans"/>
          <w:b w:val="0"/>
          <w:sz w:val="28"/>
          <w:szCs w:val="28"/>
        </w:rPr>
        <w:t xml:space="preserve">сотрудничество с </w:t>
      </w:r>
      <w:r>
        <w:rPr>
          <w:rFonts w:ascii="Liberation Sans" w:hAnsi="Liberation Sans"/>
          <w:b w:val="0"/>
          <w:sz w:val="28"/>
          <w:szCs w:val="28"/>
        </w:rPr>
        <w:t xml:space="preserve">ФГБОУ ВПО «РАМ им. </w:t>
      </w:r>
      <w:r>
        <w:rPr>
          <w:rFonts w:ascii="Liberation Sans" w:hAnsi="Liberation Sans"/>
          <w:b w:val="0"/>
          <w:sz w:val="28"/>
          <w:szCs w:val="28"/>
        </w:rPr>
        <w:t xml:space="preserve">Гнесиных</w:t>
      </w:r>
      <w:r>
        <w:rPr>
          <w:rFonts w:ascii="Liberation Sans" w:hAnsi="Liberation Sans"/>
          <w:b w:val="0"/>
          <w:sz w:val="28"/>
          <w:szCs w:val="28"/>
        </w:rPr>
        <w:t xml:space="preserve">»</w:t>
      </w:r>
      <w:r>
        <w:rPr>
          <w:rFonts w:ascii="Liberation Sans" w:hAnsi="Liberation Sans"/>
          <w:b w:val="0"/>
          <w:sz w:val="28"/>
          <w:szCs w:val="28"/>
        </w:rPr>
        <w:t xml:space="preserve"> (г. Москва)  по привлечению кадрового потенциала в детские школы искусств;</w:t>
      </w:r>
      <w:r>
        <w:rPr>
          <w:sz w:val="28"/>
          <w:szCs w:val="28"/>
        </w:rPr>
      </w:r>
      <w:r/>
    </w:p>
    <w:p>
      <w:pPr>
        <w:pStyle w:val="960"/>
        <w:ind w:firstLine="709"/>
        <w:jc w:val="both"/>
        <w:spacing w:line="0" w:lineRule="atLeast"/>
        <w:rPr>
          <w:sz w:val="28"/>
          <w:szCs w:val="28"/>
        </w:rPr>
      </w:pPr>
      <w:r>
        <w:rPr>
          <w:rFonts w:ascii="Liberation Sans" w:hAnsi="Liberation Sans"/>
          <w:b w:val="0"/>
          <w:sz w:val="28"/>
          <w:szCs w:val="28"/>
        </w:rPr>
        <w:t xml:space="preserve">- </w:t>
      </w:r>
      <w:r>
        <w:rPr>
          <w:rFonts w:ascii="Liberation Sans" w:hAnsi="Liberation Sans"/>
          <w:b w:val="0"/>
          <w:sz w:val="28"/>
          <w:szCs w:val="28"/>
        </w:rPr>
        <w:t xml:space="preserve">развитие </w:t>
      </w:r>
      <w:r>
        <w:rPr>
          <w:rFonts w:ascii="Liberation Sans" w:hAnsi="Liberation Sans"/>
          <w:b w:val="0"/>
          <w:sz w:val="28"/>
          <w:szCs w:val="28"/>
        </w:rPr>
        <w:t xml:space="preserve">инновационных </w:t>
      </w:r>
      <w:r>
        <w:rPr>
          <w:rFonts w:ascii="Liberation Sans" w:hAnsi="Liberation Sans"/>
          <w:b w:val="0"/>
          <w:sz w:val="28"/>
          <w:szCs w:val="28"/>
        </w:rPr>
        <w:t xml:space="preserve">форм работы</w:t>
      </w:r>
      <w:r>
        <w:rPr>
          <w:rFonts w:ascii="Liberation Sans" w:hAnsi="Liberation Sans"/>
          <w:b w:val="0"/>
          <w:sz w:val="28"/>
          <w:szCs w:val="28"/>
        </w:rPr>
        <w:t xml:space="preserve"> с населением</w:t>
      </w:r>
      <w:r>
        <w:rPr>
          <w:rFonts w:ascii="Liberation Sans" w:hAnsi="Liberation Sans"/>
          <w:b w:val="0"/>
          <w:sz w:val="28"/>
          <w:szCs w:val="28"/>
        </w:rPr>
        <w:t xml:space="preserve">;</w:t>
      </w:r>
      <w:r>
        <w:rPr>
          <w:sz w:val="28"/>
          <w:szCs w:val="28"/>
        </w:rPr>
      </w:r>
      <w:r/>
    </w:p>
    <w:p>
      <w:pPr>
        <w:pStyle w:val="960"/>
        <w:ind w:firstLine="709"/>
        <w:jc w:val="both"/>
        <w:spacing w:line="0" w:lineRule="atLeast"/>
        <w:rPr>
          <w:sz w:val="28"/>
          <w:szCs w:val="28"/>
        </w:rPr>
      </w:pPr>
      <w:r>
        <w:rPr>
          <w:rFonts w:ascii="Liberation Sans" w:hAnsi="Liberation Sans"/>
          <w:b w:val="0"/>
          <w:sz w:val="28"/>
          <w:szCs w:val="28"/>
        </w:rPr>
        <w:t xml:space="preserve">- реализация мероприятий в рам</w:t>
      </w:r>
      <w:r>
        <w:rPr>
          <w:rFonts w:ascii="Liberation Sans" w:hAnsi="Liberation Sans"/>
          <w:b w:val="0"/>
          <w:sz w:val="28"/>
          <w:szCs w:val="28"/>
        </w:rPr>
        <w:t xml:space="preserve">ках проекта «Пушкинская карта»;</w:t>
      </w:r>
      <w:r>
        <w:rPr>
          <w:sz w:val="28"/>
          <w:szCs w:val="28"/>
        </w:rPr>
      </w:r>
      <w:r/>
    </w:p>
    <w:p>
      <w:pPr>
        <w:pStyle w:val="960"/>
        <w:ind w:firstLine="709"/>
        <w:jc w:val="both"/>
        <w:spacing w:line="0" w:lineRule="atLeast"/>
        <w:rPr>
          <w:sz w:val="28"/>
          <w:szCs w:val="28"/>
          <w:highlight w:val="none"/>
        </w:rPr>
      </w:pPr>
      <w:r>
        <w:rPr>
          <w:rFonts w:ascii="Liberation Sans" w:hAnsi="Liberation Sans"/>
          <w:b w:val="0"/>
          <w:sz w:val="28"/>
          <w:szCs w:val="28"/>
        </w:rPr>
        <w:t xml:space="preserve">- реализация проекта «Мо</w:t>
      </w:r>
      <w:r>
        <w:rPr>
          <w:rFonts w:ascii="Liberation Sans" w:hAnsi="Liberation Sans"/>
          <w:b w:val="0"/>
          <w:sz w:val="28"/>
          <w:szCs w:val="28"/>
          <w:highlight w:val="none"/>
        </w:rPr>
        <w:t xml:space="preserve">рошка»;</w:t>
      </w:r>
      <w:r>
        <w:rPr>
          <w:sz w:val="28"/>
          <w:szCs w:val="28"/>
          <w:highlight w:val="none"/>
        </w:rPr>
      </w:r>
      <w:r/>
    </w:p>
    <w:p>
      <w:pPr>
        <w:pStyle w:val="960"/>
        <w:ind w:firstLine="709"/>
        <w:jc w:val="both"/>
        <w:spacing w:line="0" w:lineRule="atLeast"/>
        <w:rPr>
          <w:sz w:val="28"/>
          <w:szCs w:val="28"/>
        </w:rPr>
      </w:pPr>
      <w:r>
        <w:rPr>
          <w:rFonts w:ascii="Liberation Sans" w:hAnsi="Liberation Sans"/>
          <w:b w:val="0"/>
          <w:sz w:val="28"/>
          <w:szCs w:val="28"/>
          <w:highlight w:val="none"/>
        </w:rPr>
        <w:t xml:space="preserve">- </w:t>
      </w:r>
      <w:r>
        <w:rPr>
          <w:rFonts w:ascii="Liberation Sans" w:hAnsi="Liberation Sans"/>
          <w:b w:val="0"/>
          <w:sz w:val="28"/>
          <w:szCs w:val="28"/>
          <w:highlight w:val="none"/>
        </w:rPr>
        <w:t xml:space="preserve">обучение </w:t>
      </w:r>
      <w:r>
        <w:rPr>
          <w:rFonts w:ascii="Liberation Sans" w:hAnsi="Liberation Sans"/>
          <w:b w:val="0"/>
          <w:sz w:val="28"/>
          <w:szCs w:val="28"/>
          <w:highlight w:val="none"/>
        </w:rPr>
        <w:t xml:space="preserve">сотрудников муниципальных учреждений культуры и детских школ искусств</w:t>
      </w:r>
      <w:r>
        <w:rPr>
          <w:rFonts w:ascii="Liberation Sans" w:hAnsi="Liberation Sans"/>
          <w:b w:val="0"/>
          <w:sz w:val="28"/>
          <w:szCs w:val="28"/>
          <w:highlight w:val="none"/>
        </w:rPr>
        <w:t xml:space="preserve"> на базе ведущих </w:t>
      </w:r>
      <w:r>
        <w:rPr>
          <w:rFonts w:ascii="Liberation Sans" w:hAnsi="Liberation Sans"/>
          <w:b w:val="0"/>
          <w:sz w:val="28"/>
          <w:szCs w:val="28"/>
          <w:highlight w:val="none"/>
        </w:rPr>
        <w:t xml:space="preserve">вуз</w:t>
      </w:r>
      <w:r>
        <w:rPr>
          <w:rFonts w:ascii="Liberation Sans" w:hAnsi="Liberation Sans"/>
          <w:b w:val="0"/>
          <w:sz w:val="28"/>
          <w:szCs w:val="28"/>
          <w:highlight w:val="none"/>
        </w:rPr>
        <w:t xml:space="preserve">ов с</w:t>
      </w:r>
      <w:r>
        <w:rPr>
          <w:rFonts w:ascii="Liberation Sans" w:hAnsi="Liberation Sans"/>
          <w:b w:val="0"/>
          <w:sz w:val="28"/>
          <w:szCs w:val="28"/>
        </w:rPr>
        <w:t xml:space="preserve">феры культуры;</w:t>
      </w:r>
      <w:r>
        <w:rPr>
          <w:sz w:val="28"/>
          <w:szCs w:val="28"/>
        </w:rPr>
      </w:r>
      <w:r/>
    </w:p>
    <w:p>
      <w:pPr>
        <w:pStyle w:val="960"/>
        <w:ind w:firstLine="709"/>
        <w:jc w:val="both"/>
        <w:spacing w:before="0" w:beforeAutospacing="0" w:after="0" w:afterAutospacing="0" w:line="240" w:lineRule="auto"/>
        <w:rPr>
          <w:sz w:val="28"/>
          <w:szCs w:val="28"/>
        </w:rPr>
      </w:pPr>
      <w:r>
        <w:rPr>
          <w:rFonts w:ascii="Liberation Sans" w:hAnsi="Liberation Sans"/>
          <w:b w:val="0"/>
          <w:sz w:val="28"/>
          <w:szCs w:val="28"/>
        </w:rPr>
        <w:t xml:space="preserve">- реализация новых образовательных программ</w:t>
      </w:r>
      <w:r>
        <w:rPr>
          <w:rFonts w:ascii="Liberation Sans" w:hAnsi="Liberation Sans"/>
          <w:b w:val="0"/>
          <w:sz w:val="28"/>
          <w:szCs w:val="28"/>
        </w:rPr>
        <w:t xml:space="preserve"> в детских школах искусств;</w:t>
      </w:r>
      <w:r>
        <w:rPr>
          <w:sz w:val="28"/>
          <w:szCs w:val="28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tabs>
          <w:tab w:val="left" w:pos="851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/>
          <w:b w:val="0"/>
          <w:sz w:val="28"/>
          <w:szCs w:val="28"/>
        </w:rPr>
        <w:t xml:space="preserve">- организация участия юных тала</w:t>
      </w:r>
      <w:r>
        <w:rPr>
          <w:rFonts w:ascii="Liberation Sans" w:hAnsi="Liberation Sans"/>
          <w:b w:val="0"/>
          <w:sz w:val="28"/>
          <w:szCs w:val="28"/>
        </w:rPr>
        <w:t xml:space="preserve">нтов детских школ иску</w:t>
      </w:r>
      <w:r>
        <w:rPr>
          <w:rFonts w:ascii="Liberation Sans" w:hAnsi="Liberation Sans"/>
          <w:b w:val="0"/>
          <w:sz w:val="28"/>
          <w:szCs w:val="28"/>
        </w:rPr>
        <w:t xml:space="preserve">сств в к</w:t>
      </w:r>
      <w:r>
        <w:rPr>
          <w:rFonts w:ascii="Liberation Sans" w:hAnsi="Liberation Sans"/>
          <w:b w:val="0"/>
          <w:sz w:val="28"/>
          <w:szCs w:val="28"/>
        </w:rPr>
        <w:t xml:space="preserve">онкурсах разного уровня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Cs/>
          <w:iCs/>
          <w:color w:val="000000" w:themeColor="text1"/>
          <w:sz w:val="28"/>
          <w:szCs w:val="28"/>
          <w:highlight w:val="none"/>
        </w:rPr>
        <w:t xml:space="preserve">2.1</w:t>
      </w:r>
      <w:r>
        <w:rPr>
          <w:rFonts w:ascii="Liberation Sans" w:hAnsi="Liberation Sans" w:cs="Liberation Sans"/>
          <w:bCs/>
          <w:iCs/>
          <w:color w:val="000000" w:themeColor="text1"/>
          <w:sz w:val="28"/>
          <w:szCs w:val="28"/>
          <w:highlight w:val="none"/>
        </w:rPr>
        <w:t xml:space="preserve">6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.7.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 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  <w:lang w:eastAsia="ar-SA"/>
        </w:rPr>
        <w:t xml:space="preserve">В сфере физической культур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  <w:lang w:eastAsia="ar-SA"/>
        </w:rPr>
        <w:t xml:space="preserve">ы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  <w:lang w:eastAsia="ar-SA"/>
        </w:rPr>
        <w:t xml:space="preserve"> и спорт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  <w:lang w:eastAsia="ar-SA"/>
        </w:rPr>
        <w:t xml:space="preserve">а</w:t>
      </w:r>
      <w:r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  <w:lang w:eastAsia="ar-SA"/>
        </w:rPr>
        <w:t xml:space="preserve">: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привлечение различных категорий населения к систематическим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занятиям физической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культурой и спортом; 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проведение на территории города масштабных спортивных мероприятий всероссийского уровня, а также спортивно-массовых событий и мероприятий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;</w:t>
      </w:r>
      <w:r>
        <w:rPr>
          <w:rFonts w:ascii="Liberation Sans" w:hAnsi="Liberation Sans" w:cs="Liberation Sans"/>
          <w:color w:val="000000" w:themeColor="text1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b w:val="0"/>
          <w:color w:val="000000" w:themeColor="text1"/>
          <w:sz w:val="28"/>
          <w:szCs w:val="28"/>
          <w:highlight w:val="none"/>
        </w:rPr>
        <w:t xml:space="preserve">строительство (реконструкция) спортивных объектов,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проведение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ремонтных работ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на спортивных объектах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Cs/>
          <w:iCs/>
          <w:color w:val="000000" w:themeColor="text1"/>
          <w:sz w:val="28"/>
          <w:szCs w:val="28"/>
          <w:highlight w:val="none"/>
        </w:rPr>
        <w:t xml:space="preserve">2</w:t>
      </w:r>
      <w:r>
        <w:rPr>
          <w:rFonts w:ascii="Liberation Sans" w:hAnsi="Liberation Sans" w:cs="Liberation Sans"/>
          <w:bCs/>
          <w:iCs/>
          <w:color w:val="000000" w:themeColor="text1"/>
          <w:sz w:val="28"/>
          <w:szCs w:val="28"/>
          <w:highlight w:val="none"/>
        </w:rPr>
        <w:t xml:space="preserve">.1</w:t>
      </w:r>
      <w:r>
        <w:rPr>
          <w:rFonts w:ascii="Liberation Sans" w:hAnsi="Liberation Sans" w:cs="Liberation Sans"/>
          <w:bCs/>
          <w:iCs/>
          <w:color w:val="000000" w:themeColor="text1"/>
          <w:sz w:val="28"/>
          <w:szCs w:val="28"/>
          <w:highlight w:val="none"/>
        </w:rPr>
        <w:t xml:space="preserve">6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.8.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В</w:t>
      </w:r>
      <w:r>
        <w:rPr>
          <w:rFonts w:ascii="Liberation Sans" w:hAnsi="Liberation Sans" w:cs="Liberation Sans"/>
          <w:color w:val="000000" w:themeColor="text1"/>
          <w:spacing w:val="2"/>
          <w:sz w:val="28"/>
          <w:szCs w:val="28"/>
          <w:highlight w:val="none"/>
          <w:shd w:val="clear" w:color="auto" w:fill="ffffff"/>
        </w:rPr>
        <w:t xml:space="preserve"> сфере работы с молодежью: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 увеличение численности несовершеннолетних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в возрасте </w:t>
        <w:br/>
        <w:t xml:space="preserve">от 14 до 18 лет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для вр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еменного трудоустройства;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 ор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ганизация работы по формированию эффективной системы наставничества для подростков, состоящих на различных видах учета.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2.16.9. В сфере туризма: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создание регионального туроператора внутреннего и въездного туризма в городе Новый Уренгой на базе ООО «Мастер сайт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В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есь Мир» (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э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кокомплекс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«Душа Ямала»);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 создание регулярных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двух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дневных туристических маршрутов </w:t>
        <w:br/>
        <w:t xml:space="preserve">в поселок Ямбург;</w:t>
      </w:r>
      <w:r>
        <w:rPr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eastAsia="Liberation Sans" w:cs="Liberation Sans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</w:rPr>
        <w:t xml:space="preserve">- организация работы волонтерского движения в сфере гостеприимства.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eastAsia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  <w14:ligatures w14:val="none"/>
        </w:rPr>
        <w:t xml:space="preserve">2.16.10. В сфере внутренней политики: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14:ligatures w14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Liberation Sans" w:cs="Liberation Sans"/>
          <w:sz w:val="28"/>
          <w:szCs w:val="28"/>
          <w:highlight w:val="none"/>
          <w14:ligatures w14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обеспечение открытости деятельности органов самоуправления,  формирование социально-позитивного имиджа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Админ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истрации города, Г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лавы города в общественном сознании;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вовлечение общественности в процессы разработки и реализации социальных проектов;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организация обучения представителей СОНКО, добровольцев новым подходам к социальному проектированию;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совершенствование межведомственного взаимодействия </w:t>
        <w:br/>
        <w:t xml:space="preserve">в целях оказания содействия НКО в разработке и реализации социальн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о з</w:t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начимых проектов;</w:t>
      </w:r>
      <w:r>
        <w:rPr>
          <w:rFonts w:ascii="Liberation Sans" w:hAnsi="Liberation Sans" w:cs="Liberation Sans"/>
          <w:sz w:val="28"/>
          <w:szCs w:val="28"/>
          <w:highlight w:val="none"/>
          <w14:ligatures w14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eastAsia="Liberation Serif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cs="Liberation Sans"/>
          <w:sz w:val="28"/>
          <w:szCs w:val="28"/>
          <w:highlight w:val="none"/>
        </w:rPr>
      </w:r>
      <w:r>
        <w:rPr>
          <w:rFonts w:ascii="Liberation Sans" w:hAnsi="Liberation Sans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развитие Центра поддержки общественных инициатив;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  <w14:ligatures w14:val="none"/>
        </w:rPr>
      </w:r>
      <w:r/>
    </w:p>
    <w:p>
      <w:pPr>
        <w:pStyle w:val="1161"/>
        <w:ind w:left="0" w:firstLine="708"/>
        <w:jc w:val="both"/>
        <w:spacing w:after="0"/>
        <w:rPr>
          <w:rFonts w:ascii="Liberation Sans" w:hAnsi="Liberation Sans" w:eastAsia="Liberation Sans" w:cs="Liberation Sans"/>
          <w:sz w:val="28"/>
          <w:szCs w:val="28"/>
          <w:highlight w:val="none"/>
          <w14:ligatures w14:val="none"/>
        </w:rPr>
      </w:pP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- </w:t>
      </w:r>
      <w:r>
        <w:rPr>
          <w:rFonts w:ascii="Liberation Sans" w:hAnsi="Liberation Sans" w:eastAsia="Liberation Serif" w:cs="Liberation Sans"/>
          <w:sz w:val="28"/>
          <w:szCs w:val="28"/>
          <w:highlight w:val="none"/>
        </w:rPr>
        <w:t xml:space="preserve">организация и проведение Гражданского Форума. </w:t>
      </w:r>
      <w:r>
        <w:rPr>
          <w:rFonts w:ascii="Liberation Sans" w:hAnsi="Liberation Sans" w:eastAsia="Liberation Sans" w:cs="Liberation Sans"/>
          <w:sz w:val="28"/>
          <w:szCs w:val="28"/>
          <w:highlight w:val="none"/>
          <w14:ligatures w14:val="none"/>
        </w:rPr>
      </w:r>
      <w:r/>
    </w:p>
    <w:p>
      <w:pPr>
        <w:pStyle w:val="1122"/>
        <w:ind w:left="0"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Cs/>
          <w:iCs/>
          <w:color w:val="000000" w:themeColor="text1"/>
          <w:sz w:val="28"/>
          <w:szCs w:val="28"/>
          <w:highlight w:val="none"/>
        </w:rPr>
        <w:t xml:space="preserve">2.1</w:t>
      </w:r>
      <w:r>
        <w:rPr>
          <w:rFonts w:ascii="Liberation Sans" w:hAnsi="Liberation Sans" w:cs="Liberation Sans"/>
          <w:bCs/>
          <w:iCs/>
          <w:color w:val="000000" w:themeColor="text1"/>
          <w:sz w:val="28"/>
          <w:szCs w:val="28"/>
          <w:highlight w:val="none"/>
        </w:rPr>
        <w:t xml:space="preserve">6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.11. В сфере безопас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ности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: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пропаганда межэтнической и межконфессиональной толерантности, противодействие экстремизму и терроризму;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 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профилактика правонарушений в общественных местах;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ind w:firstLine="708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- подготовка руководящего состава и работников городского звена территориальной подсистемы единой государственной системы предупреждения и л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иквидации чрезвычайных ситуаций, обучение населения действиям в чрезвычайных ситуациях.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spacing w:before="0" w:beforeAutospacing="0" w:after="0" w:afterAutospacing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sectPr>
      <w:footnotePr/>
      <w:endnotePr/>
      <w:type w:val="nextPage"/>
      <w:pgSz w:w="11906" w:h="16838" w:orient="portrait"/>
      <w:pgMar w:top="1134" w:right="850" w:bottom="1134" w:left="1701" w:header="567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">
    <w:panose1 w:val="02000603000000000000"/>
  </w:font>
  <w:font w:name="SimSun">
    <w:panose1 w:val="02000603000000000000"/>
  </w:font>
  <w:font w:name="Helvetica">
    <w:panose1 w:val="020B0604020202020204"/>
  </w:font>
  <w:font w:name="Roboto">
    <w:panose1 w:val="02000000000000000000"/>
  </w:font>
  <w:font w:name="Open Sans">
    <w:panose1 w:val="020B0606030504020204"/>
  </w:font>
  <w:font w:name="Liberation Serif">
    <w:panose1 w:val="02020603050405020304"/>
  </w:font>
  <w:font w:name="Symbol">
    <w:panose1 w:val="05010000000000000000"/>
  </w:font>
  <w:font w:name="Liberation Sans">
    <w:panose1 w:val="020B0604020202020204"/>
  </w:font>
  <w:font w:name="Wingdings">
    <w:panose1 w:val="05010000000000000000"/>
  </w:font>
  <w:font w:name="Andale Sans UI">
    <w:panose1 w:val="02000603000000000000"/>
  </w:font>
  <w:font w:name="Verdana">
    <w:panose1 w:val="020B0606030504020204"/>
  </w:font>
  <w:font w:name="Liberation Serif;Times New Roma">
    <w:panose1 w:val="02020603050405020304"/>
  </w:font>
  <w:font w:name="Courier New">
    <w:panose1 w:val="02070309020205020404"/>
  </w:font>
  <w:font w:name="JournalC">
    <w:panose1 w:val="02000603000000000000"/>
  </w:font>
  <w:font w:name="MS Mincho">
    <w:panose1 w:val="02020603050405090304"/>
  </w:font>
  <w:font w:name="Tahoma">
    <w:panose1 w:val="020B06060305040202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PT Astra Serif">
    <w:panose1 w:val="020A0603040505020204"/>
  </w:font>
  <w:font w:name="NSimSun">
    <w:panose1 w:val="020006090300000000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7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  <w:footnote w:id="2">
    <w:p>
      <w:pPr>
        <w:pStyle w:val="1101"/>
        <w:jc w:val="both"/>
      </w:pPr>
      <w:r>
        <w:rPr>
          <w:rStyle w:val="1103"/>
        </w:rPr>
        <w:footnoteRef/>
      </w:r>
      <w:r>
        <w:t xml:space="preserve"> </w:t>
      </w:r>
      <w:r>
        <w:rPr>
          <w:rFonts w:ascii="Liberation Sans" w:hAnsi="Liberation Sans"/>
          <w:szCs w:val="28"/>
        </w:rPr>
        <w:t xml:space="preserve">В связи с отсутствием технической возможности в строке 22 в графах 11, 12 с</w:t>
      </w:r>
      <w:r>
        <w:rPr>
          <w:rFonts w:ascii="Liberation Sans" w:hAnsi="Liberation Sans"/>
          <w:szCs w:val="28"/>
        </w:rPr>
        <w:t xml:space="preserve">т</w:t>
      </w:r>
      <w:r>
        <w:rPr>
          <w:rFonts w:ascii="Liberation Sans" w:hAnsi="Liberation Sans"/>
          <w:szCs w:val="28"/>
        </w:rPr>
        <w:t xml:space="preserve">атистической формы </w:t>
        <w:br/>
        <w:t xml:space="preserve">№ 1-жилфонд не отображена общая площадь многоквартирных домов № 7, № 8, № 9 мкр. Энтузиастов – 34,63 тыс. кв. м. Указанные многоквартирные дома оборудованы крышными газовыми котельными, а жилые помещения оснащены электрическими плитами.</w:t>
      </w:r>
      <w:r/>
    </w:p>
  </w:footnote>
  <w:footnote w:id="3">
    <w:p>
      <w:pPr>
        <w:pStyle w:val="1101"/>
        <w:jc w:val="both"/>
        <w:rPr>
          <w:highlight w:val="none"/>
        </w:rPr>
      </w:pPr>
      <w:r>
        <w:rPr>
          <w:rStyle w:val="1103"/>
        </w:rPr>
        <w:footnoteRef/>
      </w:r>
      <w:r>
        <w:t xml:space="preserve"> </w:t>
      </w:r>
      <w:r>
        <w:rPr>
          <w:rFonts w:ascii="Liberation Sans" w:hAnsi="Liberation Sans" w:eastAsia="PT Astra Serif" w:cs="Liberation Sans"/>
        </w:rPr>
        <w:t xml:space="preserve">пр. Губкина, д. 26, пр. Губкина, д. 21, пр. Губкина, д. 7А, ул. Надымская, д. 3А, 5А,</w:t>
      </w:r>
      <w:r>
        <w:rPr>
          <w:rFonts w:ascii="Liberation Sans" w:hAnsi="Liberation Sans" w:eastAsia="PT Astra Serif" w:cs="Liberation Sans"/>
          <w:szCs w:val="28"/>
        </w:rPr>
        <w:t xml:space="preserve"> ул. Железнодорожная, </w:t>
        <w:br/>
        <w:t xml:space="preserve">д. </w:t>
      </w:r>
      <w:r>
        <w:rPr>
          <w:rFonts w:ascii="Liberation Sans" w:hAnsi="Liberation Sans" w:eastAsia="PT Astra Serif" w:cs="Liberation Sans"/>
          <w:szCs w:val="28"/>
          <w:highlight w:val="none"/>
        </w:rPr>
        <w:t xml:space="preserve">48, ул. Сибирская, д. 81, ул. Сибирская, д. 35</w:t>
      </w:r>
      <w:r>
        <w:rPr>
          <w:rFonts w:ascii="Liberation Sans" w:hAnsi="Liberation Sans" w:eastAsia="PT Astra Serif" w:cs="Liberation Sans"/>
          <w:szCs w:val="28"/>
          <w:highlight w:val="none"/>
        </w:rPr>
        <w:t xml:space="preserve">А, 45, мкр. Оптимистов, д. 3/1, 3/2, мкр. Оптимистов, д. 2/1, 2/2, мкр. Оптимистов, д. 4/3, ул. Южная, д. 52А, ул. Таежная, д. 19, ул. Молодежная, д. 7Б, пр. Ленинградский, д. 6А, </w:t>
      </w:r>
      <w:r>
        <w:rPr>
          <w:rFonts w:ascii="Liberation Sans" w:hAnsi="Liberation Sans" w:eastAsia="PT Astra Serif" w:cs="Liberation Sans"/>
          <w:szCs w:val="28"/>
          <w:highlight w:val="none"/>
        </w:rPr>
        <w:t xml:space="preserve">«</w:t>
      </w:r>
      <w:r>
        <w:rPr>
          <w:rFonts w:ascii="Liberation Sans" w:hAnsi="Liberation Sans" w:eastAsia="PT Astra Serif" w:cs="Liberation Sans"/>
          <w:szCs w:val="28"/>
          <w:highlight w:val="none"/>
        </w:rPr>
        <w:t xml:space="preserve">Виадук</w:t>
      </w:r>
      <w:r>
        <w:rPr>
          <w:rFonts w:ascii="Liberation Sans" w:hAnsi="Liberation Sans" w:eastAsia="PT Astra Serif" w:cs="Liberation Sans"/>
          <w:szCs w:val="28"/>
          <w:highlight w:val="none"/>
        </w:rPr>
        <w:t xml:space="preserve">»</w:t>
      </w:r>
      <w:r>
        <w:rPr>
          <w:rFonts w:ascii="Liberation Sans" w:hAnsi="Liberation Sans" w:eastAsia="PT Astra Serif" w:cs="Liberation Sans"/>
          <w:szCs w:val="28"/>
          <w:highlight w:val="none"/>
        </w:rPr>
        <w:t xml:space="preserve">, ул. Молодежная, д. 15, пр. Ленинградский, д. 14, ул. Геологоразведчико</w:t>
      </w:r>
      <w:r>
        <w:rPr>
          <w:rFonts w:ascii="Liberation Sans" w:hAnsi="Liberation Sans" w:eastAsia="PT Astra Serif" w:cs="Liberation Sans"/>
          <w:szCs w:val="28"/>
          <w:highlight w:val="none"/>
        </w:rPr>
        <w:t xml:space="preserve">в, д. 8, 8А, ул. Геологоразведчиков, д. 16, ул. 26 </w:t>
      </w:r>
      <w:r>
        <w:rPr>
          <w:rFonts w:ascii="Liberation Sans" w:hAnsi="Liberation Sans" w:eastAsia="PT Astra Serif" w:cs="Liberation Sans"/>
          <w:szCs w:val="28"/>
          <w:highlight w:val="none"/>
        </w:rPr>
        <w:t xml:space="preserve">С</w:t>
      </w:r>
      <w:r>
        <w:rPr>
          <w:rFonts w:ascii="Liberation Sans" w:hAnsi="Liberation Sans" w:eastAsia="PT Astra Serif" w:cs="Liberation Sans"/>
          <w:szCs w:val="28"/>
          <w:highlight w:val="none"/>
        </w:rPr>
        <w:t xml:space="preserve">ъезда КПСС, д. 12А, ул. Интернациональная, д. 1Б, 1В, 1Г, 1Д, мкр. Дружба, д. 5/1, мкр. Дружба, д. 2/3, 2/9, мкр. Восточный, д. 5/2, мкр. Восточный, д. 5/5, мкр. Восточный, д. 6/3, мкр. Восточный, д. 3/2,</w:t>
      </w:r>
      <w:r>
        <w:rPr>
          <w:rFonts w:ascii="Liberation Sans" w:hAnsi="Liberation Sans" w:eastAsia="PT Astra Serif" w:cs="Liberation Sans"/>
          <w:szCs w:val="28"/>
          <w:highlight w:val="none"/>
        </w:rPr>
        <w:t xml:space="preserve"> мкр. Восточный, д. 1/1, мкр. Юбилейный, д. 2/7, мкр. Юбилейный, д. 3/2, парк «Энко» </w:t>
      </w:r>
      <w:r>
        <w:rPr>
          <w:rFonts w:ascii="Liberation Sans" w:hAnsi="Liberation Sans" w:eastAsia="PT Astra Serif" w:cs="Liberation Sans"/>
          <w:szCs w:val="28"/>
          <w:highlight w:val="none"/>
        </w:rPr>
        <w:t xml:space="preserve">в</w:t>
      </w:r>
      <w:r>
        <w:rPr>
          <w:rFonts w:ascii="Liberation Sans" w:hAnsi="Liberation Sans" w:eastAsia="PT Astra Serif" w:cs="Liberation Sans"/>
          <w:szCs w:val="28"/>
          <w:highlight w:val="none"/>
        </w:rPr>
        <w:t xml:space="preserve"> мкр. Восточный, мкр. Мирный, д. 3/1, мкр. Мирный, д. 2/4, мкр. Мирный, д. 1/5, мкр. Советский, д. 3/4, мкр. Советский, д. 9/2, мкр. Советский, д. 8/2, мкр. Советский, д. 7/2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</w:footnote>
  <w:footnote w:id="4">
    <w:p>
      <w:pPr>
        <w:pStyle w:val="1101"/>
        <w:jc w:val="both"/>
      </w:pPr>
      <w:r>
        <w:rPr>
          <w:rStyle w:val="1103"/>
        </w:rPr>
        <w:footnoteRef/>
      </w:r>
      <w:r>
        <w:t xml:space="preserve"> </w:t>
      </w:r>
      <w:r>
        <w:rPr>
          <w:rFonts w:ascii="Liberation Sans" w:hAnsi="Liberation Sans" w:eastAsia="PT Astra Serif" w:cs="Liberation Sans"/>
          <w:szCs w:val="28"/>
        </w:rPr>
        <w:t xml:space="preserve">ул. Железнодорожная, д. 48, ул. Сибирская, д. 35А, 45, пр. Ленинградский, д. 6А, ул. Молодежная, д. 15, </w:t>
        <w:br/>
        <w:t xml:space="preserve">мкр. Дружба, д. 5/1,</w:t>
      </w:r>
      <w:r>
        <w:rPr>
          <w:rFonts w:ascii="Liberation Sans" w:hAnsi="Liberation Sans" w:eastAsia="Courier New" w:cs="Liberation Sans"/>
          <w:szCs w:val="28"/>
        </w:rPr>
        <w:t xml:space="preserve"> </w:t>
      </w:r>
      <w:r>
        <w:rPr>
          <w:rFonts w:ascii="Liberation Sans" w:hAnsi="Liberation Sans" w:eastAsia="PT Astra Serif" w:cs="Liberation Sans"/>
          <w:szCs w:val="28"/>
        </w:rPr>
        <w:t xml:space="preserve">мкр. Дружба, д. 2/3, 2/9, мкр. Восточный, д. 6/3,</w:t>
      </w:r>
      <w:r>
        <w:rPr>
          <w:rFonts w:ascii="Liberation Sans" w:hAnsi="Liberation Sans" w:eastAsia="Courier New" w:cs="Liberation Sans"/>
          <w:szCs w:val="28"/>
        </w:rPr>
        <w:t xml:space="preserve"> </w:t>
      </w:r>
      <w:r>
        <w:rPr>
          <w:rFonts w:ascii="Liberation Sans" w:hAnsi="Liberation Sans" w:eastAsia="PT Astra Serif" w:cs="Liberation Sans"/>
          <w:szCs w:val="28"/>
        </w:rPr>
        <w:t xml:space="preserve">мкр. Юбилейный, д. 2/7, мкр. Мирный, д. 3/1, мкр. Советский, д. 9/2</w:t>
      </w:r>
      <w:r>
        <w:t xml:space="preserve">.</w:t>
      </w:r>
      <w:r/>
    </w:p>
  </w:footnote>
  <w:footnote w:id="5">
    <w:p>
      <w:pPr>
        <w:ind w:firstLine="709"/>
        <w:jc w:val="both"/>
        <w:spacing w:after="0" w:line="240" w:lineRule="auto"/>
        <w:rPr>
          <w:rFonts w:ascii="Liberation Sans" w:hAnsi="Liberation Sans" w:cs="Liberation Sans"/>
          <w:highlight w:val="none"/>
        </w:rPr>
      </w:pPr>
      <w:r>
        <w:rPr>
          <w:rStyle w:val="1103"/>
          <w:rFonts w:ascii="Liberation Sans" w:hAnsi="Liberation Sans" w:eastAsia="Liberation Sans" w:cs="Liberation Sans"/>
          <w:sz w:val="20"/>
          <w:szCs w:val="20"/>
        </w:rPr>
        <w:footnoteRef/>
      </w:r>
      <w:r>
        <w:rPr>
          <w:rFonts w:ascii="Liberation Sans" w:hAnsi="Liberation Sans" w:eastAsia="Liberation Sans" w:cs="Liberation Sans"/>
          <w:sz w:val="20"/>
          <w:szCs w:val="20"/>
        </w:rPr>
        <w:t xml:space="preserve"> </w:t>
      </w:r>
      <w:r>
        <w:rPr>
          <w:rFonts w:ascii="Liberation Sans" w:hAnsi="Liberation Sans" w:eastAsia="Liberation Sans" w:cs="Liberation Sans"/>
          <w:sz w:val="20"/>
          <w:szCs w:val="20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sz w:val="20"/>
          <w:szCs w:val="20"/>
          <w:highlight w:val="none"/>
        </w:rPr>
        <w:t xml:space="preserve">Протяженность тепловых сетей указана с учетом протяженности сетей горячего водоснабжения в соответствии с формой федерального статистического наблюдения 1-ТЕП</w:t>
      </w:r>
      <w:r>
        <w:rPr>
          <w:rFonts w:ascii="Liberation Sans" w:hAnsi="Liberation Sans" w:eastAsia="Liberation Sans" w:cs="Liberation Sans"/>
          <w:sz w:val="20"/>
          <w:szCs w:val="20"/>
          <w:highlight w:val="none"/>
        </w:rPr>
        <w:t xml:space="preserve">.</w:t>
      </w:r>
      <w:r>
        <w:rPr>
          <w:rFonts w:ascii="Liberation Sans" w:hAnsi="Liberation Sans" w:cs="Liberation Sans"/>
          <w:highlight w:val="none"/>
        </w:rPr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8"/>
      <w:jc w:val="center"/>
      <w:rPr>
        <w:rFonts w:ascii="Liberation Sans" w:hAnsi="Liberation Sans" w:cs="Liberation Sans"/>
        <w:sz w:val="24"/>
        <w:szCs w:val="24"/>
      </w:rPr>
    </w:pPr>
    <w:fldSimple w:instr="PAGE \* MERGEFORMAT">
      <w:r>
        <w:rPr>
          <w:rFonts w:ascii="Liberation Sans" w:hAnsi="Liberation Sans" w:eastAsia="Liberation Sans" w:cs="Liberation Sans"/>
          <w:sz w:val="24"/>
          <w:szCs w:val="24"/>
        </w:rPr>
        <w:t xml:space="preserve">1</w:t>
      </w:r>
    </w:fldSimple>
    <w:r>
      <w:rPr>
        <w:rFonts w:ascii="Liberation Sans" w:hAnsi="Liberation Sans" w:eastAsia="Liberation Sans" w:cs="Liberation Sans"/>
        <w:sz w:val="24"/>
        <w:szCs w:val="24"/>
      </w:rPr>
    </w:r>
    <w:r>
      <w:rPr>
        <w:rFonts w:ascii="Liberation Sans" w:hAnsi="Liberation Sans" w:cs="Liberation Sans"/>
        <w:sz w:val="24"/>
        <w:szCs w:val="24"/>
      </w:rPr>
    </w:r>
    <w:r/>
  </w:p>
  <w:p>
    <w:pPr>
      <w:pStyle w:val="968"/>
      <w:rPr>
        <w:sz w:val="20"/>
        <w:szCs w:val="20"/>
      </w:rPr>
    </w:pPr>
    <w:r>
      <w:rPr>
        <w:sz w:val="20"/>
        <w:szCs w:val="20"/>
      </w:rPr>
    </w:r>
    <w:r>
      <w:rPr>
        <w:sz w:val="20"/>
        <w:szCs w:val="20"/>
      </w:rPr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8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2764" w:hanging="495"/>
      </w:pPr>
      <w:rPr>
        <w:rFonts w:hint="default"/>
        <w:b/>
        <w:bCs/>
        <w:i w:val="0"/>
        <w:iCs w:val="0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8801" w:hanging="720"/>
      </w:pPr>
      <w:rPr>
        <w:rFonts w:hint="default" w:ascii="Liberation Sans" w:hAnsi="Liberation Sans" w:eastAsia="Liberation Sans" w:cs="Liberation Sans"/>
        <w:b/>
        <w:sz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713" w:hanging="720"/>
      </w:pPr>
      <w:rPr>
        <w:rFonts w:hint="default" w:ascii="Liberation Sans" w:hAnsi="Liberation Sans" w:eastAsia="Liberation Sans" w:cs="Liberation Sans"/>
        <w:b/>
        <w:i w:val="0"/>
        <w:color w:val="auto"/>
        <w:sz w:val="28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40" w:hanging="360"/>
        <w:tabs>
          <w:tab w:val="num" w:pos="1440" w:leader="none"/>
        </w:tabs>
      </w:pPr>
      <w:rPr>
        <w:rFonts w:ascii="Liberation Sans" w:hAnsi="Liberation Sans" w:eastAsia="Liberation Sans" w:cs="Liberation Sans"/>
        <w:sz w:val="28"/>
      </w:rPr>
    </w:lvl>
    <w:lvl w:ilvl="1">
      <w:start w:val="1"/>
      <w:numFmt w:val="bullet"/>
      <w:isLgl w:val="false"/>
      <w:suff w:val="tab"/>
      <w:lvlText w:val="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212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84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56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28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500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72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44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16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886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30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8801" w:hanging="720"/>
      </w:pPr>
      <w:rPr>
        <w:rFonts w:hint="default" w:ascii="Liberation Serif" w:hAnsi="Liberation Serif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713" w:hanging="720"/>
      </w:pPr>
      <w:rPr>
        <w:rFonts w:hint="default" w:ascii="Liberation Serif" w:hAnsi="Liberation Serif" w:cs="Times New Roman"/>
        <w:b/>
        <w:i w:val="0"/>
        <w:color w:val="auto"/>
        <w:sz w:val="28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3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8801" w:hanging="720"/>
      </w:pPr>
      <w:rPr>
        <w:rFonts w:hint="default" w:ascii="Liberation Serif" w:hAnsi="Liberation Serif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713" w:hanging="720"/>
      </w:pPr>
      <w:rPr>
        <w:rFonts w:hint="default" w:ascii="Liberation Serif" w:hAnsi="Liberation Serif" w:cs="Times New Roman"/>
        <w:b/>
        <w:i w:val="0"/>
        <w:color w:val="auto"/>
        <w:sz w:val="28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−"/>
      <w:lvlJc w:val="left"/>
      <w:pPr>
        <w:ind w:left="1429" w:hanging="360"/>
      </w:pPr>
      <w:rPr>
        <w:rFonts w:ascii="Liberation Serif" w:hAnsi="Liberation Serif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−"/>
      <w:lvlJc w:val="left"/>
      <w:pPr>
        <w:ind w:left="1429" w:hanging="360"/>
      </w:pPr>
      <w:rPr>
        <w:rFonts w:ascii="Liberation Serif" w:hAnsi="Liberation Serif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−"/>
      <w:lvlJc w:val="left"/>
      <w:pPr>
        <w:ind w:left="1429" w:hanging="360"/>
      </w:pPr>
      <w:rPr>
        <w:rFonts w:ascii="Liberation Serif" w:hAnsi="Liberation Serif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135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55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575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295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15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735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455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75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895" w:hanging="360"/>
      </w:pPr>
      <w:rPr>
        <w:rFonts w:hint="default" w:ascii="Wingdings" w:hAnsi="Wingdings" w:eastAsia="Wingdings" w:cs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4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8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6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212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84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56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28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500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72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44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16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886" w:hanging="360"/>
      </w:pPr>
      <w:rPr>
        <w:rFonts w:hint="default" w:ascii="Wingdings" w:hAnsi="Wingdings" w:eastAsia="Wingdings" w:cs="Wingdings"/>
      </w:rPr>
    </w:lvl>
  </w:abstractNum>
  <w:abstractNum w:abstractNumId="6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  <w:highlight w:val="none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  <w:highlight w:val="none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928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  <w:highlight w:val="none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928" w:hanging="360"/>
      </w:pPr>
      <w:rPr>
        <w:rFonts w:ascii="Arial" w:hAnsi="Arial" w:eastAsia="Arial" w:cs="Arial"/>
        <w:highlight w:val="none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7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  <w:highlight w:val="none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  <w:highlight w:val="none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  <w:highlight w:val="none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  <w:highlight w:val="none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  <w:highlight w:val="none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7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7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7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8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8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8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83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1418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8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8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8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8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89">
    <w:multiLevelType w:val="hybridMultilevel"/>
    <w:lvl w:ilvl="0">
      <w:start w:val="1"/>
      <w:numFmt w:val="bullet"/>
      <w:isLgl w:val="false"/>
      <w:suff w:val="tab"/>
      <w:lvlText w:val="*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212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84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56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28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500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72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44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16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886" w:hanging="360"/>
      </w:pPr>
      <w:rPr>
        <w:rFonts w:hint="default" w:ascii="Wingdings" w:hAnsi="Wingdings" w:eastAsia="Wingdings" w:cs="Wingdings"/>
      </w:rPr>
    </w:lvl>
  </w:abstractNum>
  <w:abstractNum w:abstractNumId="9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212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84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56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28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500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72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44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716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886" w:hanging="360"/>
      </w:pPr>
      <w:rPr>
        <w:rFonts w:hint="default" w:ascii="Wingdings" w:hAnsi="Wingdings" w:eastAsia="Wingdings" w:cs="Wingdings"/>
      </w:rPr>
    </w:lvl>
  </w:abstractNum>
  <w:abstractNum w:abstractNumId="9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9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9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9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9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9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  <w:lvlOverride w:ilvl="0">
      <w:lvl w:ilvl="0">
        <w:start w:val="65535"/>
        <w:numFmt w:val="bullet"/>
        <w:isLgl w:val="false"/>
        <w:suff w:val="tab"/>
        <w:lvlText w:val="-"/>
        <w:legacy w:legacy="1" w:legacyIndent="163" w:legacySpace="0"/>
        <w:lvlJc w:val="left"/>
        <w:pPr/>
        <w:rPr>
          <w:rFonts w:hint="default" w:ascii="Times New Roman" w:hAnsi="Times New Roman" w:cs="Times New Roman"/>
        </w:rPr>
      </w:lvl>
    </w:lvlOverride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942">
    <w:name w:val="Heading 1"/>
    <w:basedOn w:val="1118"/>
    <w:next w:val="1118"/>
    <w:link w:val="94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943">
    <w:name w:val="Heading 1 Char"/>
    <w:link w:val="942"/>
    <w:uiPriority w:val="9"/>
    <w:rPr>
      <w:rFonts w:ascii="Arial" w:hAnsi="Arial" w:eastAsia="Arial" w:cs="Arial"/>
      <w:sz w:val="40"/>
      <w:szCs w:val="40"/>
    </w:rPr>
  </w:style>
  <w:style w:type="paragraph" w:styleId="944">
    <w:name w:val="Heading 2"/>
    <w:basedOn w:val="1118"/>
    <w:next w:val="1118"/>
    <w:link w:val="94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945">
    <w:name w:val="Heading 2 Char"/>
    <w:link w:val="944"/>
    <w:uiPriority w:val="9"/>
    <w:rPr>
      <w:rFonts w:ascii="Arial" w:hAnsi="Arial" w:eastAsia="Arial" w:cs="Arial"/>
      <w:sz w:val="34"/>
    </w:rPr>
  </w:style>
  <w:style w:type="paragraph" w:styleId="946">
    <w:name w:val="Heading 3"/>
    <w:basedOn w:val="1118"/>
    <w:next w:val="1118"/>
    <w:link w:val="94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947">
    <w:name w:val="Heading 3 Char"/>
    <w:link w:val="946"/>
    <w:uiPriority w:val="9"/>
    <w:rPr>
      <w:rFonts w:ascii="Arial" w:hAnsi="Arial" w:eastAsia="Arial" w:cs="Arial"/>
      <w:sz w:val="30"/>
      <w:szCs w:val="30"/>
    </w:rPr>
  </w:style>
  <w:style w:type="paragraph" w:styleId="948">
    <w:name w:val="Heading 4"/>
    <w:basedOn w:val="1118"/>
    <w:next w:val="1118"/>
    <w:link w:val="94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949">
    <w:name w:val="Heading 4 Char"/>
    <w:link w:val="948"/>
    <w:uiPriority w:val="9"/>
    <w:rPr>
      <w:rFonts w:ascii="Arial" w:hAnsi="Arial" w:eastAsia="Arial" w:cs="Arial"/>
      <w:b/>
      <w:bCs/>
      <w:sz w:val="26"/>
      <w:szCs w:val="26"/>
    </w:rPr>
  </w:style>
  <w:style w:type="paragraph" w:styleId="950">
    <w:name w:val="Heading 5"/>
    <w:basedOn w:val="1118"/>
    <w:next w:val="1118"/>
    <w:link w:val="95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951">
    <w:name w:val="Heading 5 Char"/>
    <w:link w:val="950"/>
    <w:uiPriority w:val="9"/>
    <w:rPr>
      <w:rFonts w:ascii="Arial" w:hAnsi="Arial" w:eastAsia="Arial" w:cs="Arial"/>
      <w:b/>
      <w:bCs/>
      <w:sz w:val="24"/>
      <w:szCs w:val="24"/>
    </w:rPr>
  </w:style>
  <w:style w:type="paragraph" w:styleId="952">
    <w:name w:val="Heading 6"/>
    <w:basedOn w:val="1118"/>
    <w:next w:val="1118"/>
    <w:link w:val="95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953">
    <w:name w:val="Heading 6 Char"/>
    <w:link w:val="952"/>
    <w:uiPriority w:val="9"/>
    <w:rPr>
      <w:rFonts w:ascii="Arial" w:hAnsi="Arial" w:eastAsia="Arial" w:cs="Arial"/>
      <w:b/>
      <w:bCs/>
      <w:sz w:val="22"/>
      <w:szCs w:val="22"/>
    </w:rPr>
  </w:style>
  <w:style w:type="paragraph" w:styleId="954">
    <w:name w:val="Heading 7"/>
    <w:basedOn w:val="1118"/>
    <w:next w:val="1118"/>
    <w:link w:val="95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955">
    <w:name w:val="Heading 7 Char"/>
    <w:link w:val="95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956">
    <w:name w:val="Heading 8"/>
    <w:basedOn w:val="1118"/>
    <w:next w:val="1118"/>
    <w:link w:val="95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957">
    <w:name w:val="Heading 8 Char"/>
    <w:link w:val="956"/>
    <w:uiPriority w:val="9"/>
    <w:rPr>
      <w:rFonts w:ascii="Arial" w:hAnsi="Arial" w:eastAsia="Arial" w:cs="Arial"/>
      <w:i/>
      <w:iCs/>
      <w:sz w:val="22"/>
      <w:szCs w:val="22"/>
    </w:rPr>
  </w:style>
  <w:style w:type="paragraph" w:styleId="958">
    <w:name w:val="Heading 9"/>
    <w:basedOn w:val="1118"/>
    <w:next w:val="1118"/>
    <w:link w:val="95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959">
    <w:name w:val="Heading 9 Char"/>
    <w:link w:val="958"/>
    <w:uiPriority w:val="9"/>
    <w:rPr>
      <w:rFonts w:ascii="Arial" w:hAnsi="Arial" w:eastAsia="Arial" w:cs="Arial"/>
      <w:i/>
      <w:iCs/>
      <w:sz w:val="21"/>
      <w:szCs w:val="21"/>
    </w:rPr>
  </w:style>
  <w:style w:type="paragraph" w:styleId="960">
    <w:name w:val="Title"/>
    <w:basedOn w:val="1118"/>
    <w:next w:val="1118"/>
    <w:link w:val="96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961">
    <w:name w:val="Title Char"/>
    <w:link w:val="960"/>
    <w:uiPriority w:val="10"/>
    <w:rPr>
      <w:sz w:val="48"/>
      <w:szCs w:val="48"/>
    </w:rPr>
  </w:style>
  <w:style w:type="paragraph" w:styleId="962">
    <w:name w:val="Subtitle"/>
    <w:basedOn w:val="1118"/>
    <w:next w:val="1118"/>
    <w:link w:val="963"/>
    <w:uiPriority w:val="11"/>
    <w:qFormat/>
    <w:pPr>
      <w:spacing w:before="200" w:after="200"/>
    </w:pPr>
    <w:rPr>
      <w:sz w:val="24"/>
      <w:szCs w:val="24"/>
    </w:rPr>
  </w:style>
  <w:style w:type="character" w:styleId="963">
    <w:name w:val="Subtitle Char"/>
    <w:link w:val="962"/>
    <w:uiPriority w:val="11"/>
    <w:rPr>
      <w:sz w:val="24"/>
      <w:szCs w:val="24"/>
    </w:rPr>
  </w:style>
  <w:style w:type="paragraph" w:styleId="964">
    <w:name w:val="Quote"/>
    <w:basedOn w:val="1118"/>
    <w:next w:val="1118"/>
    <w:link w:val="965"/>
    <w:uiPriority w:val="29"/>
    <w:qFormat/>
    <w:pPr>
      <w:ind w:left="720" w:right="720"/>
    </w:pPr>
    <w:rPr>
      <w:i/>
    </w:rPr>
  </w:style>
  <w:style w:type="character" w:styleId="965">
    <w:name w:val="Quote Char"/>
    <w:link w:val="964"/>
    <w:uiPriority w:val="29"/>
    <w:rPr>
      <w:i/>
    </w:rPr>
  </w:style>
  <w:style w:type="paragraph" w:styleId="966">
    <w:name w:val="Intense Quote"/>
    <w:basedOn w:val="1118"/>
    <w:next w:val="1118"/>
    <w:link w:val="96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67">
    <w:name w:val="Intense Quote Char"/>
    <w:link w:val="966"/>
    <w:uiPriority w:val="30"/>
    <w:rPr>
      <w:i/>
    </w:rPr>
  </w:style>
  <w:style w:type="paragraph" w:styleId="968">
    <w:name w:val="Header"/>
    <w:basedOn w:val="1118"/>
    <w:link w:val="96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969">
    <w:name w:val="Header Char"/>
    <w:link w:val="968"/>
    <w:uiPriority w:val="99"/>
  </w:style>
  <w:style w:type="paragraph" w:styleId="970">
    <w:name w:val="Footer"/>
    <w:basedOn w:val="1118"/>
    <w:link w:val="97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971">
    <w:name w:val="Footer Char"/>
    <w:link w:val="970"/>
    <w:uiPriority w:val="99"/>
  </w:style>
  <w:style w:type="paragraph" w:styleId="972">
    <w:name w:val="Caption"/>
    <w:basedOn w:val="1118"/>
    <w:next w:val="111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973">
    <w:name w:val="Caption Char"/>
    <w:basedOn w:val="972"/>
    <w:link w:val="970"/>
    <w:uiPriority w:val="99"/>
  </w:style>
  <w:style w:type="table" w:styleId="974">
    <w:name w:val="Table Grid"/>
    <w:basedOn w:val="111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75">
    <w:name w:val="Table Grid Light"/>
    <w:basedOn w:val="11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76">
    <w:name w:val="Plain Table 1"/>
    <w:basedOn w:val="11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77">
    <w:name w:val="Plain Table 2"/>
    <w:basedOn w:val="11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78">
    <w:name w:val="Plain Table 3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79">
    <w:name w:val="Plain Table 4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0">
    <w:name w:val="Plain Table 5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81">
    <w:name w:val="Grid Table 1 Light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2">
    <w:name w:val="Grid Table 1 Light - Accent 1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3">
    <w:name w:val="Grid Table 1 Light - Accent 2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4">
    <w:name w:val="Grid Table 1 Light - Accent 3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5">
    <w:name w:val="Grid Table 1 Light - Accent 4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6">
    <w:name w:val="Grid Table 1 Light - Accent 5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7">
    <w:name w:val="Grid Table 1 Light - Accent 6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8">
    <w:name w:val="Grid Table 2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9">
    <w:name w:val="Grid Table 2 - Accent 1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0">
    <w:name w:val="Grid Table 2 - Accent 2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1">
    <w:name w:val="Grid Table 2 - Accent 3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2">
    <w:name w:val="Grid Table 2 - Accent 4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3">
    <w:name w:val="Grid Table 2 - Accent 5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4">
    <w:name w:val="Grid Table 2 - Accent 6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5">
    <w:name w:val="Grid Table 3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6">
    <w:name w:val="Grid Table 3 - Accent 1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7">
    <w:name w:val="Grid Table 3 - Accent 2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8">
    <w:name w:val="Grid Table 3 - Accent 3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9">
    <w:name w:val="Grid Table 3 - Accent 4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0">
    <w:name w:val="Grid Table 3 - Accent 5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1">
    <w:name w:val="Grid Table 3 - Accent 6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02">
    <w:name w:val="Grid Table 4"/>
    <w:basedOn w:val="11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003">
    <w:name w:val="Grid Table 4 - Accent 1"/>
    <w:basedOn w:val="11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1004">
    <w:name w:val="Grid Table 4 - Accent 2"/>
    <w:basedOn w:val="11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1005">
    <w:name w:val="Grid Table 4 - Accent 3"/>
    <w:basedOn w:val="11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1006">
    <w:name w:val="Grid Table 4 - Accent 4"/>
    <w:basedOn w:val="11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1007">
    <w:name w:val="Grid Table 4 - Accent 5"/>
    <w:basedOn w:val="11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1008">
    <w:name w:val="Grid Table 4 - Accent 6"/>
    <w:basedOn w:val="11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1009">
    <w:name w:val="Grid Table 5 Dark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1010">
    <w:name w:val="Grid Table 5 Dark- Accent 1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1011">
    <w:name w:val="Grid Table 5 Dark - Accent 2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1012">
    <w:name w:val="Grid Table 5 Dark - Accent 3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1013">
    <w:name w:val="Grid Table 5 Dark- Accent 4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1014">
    <w:name w:val="Grid Table 5 Dark - Accent 5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1015">
    <w:name w:val="Grid Table 5 Dark - Accent 6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1016">
    <w:name w:val="Grid Table 6 Colorful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1017">
    <w:name w:val="Grid Table 6 Colorful - Accent 1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1018">
    <w:name w:val="Grid Table 6 Colorful - Accent 2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1019">
    <w:name w:val="Grid Table 6 Colorful - Accent 3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1020">
    <w:name w:val="Grid Table 6 Colorful - Accent 4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1021">
    <w:name w:val="Grid Table 6 Colorful - Accent 5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022">
    <w:name w:val="Grid Table 6 Colorful - Accent 6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023">
    <w:name w:val="Grid Table 7 Colorful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4">
    <w:name w:val="Grid Table 7 Colorful - Accent 1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5">
    <w:name w:val="Grid Table 7 Colorful - Accent 2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6">
    <w:name w:val="Grid Table 7 Colorful - Accent 3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7">
    <w:name w:val="Grid Table 7 Colorful - Accent 4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8">
    <w:name w:val="Grid Table 7 Colorful - Accent 5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9">
    <w:name w:val="Grid Table 7 Colorful - Accent 6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0">
    <w:name w:val="List Table 1 Light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1">
    <w:name w:val="List Table 1 Light - Accent 1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2">
    <w:name w:val="List Table 1 Light - Accent 2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3">
    <w:name w:val="List Table 1 Light - Accent 3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4">
    <w:name w:val="List Table 1 Light - Accent 4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5">
    <w:name w:val="List Table 1 Light - Accent 5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6">
    <w:name w:val="List Table 1 Light - Accent 6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7">
    <w:name w:val="List Table 2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038">
    <w:name w:val="List Table 2 - Accent 1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039">
    <w:name w:val="List Table 2 - Accent 2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040">
    <w:name w:val="List Table 2 - Accent 3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041">
    <w:name w:val="List Table 2 - Accent 4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042">
    <w:name w:val="List Table 2 - Accent 5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043">
    <w:name w:val="List Table 2 - Accent 6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044">
    <w:name w:val="List Table 3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5">
    <w:name w:val="List Table 3 - Accent 1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6">
    <w:name w:val="List Table 3 - Accent 2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7">
    <w:name w:val="List Table 3 - Accent 3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8">
    <w:name w:val="List Table 3 - Accent 4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9">
    <w:name w:val="List Table 3 - Accent 5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50">
    <w:name w:val="List Table 3 - Accent 6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51">
    <w:name w:val="List Table 4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52">
    <w:name w:val="List Table 4 - Accent 1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53">
    <w:name w:val="List Table 4 - Accent 2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54">
    <w:name w:val="List Table 4 - Accent 3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55">
    <w:name w:val="List Table 4 - Accent 4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56">
    <w:name w:val="List Table 4 - Accent 5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57">
    <w:name w:val="List Table 4 - Accent 6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58">
    <w:name w:val="List Table 5 Dark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59">
    <w:name w:val="List Table 5 Dark - Accent 1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60">
    <w:name w:val="List Table 5 Dark - Accent 2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61">
    <w:name w:val="List Table 5 Dark - Accent 3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62">
    <w:name w:val="List Table 5 Dark - Accent 4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63">
    <w:name w:val="List Table 5 Dark - Accent 5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64">
    <w:name w:val="List Table 5 Dark - Accent 6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65">
    <w:name w:val="List Table 6 Colorful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066">
    <w:name w:val="List Table 6 Colorful - Accent 1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067">
    <w:name w:val="List Table 6 Colorful - Accent 2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068">
    <w:name w:val="List Table 6 Colorful - Accent 3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069">
    <w:name w:val="List Table 6 Colorful - Accent 4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070">
    <w:name w:val="List Table 6 Colorful - Accent 5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071">
    <w:name w:val="List Table 6 Colorful - Accent 6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072">
    <w:name w:val="List Table 7 Colorful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073">
    <w:name w:val="List Table 7 Colorful - Accent 1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074">
    <w:name w:val="List Table 7 Colorful - Accent 2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075">
    <w:name w:val="List Table 7 Colorful - Accent 3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076">
    <w:name w:val="List Table 7 Colorful - Accent 4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077">
    <w:name w:val="List Table 7 Colorful - Accent 5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078">
    <w:name w:val="List Table 7 Colorful - Accent 6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079">
    <w:name w:val="Lined - Accent"/>
    <w:basedOn w:val="11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80">
    <w:name w:val="Lined - Accent 1"/>
    <w:basedOn w:val="11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081">
    <w:name w:val="Lined - Accent 2"/>
    <w:basedOn w:val="11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082">
    <w:name w:val="Lined - Accent 3"/>
    <w:basedOn w:val="11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083">
    <w:name w:val="Lined - Accent 4"/>
    <w:basedOn w:val="11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084">
    <w:name w:val="Lined - Accent 5"/>
    <w:basedOn w:val="11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085">
    <w:name w:val="Lined - Accent 6"/>
    <w:basedOn w:val="11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086">
    <w:name w:val="Bordered &amp; Lined - Accent"/>
    <w:basedOn w:val="11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87">
    <w:name w:val="Bordered &amp; Lined - Accent 1"/>
    <w:basedOn w:val="11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088">
    <w:name w:val="Bordered &amp; Lined - Accent 2"/>
    <w:basedOn w:val="11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089">
    <w:name w:val="Bordered &amp; Lined - Accent 3"/>
    <w:basedOn w:val="11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090">
    <w:name w:val="Bordered &amp; Lined - Accent 4"/>
    <w:basedOn w:val="11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091">
    <w:name w:val="Bordered &amp; Lined - Accent 5"/>
    <w:basedOn w:val="11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092">
    <w:name w:val="Bordered &amp; Lined - Accent 6"/>
    <w:basedOn w:val="11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093">
    <w:name w:val="Bordered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094">
    <w:name w:val="Bordered - Accent 1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095">
    <w:name w:val="Bordered - Accent 2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096">
    <w:name w:val="Bordered - Accent 3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097">
    <w:name w:val="Bordered - Accent 4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098">
    <w:name w:val="Bordered - Accent 5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099">
    <w:name w:val="Bordered - Accent 6"/>
    <w:basedOn w:val="11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100">
    <w:name w:val="Hyperlink"/>
    <w:uiPriority w:val="99"/>
    <w:unhideWhenUsed/>
    <w:rPr>
      <w:color w:val="0000ff" w:themeColor="hyperlink"/>
      <w:u w:val="single"/>
    </w:rPr>
  </w:style>
  <w:style w:type="paragraph" w:styleId="1101">
    <w:name w:val="footnote text"/>
    <w:basedOn w:val="1118"/>
    <w:link w:val="1102"/>
    <w:uiPriority w:val="99"/>
    <w:semiHidden/>
    <w:unhideWhenUsed/>
    <w:pPr>
      <w:spacing w:after="40" w:line="240" w:lineRule="auto"/>
    </w:pPr>
    <w:rPr>
      <w:sz w:val="18"/>
    </w:rPr>
  </w:style>
  <w:style w:type="character" w:styleId="1102">
    <w:name w:val="Footnote Text Char"/>
    <w:link w:val="1101"/>
    <w:uiPriority w:val="99"/>
    <w:rPr>
      <w:sz w:val="18"/>
    </w:rPr>
  </w:style>
  <w:style w:type="character" w:styleId="1103">
    <w:name w:val="footnote reference"/>
    <w:uiPriority w:val="99"/>
    <w:unhideWhenUsed/>
    <w:rPr>
      <w:vertAlign w:val="superscript"/>
    </w:rPr>
  </w:style>
  <w:style w:type="paragraph" w:styleId="1104">
    <w:name w:val="endnote text"/>
    <w:basedOn w:val="1118"/>
    <w:link w:val="1105"/>
    <w:uiPriority w:val="99"/>
    <w:semiHidden/>
    <w:unhideWhenUsed/>
    <w:pPr>
      <w:spacing w:after="0" w:line="240" w:lineRule="auto"/>
    </w:pPr>
    <w:rPr>
      <w:sz w:val="20"/>
    </w:rPr>
  </w:style>
  <w:style w:type="character" w:styleId="1105">
    <w:name w:val="Endnote Text Char"/>
    <w:link w:val="1104"/>
    <w:uiPriority w:val="99"/>
    <w:rPr>
      <w:sz w:val="20"/>
    </w:rPr>
  </w:style>
  <w:style w:type="character" w:styleId="1106">
    <w:name w:val="endnote reference"/>
    <w:uiPriority w:val="99"/>
    <w:semiHidden/>
    <w:unhideWhenUsed/>
    <w:rPr>
      <w:vertAlign w:val="superscript"/>
    </w:rPr>
  </w:style>
  <w:style w:type="paragraph" w:styleId="1107">
    <w:name w:val="toc 1"/>
    <w:basedOn w:val="1118"/>
    <w:next w:val="1118"/>
    <w:uiPriority w:val="39"/>
    <w:unhideWhenUsed/>
    <w:pPr>
      <w:ind w:left="0" w:right="0" w:firstLine="0"/>
      <w:spacing w:after="57"/>
    </w:pPr>
  </w:style>
  <w:style w:type="paragraph" w:styleId="1108">
    <w:name w:val="toc 2"/>
    <w:basedOn w:val="1118"/>
    <w:next w:val="1118"/>
    <w:uiPriority w:val="39"/>
    <w:unhideWhenUsed/>
    <w:pPr>
      <w:ind w:left="283" w:right="0" w:firstLine="0"/>
      <w:spacing w:after="57"/>
    </w:pPr>
  </w:style>
  <w:style w:type="paragraph" w:styleId="1109">
    <w:name w:val="toc 3"/>
    <w:basedOn w:val="1118"/>
    <w:next w:val="1118"/>
    <w:uiPriority w:val="39"/>
    <w:unhideWhenUsed/>
    <w:pPr>
      <w:ind w:left="567" w:right="0" w:firstLine="0"/>
      <w:spacing w:after="57"/>
    </w:pPr>
  </w:style>
  <w:style w:type="paragraph" w:styleId="1110">
    <w:name w:val="toc 4"/>
    <w:basedOn w:val="1118"/>
    <w:next w:val="1118"/>
    <w:uiPriority w:val="39"/>
    <w:unhideWhenUsed/>
    <w:pPr>
      <w:ind w:left="850" w:right="0" w:firstLine="0"/>
      <w:spacing w:after="57"/>
    </w:pPr>
  </w:style>
  <w:style w:type="paragraph" w:styleId="1111">
    <w:name w:val="toc 5"/>
    <w:basedOn w:val="1118"/>
    <w:next w:val="1118"/>
    <w:uiPriority w:val="39"/>
    <w:unhideWhenUsed/>
    <w:pPr>
      <w:ind w:left="1134" w:right="0" w:firstLine="0"/>
      <w:spacing w:after="57"/>
    </w:pPr>
  </w:style>
  <w:style w:type="paragraph" w:styleId="1112">
    <w:name w:val="toc 6"/>
    <w:basedOn w:val="1118"/>
    <w:next w:val="1118"/>
    <w:uiPriority w:val="39"/>
    <w:unhideWhenUsed/>
    <w:pPr>
      <w:ind w:left="1417" w:right="0" w:firstLine="0"/>
      <w:spacing w:after="57"/>
    </w:pPr>
  </w:style>
  <w:style w:type="paragraph" w:styleId="1113">
    <w:name w:val="toc 7"/>
    <w:basedOn w:val="1118"/>
    <w:next w:val="1118"/>
    <w:uiPriority w:val="39"/>
    <w:unhideWhenUsed/>
    <w:pPr>
      <w:ind w:left="1701" w:right="0" w:firstLine="0"/>
      <w:spacing w:after="57"/>
    </w:pPr>
  </w:style>
  <w:style w:type="paragraph" w:styleId="1114">
    <w:name w:val="toc 8"/>
    <w:basedOn w:val="1118"/>
    <w:next w:val="1118"/>
    <w:uiPriority w:val="39"/>
    <w:unhideWhenUsed/>
    <w:pPr>
      <w:ind w:left="1984" w:right="0" w:firstLine="0"/>
      <w:spacing w:after="57"/>
    </w:pPr>
  </w:style>
  <w:style w:type="paragraph" w:styleId="1115">
    <w:name w:val="toc 9"/>
    <w:basedOn w:val="1118"/>
    <w:next w:val="1118"/>
    <w:uiPriority w:val="39"/>
    <w:unhideWhenUsed/>
    <w:pPr>
      <w:ind w:left="2268" w:right="0" w:firstLine="0"/>
      <w:spacing w:after="57"/>
    </w:pPr>
  </w:style>
  <w:style w:type="paragraph" w:styleId="1116">
    <w:name w:val="TOC Heading"/>
    <w:uiPriority w:val="39"/>
    <w:unhideWhenUsed/>
  </w:style>
  <w:style w:type="paragraph" w:styleId="1117">
    <w:name w:val="table of figures"/>
    <w:basedOn w:val="1118"/>
    <w:next w:val="1118"/>
    <w:uiPriority w:val="99"/>
    <w:unhideWhenUsed/>
    <w:pPr>
      <w:spacing w:after="0" w:afterAutospacing="0"/>
    </w:pPr>
  </w:style>
  <w:style w:type="paragraph" w:styleId="1118" w:default="1">
    <w:name w:val="Normal"/>
    <w:qFormat/>
  </w:style>
  <w:style w:type="table" w:styleId="111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120" w:default="1">
    <w:name w:val="No List"/>
    <w:uiPriority w:val="99"/>
    <w:semiHidden/>
    <w:unhideWhenUsed/>
  </w:style>
  <w:style w:type="paragraph" w:styleId="1121">
    <w:name w:val="No Spacing"/>
    <w:basedOn w:val="1118"/>
    <w:uiPriority w:val="1"/>
    <w:qFormat/>
    <w:pPr>
      <w:spacing w:after="0" w:line="240" w:lineRule="auto"/>
    </w:pPr>
  </w:style>
  <w:style w:type="paragraph" w:styleId="1122">
    <w:name w:val="List Paragraph"/>
    <w:basedOn w:val="1118"/>
    <w:uiPriority w:val="34"/>
    <w:qFormat/>
    <w:pPr>
      <w:contextualSpacing/>
      <w:ind w:left="720"/>
    </w:pPr>
  </w:style>
  <w:style w:type="character" w:styleId="1123" w:default="1">
    <w:name w:val="Default Paragraph Font"/>
    <w:uiPriority w:val="1"/>
    <w:semiHidden/>
    <w:unhideWhenUsed/>
  </w:style>
  <w:style w:type="character" w:styleId="1124" w:customStyle="1">
    <w:name w:val="Основной текст + 11;5 pt"/>
    <w:rPr>
      <w:color w:val="000000"/>
      <w:spacing w:val="0"/>
      <w:position w:val="0"/>
      <w:sz w:val="23"/>
      <w:szCs w:val="23"/>
      <w:shd w:val="clear" w:color="auto" w:fill="ffffff"/>
      <w:lang w:val="ru-RU"/>
    </w:rPr>
  </w:style>
  <w:style w:type="character" w:styleId="1125" w:customStyle="1">
    <w:name w:val="Гиперссылка"/>
    <w:rPr>
      <w:color w:val="0000ff"/>
      <w:sz w:val="20"/>
      <w:u w:val="single"/>
    </w:rPr>
  </w:style>
  <w:style w:type="character" w:styleId="1126" w:customStyle="1">
    <w:name w:val="Strong"/>
    <w:uiPriority w:val="22"/>
    <w:qFormat/>
    <w:rPr>
      <w:b/>
      <w:bCs/>
    </w:rPr>
  </w:style>
  <w:style w:type="character" w:styleId="1127" w:customStyle="1">
    <w:name w:val="Строгий1"/>
    <w:uiPriority w:val="22"/>
    <w:qFormat/>
    <w:rPr>
      <w:b/>
      <w:bCs/>
    </w:rPr>
  </w:style>
  <w:style w:type="character" w:styleId="1128" w:customStyle="1">
    <w:name w:val="apple-style-span"/>
  </w:style>
  <w:style w:type="character" w:styleId="1129" w:customStyle="1">
    <w:name w:val="Font Style12"/>
    <w:rPr>
      <w:rFonts w:ascii="Times New Roman" w:hAnsi="Times New Roman" w:cs="Times New Roman"/>
      <w:sz w:val="26"/>
      <w:szCs w:val="26"/>
    </w:rPr>
  </w:style>
  <w:style w:type="paragraph" w:styleId="1130" w:customStyle="1">
    <w:name w:val="Normal (Web)"/>
    <w:uiPriority w:val="99"/>
    <w:qFormat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</w:rPr>
  </w:style>
  <w:style w:type="paragraph" w:styleId="1131" w:customStyle="1">
    <w:name w:val="Body Text Indent"/>
    <w:uiPriority w:val="99"/>
    <w:pPr>
      <w:contextualSpacing w:val="0"/>
      <w:ind w:left="283" w:right="0" w:firstLine="0"/>
      <w:jc w:val="left"/>
      <w:keepLines w:val="0"/>
      <w:keepNext w:val="0"/>
      <w:pageBreakBefore w:val="0"/>
      <w:spacing w:before="0" w:beforeAutospacing="0" w:after="12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</w:rPr>
  </w:style>
  <w:style w:type="paragraph" w:styleId="1132" w:customStyle="1">
    <w:name w:val="ConsNormal"/>
    <w:uiPriority w:val="99"/>
    <w:pPr>
      <w:contextualSpacing w:val="0"/>
      <w:ind w:left="0" w:right="0" w:firstLine="72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Times New Roman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18"/>
      <w:szCs w:val="18"/>
      <w:highlight w:val="none"/>
      <w:u w:val="none"/>
      <w:vertAlign w:val="baseline"/>
      <w:rtl w:val="0"/>
      <w:cs w:val="0"/>
      <w:lang w:val="ru-RU" w:eastAsia="ru-RU" w:bidi="ar-SA"/>
    </w:rPr>
  </w:style>
  <w:style w:type="paragraph" w:styleId="1133" w:customStyle="1">
    <w:name w:val="Body Text"/>
    <w:uiPriority w:val="99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12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</w:rPr>
  </w:style>
  <w:style w:type="paragraph" w:styleId="1134" w:customStyle="1">
    <w:name w:val="Pa5"/>
    <w:uiPriority w:val="99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1" w:lineRule="atLeast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JournalC" w:hAnsi="JournalC" w:eastAsiaTheme="minorHAnsi" w:cstheme="minorBid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en-US" w:bidi="ar-SA"/>
    </w:rPr>
  </w:style>
  <w:style w:type="paragraph" w:styleId="1135" w:customStyle="1">
    <w:name w:val="Без интервала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ru-RU" w:bidi="ar-SA"/>
    </w:rPr>
  </w:style>
  <w:style w:type="paragraph" w:styleId="1136" w:customStyle="1">
    <w:name w:val="Верхний колонтитул"/>
    <w:pPr>
      <w:contextualSpacing w:val="0"/>
      <w:ind w:left="74" w:right="0" w:firstLine="0"/>
      <w:jc w:val="both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/>
      <w:tabs>
        <w:tab w:val="center" w:pos="4677" w:leader="none"/>
        <w:tab w:val="right" w:pos="9355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ru-RU" w:bidi="ar-SA"/>
    </w:rPr>
  </w:style>
  <w:style w:type="paragraph" w:styleId="1137" w:customStyle="1">
    <w:name w:val="ConsPlusNormal"/>
    <w:qFormat/>
    <w:pPr>
      <w:contextualSpacing w:val="0"/>
      <w:ind w:left="0" w:right="0" w:firstLine="72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Times New Roman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</w:rPr>
  </w:style>
  <w:style w:type="paragraph" w:styleId="1138" w:customStyle="1">
    <w:name w:val="ConsPlusNonformat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ourier New" w:hAnsi="Courier New" w:eastAsia="MS Mincho" w:cs="Courier New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ja-JP" w:bidi="ar-SA"/>
    </w:rPr>
  </w:style>
  <w:style w:type="paragraph" w:styleId="1139" w:customStyle="1">
    <w:name w:val="ConsPlusTitle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Times New Roman" w:cs="Arial"/>
      <w:b/>
      <w:bCs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</w:rPr>
  </w:style>
  <w:style w:type="paragraph" w:styleId="1140" w:customStyle="1">
    <w:name w:val="Default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</w:rPr>
  </w:style>
  <w:style w:type="paragraph" w:styleId="1141" w:customStyle="1">
    <w:name w:val="Другое"/>
    <w:pPr>
      <w:contextualSpacing w:val="0"/>
      <w:ind w:left="0" w:right="0" w:firstLine="0"/>
      <w:jc w:val="center"/>
      <w:keepLines w:val="0"/>
      <w:keepNext w:val="0"/>
      <w:pageBreakBefore w:val="0"/>
      <w:spacing w:before="0" w:beforeAutospacing="0" w:after="0" w:afterAutospacing="0" w:line="252" w:lineRule="auto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ru-RU" w:bidi="ar-SA"/>
    </w:rPr>
  </w:style>
  <w:style w:type="paragraph" w:styleId="1142" w:customStyle="1">
    <w:name w:val="Основной текст1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120" w:afterAutospacing="0" w:line="0" w:lineRule="atLeast"/>
      <w:shd w:val="clear" w:color="auto" w:fill="ffffff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5"/>
      <w:szCs w:val="25"/>
      <w:highlight w:val="none"/>
      <w:u w:val="none"/>
      <w:vertAlign w:val="baseline"/>
      <w:rtl w:val="0"/>
      <w:cs w:val="0"/>
      <w:lang w:val="ru-RU" w:eastAsia="ru-RU" w:bidi="ar-SA"/>
    </w:rPr>
  </w:style>
  <w:style w:type="paragraph" w:styleId="1143" w:customStyle="1">
    <w:name w:val="Обычный (веб)1"/>
    <w:uiPriority w:val="99"/>
    <w:qFormat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</w:rPr>
  </w:style>
  <w:style w:type="paragraph" w:styleId="1144" w:customStyle="1">
    <w:name w:val="Body Text 3"/>
    <w:uiPriority w:val="99"/>
    <w:pPr>
      <w:contextualSpacing w:val="0"/>
      <w:ind w:left="0" w:right="0" w:firstLine="0"/>
      <w:jc w:val="both"/>
      <w:keepLines w:val="0"/>
      <w:keepNext w:val="0"/>
      <w:pageBreakBefore w:val="0"/>
      <w:spacing w:before="12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</w:rPr>
  </w:style>
  <w:style w:type="paragraph" w:styleId="1145" w:customStyle="1">
    <w:name w:val="prolog"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</w:rPr>
  </w:style>
  <w:style w:type="paragraph" w:styleId="1146" w:customStyle="1">
    <w:name w:val="annotation text"/>
    <w:uiPriority w:val="99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20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Times New Roman" w:cs="Calibr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en-US" w:bidi="ar-SA"/>
    </w:rPr>
  </w:style>
  <w:style w:type="paragraph" w:styleId="1147" w:customStyle="1">
    <w:name w:val="Body Text Indent 2"/>
    <w:uiPriority w:val="99"/>
    <w:pPr>
      <w:contextualSpacing w:val="0"/>
      <w:ind w:left="283" w:right="0" w:firstLine="0"/>
      <w:jc w:val="both"/>
      <w:keepLines w:val="0"/>
      <w:keepNext w:val="0"/>
      <w:pageBreakBefore w:val="0"/>
      <w:spacing w:before="0" w:beforeAutospacing="0" w:after="120" w:afterAutospacing="0" w:line="48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ru-RU" w:bidi="ar-SA"/>
    </w:rPr>
  </w:style>
  <w:style w:type="paragraph" w:styleId="1148" w:customStyle="1">
    <w:name w:val="formattext"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</w:rPr>
  </w:style>
  <w:style w:type="paragraph" w:styleId="1149" w:customStyle="1">
    <w:name w:val="Plain Text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ourier New" w:hAnsi="Courier New" w:eastAsia="Times New Roman" w:cs="Courier New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ar-SA" w:bidi="ar-SA"/>
    </w:rPr>
  </w:style>
  <w:style w:type="paragraph" w:styleId="1150" w:customStyle="1">
    <w:name w:val="Bespoke Basic"/>
    <w:qFormat/>
    <w:pPr>
      <w:contextualSpacing w:val="0"/>
      <w:ind w:left="0" w:right="0" w:firstLine="567"/>
      <w:jc w:val="both"/>
      <w:keepLines w:val="0"/>
      <w:keepNext w:val="0"/>
      <w:pageBreakBefore w:val="0"/>
      <w:spacing w:before="0" w:beforeAutospacing="0" w:after="0" w:afterAutospacing="0" w:line="100" w:lineRule="atLeast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NSimSun" w:cs="Liberation Serif;Times New Roma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4"/>
      <w:highlight w:val="none"/>
      <w:u w:val="none"/>
      <w:vertAlign w:val="baseline"/>
      <w:rtl w:val="0"/>
      <w:cs w:val="0"/>
      <w:lang w:val="en-US" w:eastAsia="zh-CN" w:bidi="hi-IN"/>
    </w:rPr>
  </w:style>
  <w:style w:type="paragraph" w:styleId="1151" w:customStyle="1">
    <w:name w:val="Основной текст 31"/>
    <w:uiPriority w:val="99"/>
    <w:pPr>
      <w:contextualSpacing w:val="0"/>
      <w:ind w:left="0" w:right="0" w:firstLine="0"/>
      <w:jc w:val="both"/>
      <w:keepLines w:val="0"/>
      <w:keepNext w:val="0"/>
      <w:pageBreakBefore w:val="0"/>
      <w:spacing w:before="12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</w:rPr>
  </w:style>
  <w:style w:type="character" w:styleId="1152" w:customStyle="1">
    <w:name w:val="td.pok-15-c"/>
    <w:rPr>
      <w:sz w:val="24"/>
      <w:szCs w:val="24"/>
    </w:rPr>
  </w:style>
  <w:style w:type="paragraph" w:styleId="1153" w:customStyle="1">
    <w:name w:val="td.pok-15"/>
    <w:qFormat/>
    <w:pPr>
      <w:contextualSpacing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76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Arial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</w:rPr>
  </w:style>
  <w:style w:type="paragraph" w:styleId="1154" w:customStyle="1">
    <w:name w:val="Абзац списка,it_List1,Ненумерованный список,основной диплом,Num Bullet 1,Bullet Number,Индексы"/>
    <w:uiPriority w:val="34"/>
    <w:qFormat/>
    <w:pPr>
      <w:contextualSpacing/>
      <w:ind w:left="72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</w:rPr>
  </w:style>
  <w:style w:type="paragraph" w:styleId="1155" w:customStyle="1">
    <w:name w:val="Body Text 22"/>
    <w:uiPriority w:val="99"/>
    <w:pPr>
      <w:contextualSpacing w:val="0"/>
      <w:ind w:left="0" w:right="0" w:firstLine="720"/>
      <w:jc w:val="both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8"/>
      <w:highlight w:val="none"/>
      <w:u w:val="none"/>
      <w:vertAlign w:val="baseline"/>
      <w:rtl w:val="0"/>
      <w:cs w:val="0"/>
      <w:lang w:val="ru-RU" w:eastAsia="ru-RU" w:bidi="ar-SA"/>
    </w:rPr>
  </w:style>
  <w:style w:type="character" w:styleId="1156" w:customStyle="1">
    <w:name w:val="Основной текст + 10 pt;Полужирный"/>
    <w:rPr>
      <w:rFonts w:ascii="Times New Roman" w:hAnsi="Times New Roman" w:eastAsia="Times New Roman" w:cs="Times New Roman"/>
      <w:b/>
      <w:bCs/>
      <w:color w:val="000000"/>
      <w:spacing w:val="0"/>
      <w:position w:val="0"/>
      <w:sz w:val="20"/>
      <w:szCs w:val="20"/>
      <w:u w:val="none"/>
      <w:shd w:val="clear" w:color="auto" w:fill="ffffff"/>
      <w:lang w:val="ru-RU" w:eastAsia="ru-RU"/>
    </w:rPr>
  </w:style>
  <w:style w:type="paragraph" w:styleId="1157" w:customStyle="1">
    <w:name w:val="Основной текст2"/>
    <w:uiPriority w:val="99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12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</w:rPr>
  </w:style>
  <w:style w:type="paragraph" w:styleId="1158" w:customStyle="1">
    <w:name w:val="Верхний колонтитул1"/>
    <w:pPr>
      <w:contextualSpacing w:val="0"/>
      <w:ind w:left="74" w:right="0" w:firstLine="0"/>
      <w:jc w:val="both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/>
      <w:tabs>
        <w:tab w:val="center" w:pos="4677" w:leader="none"/>
        <w:tab w:val="right" w:pos="9355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ru-RU" w:bidi="ar-SA"/>
    </w:rPr>
  </w:style>
  <w:style w:type="paragraph" w:styleId="1159" w:customStyle="1">
    <w:name w:val="Абзац списка"/>
    <w:uiPriority w:val="34"/>
    <w:qFormat/>
    <w:pPr>
      <w:contextualSpacing/>
      <w:ind w:left="72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</w:rPr>
  </w:style>
  <w:style w:type="paragraph" w:styleId="1160" w:customStyle="1">
    <w:name w:val="Абзац списка,Num Bullet 1,Bullet Number,Индексы,it_List1,Ненумерованный список,основной диплом"/>
    <w:basedOn w:val="1072"/>
    <w:next w:val="1149"/>
    <w:pPr>
      <w:contextualSpacing w:val="0"/>
      <w:ind w:left="72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en-US" w:eastAsia="en-US" w:bidi="ar-SA"/>
      <w14:ligatures w14:val="none"/>
    </w:rPr>
  </w:style>
  <w:style w:type="paragraph" w:styleId="1161" w:customStyle="1">
    <w:name w:val="Основной текст с отступом1"/>
    <w:uiPriority w:val="99"/>
    <w:pPr>
      <w:contextualSpacing w:val="0"/>
      <w:ind w:left="283" w:right="0" w:firstLine="0"/>
      <w:jc w:val="left"/>
      <w:keepLines w:val="0"/>
      <w:keepNext w:val="0"/>
      <w:pageBreakBefore w:val="0"/>
      <w:spacing w:before="0" w:beforeAutospacing="0" w:after="12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162" w:customStyle="1">
    <w:name w:val="Знак Знак Знак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160" w:afterAutospacing="0" w:line="240" w:lineRule="exact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Verdana" w:hAnsi="Verdana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en-US" w:eastAsia="en-US" w:bidi="ar-SA"/>
      <w14:ligatures w14:val="none"/>
    </w:rPr>
  </w:style>
  <w:style w:type="character" w:styleId="1163" w:customStyle="1">
    <w:name w:val="apple-converted-space"/>
  </w:style>
  <w:style w:type="paragraph" w:styleId="1164" w:customStyle="1">
    <w:name w:val="2267"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165" w:customStyle="1">
    <w:name w:val="Без интервала1"/>
    <w:uiPriority w:val="1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166" w:customStyle="1">
    <w:name w:val="Обычный (веб)2"/>
    <w:uiPriority w:val="99"/>
    <w:semiHidden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character" w:styleId="1167" w:customStyle="1">
    <w:name w:val="Основной текст + Интервал 0 pt"/>
    <w:basedOn w:val="1106"/>
    <w:rPr>
      <w:rFonts w:ascii="Times New Roman" w:hAnsi="Times New Roman" w:eastAsia="Times New Roman" w:cs="Times New Roman"/>
      <w:color w:val="000000"/>
      <w:spacing w:val="4"/>
      <w:position w:val="0"/>
      <w:sz w:val="25"/>
      <w:szCs w:val="25"/>
      <w:shd w:val="clear" w:color="auto" w:fill="ffffff"/>
      <w:lang w:val="ru-RU" w:eastAsia="ru-RU"/>
    </w:rPr>
  </w:style>
  <w:style w:type="paragraph" w:styleId="1168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Andale Sans UI" w:cs="Tahoma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de-DE" w:eastAsia="ja-JP" w:bidi="fa-IR"/>
      <w14:ligatures w14:val="none"/>
    </w:rPr>
  </w:style>
  <w:style w:type="table" w:styleId="1169" w:customStyle="1">
    <w:name w:val="Сетка таблицы1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hint="default" w:asciiTheme="minorHAnsi" w:hAnsiTheme="minorHAnsi" w:eastAsiaTheme="minorEastAsia" w:cstheme="minorBid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ru-RU" w:bidi="ar-SA"/>
      <w14:ligatures w14:val="none"/>
    </w:rPr>
    <w:tblPr>
      <w:tblStyleRowBandSize w:val="1"/>
      <w:tblStyleColBandSize w:val="1"/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top w:w="0" w:type="dxa"/>
        <w:right w:w="0" w:type="dxa"/>
        <w:bottom w:w="0" w:type="dxa"/>
      </w:tblCellMar>
    </w:tblPr>
    <w:trPr>
      <w:cantSplit w:val="false"/>
      <w:jc w:val="left"/>
    </w:trPr>
    <w:tcPr>
      <w:tcW w:w="0" w:type="auto"/>
      <w:vAlign w:val="top"/>
      <w:vMerge w:val="restart"/>
      <w:hMerge w:val="restart"/>
    </w:tcPr>
  </w:style>
  <w:style w:type="character" w:styleId="1170" w:customStyle="1">
    <w:name w:val="docdata"/>
  </w:style>
  <w:style w:type="character" w:styleId="1171" w:customStyle="1">
    <w:name w:val="Подпись к таблице"/>
    <w:rPr>
      <w:rFonts w:ascii="Times New Roman" w:hAnsi="Times New Roman" w:eastAsia="Times New Roman" w:cs="Times New Roman"/>
      <w:b/>
      <w:bCs/>
      <w:i w:val="0"/>
      <w:iCs w:val="0"/>
      <w:smallCaps w:val="0"/>
      <w:strike w:val="0"/>
      <w:color w:val="000000"/>
      <w:spacing w:val="2"/>
      <w:position w:val="0"/>
      <w:sz w:val="20"/>
      <w:szCs w:val="20"/>
      <w:u w:val="none"/>
      <w:lang w:val="ru-RU"/>
    </w:rPr>
  </w:style>
  <w:style w:type="character" w:styleId="1172" w:customStyle="1">
    <w:name w:val="Выделение1"/>
    <w:uiPriority w:val="20"/>
    <w:qFormat/>
    <w:rPr>
      <w:i/>
      <w:iCs/>
    </w:rPr>
  </w:style>
  <w:style w:type="character" w:styleId="1173" w:customStyle="1">
    <w:name w:val="Основной текст_"/>
    <w:link w:val="1023"/>
    <w:rPr>
      <w:rFonts w:ascii="Times New Roman" w:hAnsi="Times New Roman" w:eastAsia="Times New Roman" w:cs="Times New Roman"/>
      <w:color w:val="000000"/>
      <w:spacing w:val="6"/>
      <w:sz w:val="23"/>
      <w:szCs w:val="23"/>
      <w:shd w:val="clear" w:color="auto" w:fill="ffffff"/>
      <w:lang w:eastAsia="ru-RU"/>
    </w:rPr>
  </w:style>
  <w:style w:type="paragraph" w:styleId="1174" w:customStyle="1">
    <w:name w:val="17662"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175" w:customStyle="1">
    <w:name w:val="2164"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176" w:customStyle="1">
    <w:name w:val="3221"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177" w:customStyle="1">
    <w:name w:val="2393"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178" w:customStyle="1">
    <w:name w:val="7304"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179" w:customStyle="1">
    <w:name w:val="2979"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180" w:customStyle="1">
    <w:name w:val="Основной текст4"/>
    <w:link w:val="1029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360" w:afterAutospacing="0"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000000"/>
      <w:spacing w:val="6"/>
      <w:position w:val="0"/>
      <w:sz w:val="23"/>
      <w:szCs w:val="23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181" w:customStyle="1">
    <w:name w:val="Основной текст (16)"/>
    <w:link w:val="1065"/>
    <w:pPr>
      <w:contextualSpacing w:val="0"/>
      <w:ind w:left="0" w:right="0" w:firstLine="0"/>
      <w:jc w:val="both"/>
      <w:keepLines w:val="0"/>
      <w:keepNext w:val="0"/>
      <w:pageBreakBefore w:val="0"/>
      <w:spacing w:before="0" w:beforeAutospacing="0" w:after="0" w:afterAutospacing="0" w:line="293" w:lineRule="exac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3"/>
      <w:position w:val="0"/>
      <w:sz w:val="26"/>
      <w:szCs w:val="26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character" w:styleId="1182" w:customStyle="1">
    <w:name w:val="c9dxtc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numbering" Target="numbering.xml" /><Relationship Id="rId8" Type="http://schemas.openxmlformats.org/officeDocument/2006/relationships/footnotes" Target="footnotes.xml" /><Relationship Id="rId9" Type="http://schemas.openxmlformats.org/officeDocument/2006/relationships/endnotes" Target="endnote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image" Target="media/image1.png"/><Relationship Id="rId14" Type="http://schemas.openxmlformats.org/officeDocument/2006/relationships/oleObject" Target="embeddings/oleObject1.bin"/><Relationship Id="rId15" Type="http://schemas.openxmlformats.org/officeDocument/2006/relationships/chart" Target="charts/chart1.xml" /><Relationship Id="rId16" Type="http://schemas.openxmlformats.org/officeDocument/2006/relationships/chart" Target="charts/chart2.xml" /><Relationship Id="rId17" Type="http://schemas.openxmlformats.org/officeDocument/2006/relationships/chart" Target="charts/chart3.xml" /><Relationship Id="rId18" Type="http://schemas.openxmlformats.org/officeDocument/2006/relationships/chart" Target="charts/chart4.xml" /><Relationship Id="rId19" Type="http://schemas.openxmlformats.org/officeDocument/2006/relationships/chart" Target="charts/chart5.xml" /><Relationship Id="rId20" Type="http://schemas.openxmlformats.org/officeDocument/2006/relationships/chart" Target="charts/chart6.xml" /><Relationship Id="rId21" Type="http://schemas.openxmlformats.org/officeDocument/2006/relationships/chart" Target="charts/chart7.xml" /><Relationship Id="rId22" Type="http://schemas.openxmlformats.org/officeDocument/2006/relationships/chart" Target="charts/chart8.xml" /><Relationship Id="rId23" Type="http://schemas.openxmlformats.org/officeDocument/2006/relationships/chart" Target="charts/chart9.xml" /><Relationship Id="rId24" Type="http://schemas.openxmlformats.org/officeDocument/2006/relationships/chart" Target="charts/chart10.xml" /><Relationship Id="rId25" Type="http://schemas.openxmlformats.org/officeDocument/2006/relationships/chart" Target="charts/chart11.xml" /><Relationship Id="rId26" Type="http://schemas.openxmlformats.org/officeDocument/2006/relationships/chart" Target="charts/chart12.xml" /><Relationship Id="rId27" Type="http://schemas.openxmlformats.org/officeDocument/2006/relationships/chart" Target="charts/chart13.xml" /><Relationship Id="rId28" Type="http://schemas.openxmlformats.org/officeDocument/2006/relationships/chart" Target="charts/chart14.xml" /><Relationship Id="rId29" Type="http://schemas.openxmlformats.org/officeDocument/2006/relationships/chart" Target="charts/chart15.xml" /><Relationship Id="rId30" Type="http://schemas.openxmlformats.org/officeDocument/2006/relationships/chart" Target="charts/chart16.xml" /><Relationship Id="rId31" Type="http://schemas.openxmlformats.org/officeDocument/2006/relationships/chart" Target="charts/chart17.xml" /><Relationship Id="rId32" Type="http://schemas.openxmlformats.org/officeDocument/2006/relationships/chart" Target="charts/chart18.xml" /><Relationship Id="rId33" Type="http://schemas.openxmlformats.org/officeDocument/2006/relationships/chart" Target="charts/chart19.xml" /><Relationship Id="rId34" Type="http://schemas.openxmlformats.org/officeDocument/2006/relationships/hyperlink" Target="consultantplus://offline/ref=053411E747B4C7CEE80305E9E55A67B4FEE01CE09CC3DF10F6E6D07E795D3E2A8D75058137BD637A8186D12C87207D87B84A1AB160F457C3I4LFG" TargetMode="External"/><Relationship Id="rId35" Type="http://schemas.openxmlformats.org/officeDocument/2006/relationships/chart" Target="charts/chart20.xml" /><Relationship Id="rId36" Type="http://schemas.openxmlformats.org/officeDocument/2006/relationships/chart" Target="charts/chart21.xml" /><Relationship Id="rId37" Type="http://schemas.openxmlformats.org/officeDocument/2006/relationships/chart" Target="charts/chart22.xml" /><Relationship Id="rId38" Type="http://schemas.openxmlformats.org/officeDocument/2006/relationships/chart" Target="charts/chart23.xml" /><Relationship Id="rId39" Type="http://schemas.openxmlformats.org/officeDocument/2006/relationships/chart" Target="charts/chart24.xml" /><Relationship Id="rId40" Type="http://schemas.openxmlformats.org/officeDocument/2006/relationships/chart" Target="charts/chart25.xml" /><Relationship Id="rId41" Type="http://schemas.openxmlformats.org/officeDocument/2006/relationships/hyperlink" Target="consultantplus://offline/ref=65169F34DC14367065A7D92DBF75F1133C133B9D46222D08CC8ACBB92F807EC3B68E9AB1391786812AF2628828E71126D0DE82217151048BdAk5F" TargetMode="External"/><Relationship Id="rId42" Type="http://schemas.openxmlformats.org/officeDocument/2006/relationships/chart" Target="charts/chart26.xml" /><Relationship Id="rId43" Type="http://schemas.openxmlformats.org/officeDocument/2006/relationships/chart" Target="charts/chart27.xml" /><Relationship Id="rId44" Type="http://schemas.openxmlformats.org/officeDocument/2006/relationships/chart" Target="charts/chart28.xml" /><Relationship Id="rId45" Type="http://schemas.openxmlformats.org/officeDocument/2006/relationships/chart" Target="charts/chart29.xml" /><Relationship Id="rId46" Type="http://schemas.openxmlformats.org/officeDocument/2006/relationships/chart" Target="charts/chart30.xml" /><Relationship Id="rId47" Type="http://schemas.openxmlformats.org/officeDocument/2006/relationships/chart" Target="charts/chart31.xml" /><Relationship Id="rId48" Type="http://schemas.openxmlformats.org/officeDocument/2006/relationships/chart" Target="charts/chart32.xml" /><Relationship Id="rId49" Type="http://schemas.openxmlformats.org/officeDocument/2006/relationships/hyperlink" Target="consultantplus://offline/ref=34C4BE6017323D9E035967D261D507C895EA2EED600359BC82CAF73EAAA5848E75979E44832802055578F6617682FA91827C6D3F575543ACDA643469B5oAK" TargetMode="External"/><Relationship Id="rId50" Type="http://schemas.openxmlformats.org/officeDocument/2006/relationships/chart" Target="charts/chart33.xml" /><Relationship Id="rId51" Type="http://schemas.openxmlformats.org/officeDocument/2006/relationships/chart" Target="charts/chart34.xml" /><Relationship Id="rId52" Type="http://schemas.openxmlformats.org/officeDocument/2006/relationships/chart" Target="charts/chart35.xml" /><Relationship Id="rId53" Type="http://schemas.openxmlformats.org/officeDocument/2006/relationships/chart" Target="charts/chart36.xml" /><Relationship Id="rId54" Type="http://schemas.openxmlformats.org/officeDocument/2006/relationships/chart" Target="charts/chart37.xml" /><Relationship Id="rId55" Type="http://schemas.openxmlformats.org/officeDocument/2006/relationships/chart" Target="charts/chart38.xml" /><Relationship Id="rId56" Type="http://schemas.openxmlformats.org/officeDocument/2006/relationships/chart" Target="charts/chart39.xml" /><Relationship Id="rId57" Type="http://schemas.openxmlformats.org/officeDocument/2006/relationships/chart" Target="charts/chart40.xml" /><Relationship Id="rId58" Type="http://schemas.openxmlformats.org/officeDocument/2006/relationships/chart" Target="charts/chart41.xml" /><Relationship Id="rId59" Type="http://schemas.openxmlformats.org/officeDocument/2006/relationships/hyperlink" Target="https://do.yanao.ru/about/suborg/504/" TargetMode="External"/><Relationship Id="rId60" Type="http://schemas.openxmlformats.org/officeDocument/2006/relationships/hyperlink" Target="https://flagmany.rsv.ru/" TargetMode="External"/><Relationship Id="rId61" Type="http://schemas.openxmlformats.org/officeDocument/2006/relationships/chart" Target="charts/chart42.xml" /><Relationship Id="rId62" Type="http://schemas.openxmlformats.org/officeDocument/2006/relationships/chart" Target="charts/chart43.xml" /><Relationship Id="rId63" Type="http://schemas.openxmlformats.org/officeDocument/2006/relationships/chart" Target="charts/chart44.xml" /><Relationship Id="rId64" Type="http://schemas.openxmlformats.org/officeDocument/2006/relationships/chart" Target="charts/chart45.xml" /><Relationship Id="rId65" Type="http://schemas.openxmlformats.org/officeDocument/2006/relationships/chart" Target="charts/chart46.xml" /><Relationship Id="rId66" Type="http://schemas.openxmlformats.org/officeDocument/2006/relationships/chart" Target="charts/chart47.xml" /><Relationship Id="rId67" Type="http://schemas.openxmlformats.org/officeDocument/2006/relationships/chart" Target="charts/chart48.xml" /><Relationship Id="rId68" Type="http://schemas.openxmlformats.org/officeDocument/2006/relationships/chart" Target="charts/chart49.xml" /><Relationship Id="rId69" Type="http://schemas.openxmlformats.org/officeDocument/2006/relationships/chart" Target="charts/chart50.xml" /><Relationship Id="rId70" Type="http://schemas.openxmlformats.org/officeDocument/2006/relationships/chart" Target="charts/chart51.xml" /><Relationship Id="rId71" Type="http://schemas.openxmlformats.org/officeDocument/2006/relationships/chart" Target="charts/chart52.xml" /><Relationship Id="rId72" Type="http://schemas.openxmlformats.org/officeDocument/2006/relationships/chart" Target="charts/chart53.xml" /><Relationship Id="rId73" Type="http://schemas.openxmlformats.org/officeDocument/2006/relationships/chart" Target="charts/chart54.xml" /><Relationship Id="rId74" Type="http://schemas.openxmlformats.org/officeDocument/2006/relationships/chart" Target="charts/chart55.xml" /><Relationship Id="rId75" Type="http://schemas.openxmlformats.org/officeDocument/2006/relationships/chart" Target="charts/chart56.xml" /><Relationship Id="rId76" Type="http://schemas.openxmlformats.org/officeDocument/2006/relationships/chart" Target="charts/chart57.xml" /><Relationship Id="rId77" Type="http://schemas.openxmlformats.org/officeDocument/2006/relationships/chart" Target="charts/chart58.xml" /><Relationship Id="rId78" Type="http://schemas.openxmlformats.org/officeDocument/2006/relationships/chart" Target="charts/chart59.xml" /><Relationship Id="rId79" Type="http://schemas.openxmlformats.org/officeDocument/2006/relationships/chart" Target="charts/chart60.xml" /><Relationship Id="rId80" Type="http://schemas.openxmlformats.org/officeDocument/2006/relationships/chart" Target="charts/chart61.xml" /><Relationship Id="rId81" Type="http://schemas.openxmlformats.org/officeDocument/2006/relationships/chart" Target="charts/chart62.xml" /><Relationship Id="rId82" Type="http://schemas.openxmlformats.org/officeDocument/2006/relationships/chart" Target="charts/chart63.xml" /><Relationship Id="rId83" Type="http://schemas.openxmlformats.org/officeDocument/2006/relationships/chart" Target="charts/chart64.xml" /><Relationship Id="rId84" Type="http://schemas.openxmlformats.org/officeDocument/2006/relationships/chart" Target="charts/chart65.xml" /><Relationship Id="rId85" Type="http://schemas.openxmlformats.org/officeDocument/2006/relationships/chart" Target="charts/chart66.xml" /><Relationship Id="rId86" Type="http://schemas.openxmlformats.org/officeDocument/2006/relationships/chart" Target="charts/chart67.xml" /><Relationship Id="rId87" Type="http://schemas.openxmlformats.org/officeDocument/2006/relationships/chart" Target="charts/chart68.xml" /><Relationship Id="rId88" Type="http://schemas.openxmlformats.org/officeDocument/2006/relationships/chart" Target="charts/chart69.xml" /><Relationship Id="rId89" Type="http://schemas.openxmlformats.org/officeDocument/2006/relationships/chart" Target="charts/chart70.xml" /><Relationship Id="rId90" Type="http://schemas.openxmlformats.org/officeDocument/2006/relationships/chart" Target="charts/chart71.xml" /><Relationship Id="rId91" Type="http://schemas.openxmlformats.org/officeDocument/2006/relationships/chart" Target="charts/chart72.xml" /><Relationship Id="rId92" Type="http://schemas.openxmlformats.org/officeDocument/2006/relationships/hyperlink" Target="https://nur.yanao.ru" TargetMode="External"/><Relationship Id="rId93" Type="http://schemas.openxmlformats.org/officeDocument/2006/relationships/chart" Target="charts/chart73.xml" /><Relationship Id="rId94" Type="http://schemas.openxmlformats.org/officeDocument/2006/relationships/chart" Target="charts/chart74.xml" /><Relationship Id="rId95" Type="http://schemas.openxmlformats.org/officeDocument/2006/relationships/chart" Target="charts/chart75.xml" /><Relationship Id="rId96" Type="http://schemas.openxmlformats.org/officeDocument/2006/relationships/chart" Target="charts/chart76.xml" /><Relationship Id="rId97" Type="http://schemas.openxmlformats.org/officeDocument/2006/relationships/chart" Target="charts/chart77.xml" /><Relationship Id="rId98" Type="http://schemas.openxmlformats.org/officeDocument/2006/relationships/chart" Target="charts/chart78.xml" /><Relationship Id="rId99" Type="http://schemas.openxmlformats.org/officeDocument/2006/relationships/chart" Target="charts/chart79.xml" /><Relationship Id="rId100" Type="http://schemas.openxmlformats.org/officeDocument/2006/relationships/chart" Target="charts/chart80.xml" /><Relationship Id="rId101" Type="http://schemas.openxmlformats.org/officeDocument/2006/relationships/chart" Target="charts/chart81.xml" /><Relationship Id="rId102" Type="http://schemas.openxmlformats.org/officeDocument/2006/relationships/chart" Target="charts/chart82.xml" /><Relationship Id="rId103" Type="http://schemas.openxmlformats.org/officeDocument/2006/relationships/chart" Target="charts/chart83.xml" 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charts/_rels/chart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.xlsx" /></Relationships>
</file>

<file path=word/charts/_rels/chart10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0.xlsx" /></Relationships>
</file>

<file path=word/charts/_rels/chart1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1.xlsx" /></Relationships>
</file>

<file path=word/charts/_rels/chart12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2.xlsx" /></Relationships>
</file>

<file path=word/charts/_rels/chart13.xml.rels><?xml version="1.0" encoding="UTF-8" standalone="yes"?><Relationships xmlns="http://schemas.openxmlformats.org/package/2006/relationships"><Relationship Id="rId1" Type="http://schemas.microsoft.com/office/2011/relationships/chartStyle" Target="style3.xml" /><Relationship Id="rId2" Type="http://schemas.microsoft.com/office/2011/relationships/chartColorStyle" Target="colors3.xml" /><Relationship Id="rId3" Type="http://schemas.openxmlformats.org/officeDocument/2006/relationships/package" Target="../embeddings/Microsoft_Excel_Worksheet13.xlsx" /></Relationships>
</file>

<file path=word/charts/_rels/chart14.xml.rels><?xml version="1.0" encoding="UTF-8" standalone="yes"?><Relationships xmlns="http://schemas.openxmlformats.org/package/2006/relationships"><Relationship Id="rId1" Type="http://schemas.microsoft.com/office/2011/relationships/chartStyle" Target="style4.xml" /><Relationship Id="rId2" Type="http://schemas.microsoft.com/office/2011/relationships/chartColorStyle" Target="colors4.xml" /><Relationship Id="rId3" Type="http://schemas.openxmlformats.org/officeDocument/2006/relationships/package" Target="../embeddings/Microsoft_Excel_Worksheet14.xlsx" /></Relationships>
</file>

<file path=word/charts/_rels/chart15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5.xlsx" /></Relationships>
</file>

<file path=word/charts/_rels/chart16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6.xlsx" /></Relationships>
</file>

<file path=word/charts/_rels/chart17.xml.rels><?xml version="1.0" encoding="UTF-8" standalone="yes"?><Relationships xmlns="http://schemas.openxmlformats.org/package/2006/relationships"><Relationship Id="rId1" Type="http://schemas.microsoft.com/office/2011/relationships/chartStyle" Target="style5.xml" /><Relationship Id="rId2" Type="http://schemas.microsoft.com/office/2011/relationships/chartColorStyle" Target="colors5.xml" /><Relationship Id="rId3" Type="http://schemas.openxmlformats.org/officeDocument/2006/relationships/package" Target="../embeddings/Microsoft_Excel_Worksheet17.xlsx" /></Relationships>
</file>

<file path=word/charts/_rels/chart18.xml.rels><?xml version="1.0" encoding="UTF-8" standalone="yes"?><Relationships xmlns="http://schemas.openxmlformats.org/package/2006/relationships"><Relationship Id="rId1" Type="http://schemas.microsoft.com/office/2011/relationships/chartStyle" Target="style6.xml" /><Relationship Id="rId2" Type="http://schemas.microsoft.com/office/2011/relationships/chartColorStyle" Target="colors6.xml" /><Relationship Id="rId3" Type="http://schemas.openxmlformats.org/officeDocument/2006/relationships/package" Target="../embeddings/Microsoft_Excel_Worksheet18.xlsx" /></Relationships>
</file>

<file path=word/charts/_rels/chart19.xml.rels><?xml version="1.0" encoding="UTF-8" standalone="yes"?><Relationships xmlns="http://schemas.openxmlformats.org/package/2006/relationships"><Relationship Id="rId1" Type="http://schemas.microsoft.com/office/2011/relationships/chartStyle" Target="style7.xml" /><Relationship Id="rId2" Type="http://schemas.microsoft.com/office/2011/relationships/chartColorStyle" Target="colors7.xml" /><Relationship Id="rId3" Type="http://schemas.openxmlformats.org/officeDocument/2006/relationships/package" Target="../embeddings/Microsoft_Excel_Worksheet19.xlsx" /></Relationships>
</file>

<file path=word/charts/_rels/chart2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.xlsx" /></Relationships>
</file>

<file path=word/charts/_rels/chart20.xml.rels><?xml version="1.0" encoding="UTF-8" standalone="yes"?><Relationships xmlns="http://schemas.openxmlformats.org/package/2006/relationships"><Relationship Id="rId1" Type="http://schemas.microsoft.com/office/2011/relationships/chartStyle" Target="style8.xml" /><Relationship Id="rId2" Type="http://schemas.microsoft.com/office/2011/relationships/chartColorStyle" Target="colors8.xml" /><Relationship Id="rId3" Type="http://schemas.openxmlformats.org/officeDocument/2006/relationships/package" Target="../embeddings/Microsoft_Excel_Worksheet20.xlsx" /></Relationships>
</file>

<file path=word/charts/_rels/chart2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1.xlsx" /></Relationships>
</file>

<file path=word/charts/_rels/chart22.xml.rels><?xml version="1.0" encoding="UTF-8" standalone="yes"?><Relationships xmlns="http://schemas.openxmlformats.org/package/2006/relationships"><Relationship Id="rId1" Type="http://schemas.microsoft.com/office/2011/relationships/chartStyle" Target="style9.xml" /><Relationship Id="rId2" Type="http://schemas.microsoft.com/office/2011/relationships/chartColorStyle" Target="colors9.xml" /><Relationship Id="rId3" Type="http://schemas.openxmlformats.org/officeDocument/2006/relationships/package" Target="../embeddings/Microsoft_Excel_Worksheet22.xlsx" /></Relationships>
</file>

<file path=word/charts/_rels/chart23.xml.rels><?xml version="1.0" encoding="UTF-8" standalone="yes"?><Relationships xmlns="http://schemas.openxmlformats.org/package/2006/relationships"><Relationship Id="rId1" Type="http://schemas.microsoft.com/office/2011/relationships/chartStyle" Target="style10.xml" /><Relationship Id="rId2" Type="http://schemas.microsoft.com/office/2011/relationships/chartColorStyle" Target="colors10.xml" /><Relationship Id="rId3" Type="http://schemas.openxmlformats.org/officeDocument/2006/relationships/package" Target="../embeddings/Microsoft_Excel_Worksheet23.xlsx" /></Relationships>
</file>

<file path=word/charts/_rels/chart24.xml.rels><?xml version="1.0" encoding="UTF-8" standalone="yes"?><Relationships xmlns="http://schemas.openxmlformats.org/package/2006/relationships"><Relationship Id="rId1" Type="http://schemas.microsoft.com/office/2011/relationships/chartStyle" Target="style11.xml" /><Relationship Id="rId2" Type="http://schemas.microsoft.com/office/2011/relationships/chartColorStyle" Target="colors11.xml" /><Relationship Id="rId3" Type="http://schemas.openxmlformats.org/officeDocument/2006/relationships/package" Target="../embeddings/Microsoft_Excel_Worksheet24.xlsx" /></Relationships>
</file>

<file path=word/charts/_rels/chart25.xml.rels><?xml version="1.0" encoding="UTF-8" standalone="yes"?><Relationships xmlns="http://schemas.openxmlformats.org/package/2006/relationships"><Relationship Id="rId1" Type="http://schemas.microsoft.com/office/2011/relationships/chartStyle" Target="style12.xml" /><Relationship Id="rId2" Type="http://schemas.microsoft.com/office/2011/relationships/chartColorStyle" Target="colors12.xml" /><Relationship Id="rId3" Type="http://schemas.openxmlformats.org/officeDocument/2006/relationships/package" Target="../embeddings/Microsoft_Excel_Worksheet25.xlsx" /></Relationships>
</file>

<file path=word/charts/_rels/chart26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6.xlsx" /></Relationships>
</file>

<file path=word/charts/_rels/chart27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7.xlsx" /></Relationships>
</file>

<file path=word/charts/_rels/chart28.xml.rels><?xml version="1.0" encoding="UTF-8" standalone="yes"?><Relationships xmlns="http://schemas.openxmlformats.org/package/2006/relationships"><Relationship Id="rId1" Type="http://schemas.microsoft.com/office/2011/relationships/chartStyle" Target="style13.xml" /><Relationship Id="rId2" Type="http://schemas.microsoft.com/office/2011/relationships/chartColorStyle" Target="colors13.xml" /><Relationship Id="rId3" Type="http://schemas.openxmlformats.org/officeDocument/2006/relationships/package" Target="../embeddings/Microsoft_Excel_Worksheet28.xlsx" /></Relationships>
</file>

<file path=word/charts/_rels/chart29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29.xlsx" /></Relationships>
</file>

<file path=word/charts/_rels/chart3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3.xlsx" /></Relationships>
</file>

<file path=word/charts/_rels/chart30.xml.rels><?xml version="1.0" encoding="UTF-8" standalone="yes"?><Relationships xmlns="http://schemas.openxmlformats.org/package/2006/relationships"><Relationship Id="rId1" Type="http://schemas.openxmlformats.org/officeDocument/2006/relationships/themeOverride" Target="../theme/themeOverride1.xml" /><Relationship Id="rId2" Type="http://schemas.openxmlformats.org/officeDocument/2006/relationships/package" Target="../embeddings/Microsoft_Excel_Worksheet30.xlsx" /></Relationships>
</file>

<file path=word/charts/_rels/chart3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31.xlsx" /></Relationships>
</file>

<file path=word/charts/_rels/chart32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32.xlsx" /></Relationships>
</file>

<file path=word/charts/_rels/chart33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33.xlsx" /></Relationships>
</file>

<file path=word/charts/_rels/chart34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34.xlsx" /></Relationships>
</file>

<file path=word/charts/_rels/chart35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35.xlsx" /></Relationships>
</file>

<file path=word/charts/_rels/chart36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36.xlsx" /></Relationships>
</file>

<file path=word/charts/_rels/chart37.xml.rels><?xml version="1.0" encoding="UTF-8" standalone="yes"?><Relationships xmlns="http://schemas.openxmlformats.org/package/2006/relationships"><Relationship Id="rId1" Type="http://schemas.microsoft.com/office/2011/relationships/chartStyle" Target="style14.xml" /><Relationship Id="rId2" Type="http://schemas.microsoft.com/office/2011/relationships/chartColorStyle" Target="colors14.xml" /><Relationship Id="rId3" Type="http://schemas.openxmlformats.org/officeDocument/2006/relationships/package" Target="../embeddings/Microsoft_Excel_Worksheet37.xlsx" /></Relationships>
</file>

<file path=word/charts/_rels/chart38.xml.rels><?xml version="1.0" encoding="UTF-8" standalone="yes"?><Relationships xmlns="http://schemas.openxmlformats.org/package/2006/relationships"><Relationship Id="rId1" Type="http://schemas.openxmlformats.org/officeDocument/2006/relationships/themeOverride" Target="../theme/themeOverride1.xml" /><Relationship Id="rId2" Type="http://schemas.openxmlformats.org/officeDocument/2006/relationships/package" Target="../embeddings/Microsoft_Excel_Worksheet38.xlsx" /></Relationships>
</file>

<file path=word/charts/_rels/chart39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39.xlsx" /></Relationships>
</file>

<file path=word/charts/_rels/chart4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4.xlsx" /></Relationships>
</file>

<file path=word/charts/_rels/chart40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40.xlsx" /></Relationships>
</file>

<file path=word/charts/_rels/chart4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41.xlsx" /></Relationships>
</file>

<file path=word/charts/_rels/chart42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42.xlsx" /></Relationships>
</file>

<file path=word/charts/_rels/chart43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43.xlsx" /></Relationships>
</file>

<file path=word/charts/_rels/chart44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44.xlsx" /></Relationships>
</file>

<file path=word/charts/_rels/chart45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45.xlsx" /></Relationships>
</file>

<file path=word/charts/_rels/chart46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46.xlsx" /></Relationships>
</file>

<file path=word/charts/_rels/chart47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47.xlsx" /></Relationships>
</file>

<file path=word/charts/_rels/chart48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48.xlsx" /></Relationships>
</file>

<file path=word/charts/_rels/chart49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49.xlsx" /></Relationships>
</file>

<file path=word/charts/_rels/chart5.xml.rels><?xml version="1.0" encoding="UTF-8" standalone="yes"?><Relationships xmlns="http://schemas.openxmlformats.org/package/2006/relationships"><Relationship Id="rId1" Type="http://schemas.microsoft.com/office/2011/relationships/chartStyle" Target="style1.xml" /><Relationship Id="rId2" Type="http://schemas.microsoft.com/office/2011/relationships/chartColorStyle" Target="colors1.xml" /><Relationship Id="rId3" Type="http://schemas.openxmlformats.org/officeDocument/2006/relationships/package" Target="../embeddings/Microsoft_Excel_Worksheet5.xlsx" /></Relationships>
</file>

<file path=word/charts/_rels/chart50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50.xlsx" /></Relationships>
</file>

<file path=word/charts/_rels/chart5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51.xlsx" /></Relationships>
</file>

<file path=word/charts/_rels/chart52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52.xlsx" /></Relationships>
</file>

<file path=word/charts/_rels/chart53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53.xlsx" /></Relationships>
</file>

<file path=word/charts/_rels/chart54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54.xlsx" /></Relationships>
</file>

<file path=word/charts/_rels/chart55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55.xlsx" /></Relationships>
</file>

<file path=word/charts/_rels/chart56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56.xlsx" /></Relationships>
</file>

<file path=word/charts/_rels/chart57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57.xlsx" /></Relationships>
</file>

<file path=word/charts/_rels/chart58.xml.rels><?xml version="1.0" encoding="UTF-8" standalone="yes"?><Relationships xmlns="http://schemas.openxmlformats.org/package/2006/relationships"><Relationship Id="rId1" Type="http://schemas.microsoft.com/office/2011/relationships/chartStyle" Target="style15.xml" /><Relationship Id="rId2" Type="http://schemas.microsoft.com/office/2011/relationships/chartColorStyle" Target="colors15.xml" /><Relationship Id="rId3" Type="http://schemas.openxmlformats.org/officeDocument/2006/relationships/package" Target="../embeddings/Microsoft_Excel_Worksheet58.xlsx" /></Relationships>
</file>

<file path=word/charts/_rels/chart59.xml.rels><?xml version="1.0" encoding="UTF-8" standalone="yes"?><Relationships xmlns="http://schemas.openxmlformats.org/package/2006/relationships"><Relationship Id="rId1" Type="http://schemas.microsoft.com/office/2011/relationships/chartStyle" Target="style16.xml" /><Relationship Id="rId2" Type="http://schemas.microsoft.com/office/2011/relationships/chartColorStyle" Target="colors16.xml" /><Relationship Id="rId3" Type="http://schemas.openxmlformats.org/officeDocument/2006/relationships/package" Target="../embeddings/Microsoft_Excel_Worksheet59.xlsx" /></Relationships>
</file>

<file path=word/charts/_rels/chart6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6.xlsx" /></Relationships>
</file>

<file path=word/charts/_rels/chart60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60.xlsx" /></Relationships>
</file>

<file path=word/charts/_rels/chart6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61.xlsx" /></Relationships>
</file>

<file path=word/charts/_rels/chart62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62.xlsx" /></Relationships>
</file>

<file path=word/charts/_rels/chart63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63.xlsx" /></Relationships>
</file>

<file path=word/charts/_rels/chart64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64.xlsx" /></Relationships>
</file>

<file path=word/charts/_rels/chart65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65.xlsx" /></Relationships>
</file>

<file path=word/charts/_rels/chart66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66.xlsx" /></Relationships>
</file>

<file path=word/charts/_rels/chart67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67.xlsx" /></Relationships>
</file>

<file path=word/charts/_rels/chart68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68.xlsx" /></Relationships>
</file>

<file path=word/charts/_rels/chart69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69.xlsx" /></Relationships>
</file>

<file path=word/charts/_rels/chart7.xml.rels><?xml version="1.0" encoding="UTF-8" standalone="yes"?><Relationships xmlns="http://schemas.openxmlformats.org/package/2006/relationships"><Relationship Id="rId1" Type="http://schemas.microsoft.com/office/2011/relationships/chartStyle" Target="style2.xml" /><Relationship Id="rId2" Type="http://schemas.microsoft.com/office/2011/relationships/chartColorStyle" Target="colors2.xml" /><Relationship Id="rId3" Type="http://schemas.openxmlformats.org/officeDocument/2006/relationships/package" Target="../embeddings/Microsoft_Excel_Worksheet7.xlsx" /></Relationships>
</file>

<file path=word/charts/_rels/chart70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70.xlsx" /></Relationships>
</file>

<file path=word/charts/_rels/chart71.xml.rels><?xml version="1.0" encoding="UTF-8" standalone="yes"?><Relationships xmlns="http://schemas.openxmlformats.org/package/2006/relationships"><Relationship Id="rId1" Type="http://schemas.openxmlformats.org/officeDocument/2006/relationships/chartUserShapes" Target="../drawings/drawing1.xml" /><Relationship Id="rId2" Type="http://schemas.openxmlformats.org/officeDocument/2006/relationships/package" Target="../embeddings/Microsoft_Excel_Worksheet71.xlsx" /></Relationships>
</file>

<file path=word/charts/_rels/chart72.xml.rels><?xml version="1.0" encoding="UTF-8" standalone="yes"?><Relationships xmlns="http://schemas.openxmlformats.org/package/2006/relationships"><Relationship Id="rId1" Type="http://schemas.microsoft.com/office/2011/relationships/chartStyle" Target="style17.xml" /><Relationship Id="rId2" Type="http://schemas.microsoft.com/office/2011/relationships/chartColorStyle" Target="colors17.xml" /><Relationship Id="rId3" Type="http://schemas.openxmlformats.org/officeDocument/2006/relationships/package" Target="../embeddings/Microsoft_Excel_Worksheet72.xlsx" /></Relationships>
</file>

<file path=word/charts/_rels/chart73.xml.rels><?xml version="1.0" encoding="UTF-8" standalone="yes"?><Relationships xmlns="http://schemas.openxmlformats.org/package/2006/relationships"><Relationship Id="rId1" Type="http://schemas.microsoft.com/office/2011/relationships/chartStyle" Target="style18.xml" /><Relationship Id="rId2" Type="http://schemas.microsoft.com/office/2011/relationships/chartColorStyle" Target="colors18.xml" /><Relationship Id="rId3" Type="http://schemas.openxmlformats.org/officeDocument/2006/relationships/package" Target="../embeddings/Microsoft_Excel_Worksheet73.xlsx" /></Relationships>
</file>

<file path=word/charts/_rels/chart74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74.xlsx" /></Relationships>
</file>

<file path=word/charts/_rels/chart75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75.xlsx" /></Relationships>
</file>

<file path=word/charts/_rels/chart76.xml.rels><?xml version="1.0" encoding="UTF-8" standalone="yes"?><Relationships xmlns="http://schemas.openxmlformats.org/package/2006/relationships"><Relationship Id="rId1" Type="http://schemas.microsoft.com/office/2011/relationships/chartStyle" Target="style19.xml" /><Relationship Id="rId2" Type="http://schemas.microsoft.com/office/2011/relationships/chartColorStyle" Target="colors19.xml" /><Relationship Id="rId3" Type="http://schemas.openxmlformats.org/officeDocument/2006/relationships/package" Target="../embeddings/Microsoft_Excel_Worksheet76.xlsx" /></Relationships>
</file>

<file path=word/charts/_rels/chart77.xml.rels><?xml version="1.0" encoding="UTF-8" standalone="yes"?><Relationships xmlns="http://schemas.openxmlformats.org/package/2006/relationships"><Relationship Id="rId1" Type="http://schemas.microsoft.com/office/2011/relationships/chartStyle" Target="style20.xml" /><Relationship Id="rId2" Type="http://schemas.microsoft.com/office/2011/relationships/chartColorStyle" Target="colors20.xml" /><Relationship Id="rId3" Type="http://schemas.openxmlformats.org/officeDocument/2006/relationships/package" Target="../embeddings/Microsoft_Excel_Worksheet77.xlsx" /></Relationships>
</file>

<file path=word/charts/_rels/chart78.xml.rels><?xml version="1.0" encoding="UTF-8" standalone="yes"?><Relationships xmlns="http://schemas.openxmlformats.org/package/2006/relationships"><Relationship Id="rId1" Type="http://schemas.microsoft.com/office/2011/relationships/chartStyle" Target="style21.xml" /><Relationship Id="rId2" Type="http://schemas.microsoft.com/office/2011/relationships/chartColorStyle" Target="colors21.xml" /><Relationship Id="rId3" Type="http://schemas.openxmlformats.org/officeDocument/2006/relationships/package" Target="../embeddings/Microsoft_Excel_Worksheet78.xlsx" /></Relationships>
</file>

<file path=word/charts/_rels/chart79.xml.rels><?xml version="1.0" encoding="UTF-8" standalone="yes"?><Relationships xmlns="http://schemas.openxmlformats.org/package/2006/relationships"><Relationship Id="rId1" Type="http://schemas.microsoft.com/office/2011/relationships/chartStyle" Target="style22.xml" /><Relationship Id="rId2" Type="http://schemas.microsoft.com/office/2011/relationships/chartColorStyle" Target="colors22.xml" /><Relationship Id="rId3" Type="http://schemas.openxmlformats.org/officeDocument/2006/relationships/package" Target="../embeddings/Microsoft_Excel_Worksheet79.xlsx" /></Relationships>
</file>

<file path=word/charts/_rels/chart8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8.xlsx" /></Relationships>
</file>

<file path=word/charts/_rels/chart80.xml.rels><?xml version="1.0" encoding="UTF-8" standalone="yes"?><Relationships xmlns="http://schemas.openxmlformats.org/package/2006/relationships"><Relationship Id="rId1" Type="http://schemas.microsoft.com/office/2011/relationships/chartStyle" Target="style23.xml" /><Relationship Id="rId2" Type="http://schemas.microsoft.com/office/2011/relationships/chartColorStyle" Target="colors23.xml" /><Relationship Id="rId3" Type="http://schemas.openxmlformats.org/officeDocument/2006/relationships/package" Target="../embeddings/Microsoft_Excel_Worksheet80.xlsx" /></Relationships>
</file>

<file path=word/charts/_rels/chart8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81.xlsx" /></Relationships>
</file>

<file path=word/charts/_rels/chart82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82.xlsx" /></Relationships>
</file>

<file path=word/charts/_rels/chart83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83.xlsx" /></Relationships>
</file>

<file path=word/charts/_rels/chart9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9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p>
            <a:pPr algn="ctr">
              <a:defRPr/>
            </a:pPr>
            <a:r>
              <a:rPr lang="ru-RU" sz="1200" b="1" i="0">
                <a:latin typeface="Liberation Sans"/>
                <a:ea typeface="PT Astra Serif"/>
                <a:cs typeface="Liberation Sans"/>
              </a:rPr>
              <a:t>Оборот организаций</a:t>
            </a:r>
            <a:r>
              <a:rPr lang="ru-RU" sz="1200" b="1" i="0">
                <a:latin typeface="Liberation Sans"/>
                <a:ea typeface="PT Astra Serif"/>
                <a:cs typeface="Liberation Sans"/>
              </a:rPr>
              <a:t>, </a:t>
            </a:r>
            <a:r>
              <a:rPr lang="ru-RU" sz="1200" b="1" i="0">
                <a:latin typeface="Liberation Sans"/>
                <a:ea typeface="PT Astra Serif"/>
                <a:cs typeface="Liberation Sans"/>
              </a:rPr>
              <a:t>млн руб.</a:t>
            </a:r>
            <a:endParaRPr sz="1200">
              <a:latin typeface="Liberation Sans"/>
              <a:cs typeface="Liberation Sans"/>
            </a:endParaRPr>
          </a:p>
        </c:rich>
      </c:tx>
      <c:layout/>
      <c:overlay val="0"/>
    </c:title>
    <c:plotArea>
      <c:layout>
        <c:manualLayout>
          <c:layoutTarget val="inner"/>
          <c:xMode val="edge"/>
          <c:yMode val="edge"/>
          <c:x val="0.10763"/>
          <c:y val="0.35679"/>
          <c:w val="0.74514000000000002"/>
          <c:h val="0.461280000000000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60000"/>
                <a:lumOff val="40000"/>
              </a:schemeClr>
            </a:solidFill>
          </c:spPr>
          <c:dLbls>
            <c:dLbl>
              <c:idx val="0"/>
              <c:dLblPos val="outEnd"/>
              <c:layout>
                <c:manualLayout>
                  <c:x val="-0.0018799999999999999"/>
                  <c:y val="0.00084000000000000003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2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dLblPos val="outEnd"/>
              <c:layout>
                <c:manualLayout>
                  <c:x val="0.0023800000000000002"/>
                  <c:y val="-0.01135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2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dLblPos val="outEnd"/>
              <c:layout>
                <c:manualLayout>
                  <c:x val="-0.00233"/>
                  <c:y val="-0.002449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2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2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 </c:v>
                </c:pt>
                <c:pt idx="2">
                  <c:v xml:space="preserve">2023 год 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184091.1</c:v>
                </c:pt>
                <c:pt idx="1">
                  <c:v>210703.3</c:v>
                </c:pt>
                <c:pt idx="2">
                  <c:v>261425.6</c:v>
                </c:pt>
              </c:numCache>
            </c:numRef>
          </c:val>
        </c:ser>
        <c:dLbls>
          <c:dLblPos val="outEnd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txPr>
            <a:bodyPr/>
            <a:p>
              <a:pPr>
                <a:defRPr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162"/>
        <c:overlap val="-16"/>
        <c:axId val="2140842164"/>
        <c:axId val="2140842165"/>
      </c:barChart>
      <c:catAx>
        <c:axId val="21408421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2140842165"/>
        <c:crosses val="autoZero"/>
        <c:auto val="1"/>
        <c:lblAlgn val="ctr"/>
        <c:lblOffset val="100"/>
        <c:tickMarkSkip val="1"/>
        <c:noMultiLvlLbl val="0"/>
      </c:catAx>
      <c:valAx>
        <c:axId val="2140842165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one"/>
        <c:txPr>
          <a:bodyPr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164"/>
        <c:crosses val="autoZero"/>
        <c:crossBetween val="between"/>
      </c:valAx>
    </c:plotArea>
    <c:plotVisOnly val="1"/>
    <c:showDLblsOverMax val="0"/>
  </c:chart>
  <c:spPr bwMode="auto">
    <a:xfrm>
      <a:off x="0" y="0"/>
      <a:ext cx="5362566" cy="1685916"/>
    </a:xfrm>
    <a:prstGeom prst="rect">
      <a:avLst/>
    </a:prstGeom>
    <a:ln>
      <a:noFill/>
    </a:ln>
  </c:spPr>
  <c:txPr>
    <a:bodyPr/>
    <a:p>
      <a:pPr>
        <a:defRPr>
          <a:latin typeface="Liberation Sans"/>
          <a:ea typeface="Liberation Sans"/>
          <a:cs typeface="Liberation Sans"/>
        </a:defRPr>
      </a:pPr>
      <a:endParaRPr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15"/>
    </mc:Choice>
    <mc:Fallback>
      <c:style val="15"/>
    </mc:Fallback>
  </mc:AlternateContent>
  <c:chart>
    <c:title>
      <c:tx>
        <c:rich>
          <a:bodyPr/>
          <a:p>
            <a:pPr algn="ctr">
              <a:lnSpc>
                <a:spcPct val="100000"/>
              </a:lnSpc>
              <a:spcAft>
                <a:spcPts val="0"/>
              </a:spcAft>
              <a:defRPr lang="ru-RU"/>
            </a:pPr>
            <a:r>
              <a:rPr lang="ru-RU" sz="1200" b="1">
                <a:latin typeface="Liberation Sans"/>
                <a:cs typeface="Liberation Sans"/>
              </a:rPr>
              <a:t>Динамика средних розничных цен на отдельные продовольственные товары </a:t>
            </a:r>
            <a:r>
              <a:rPr lang="ru-RU" sz="1200" b="1">
                <a:latin typeface="Liberation Sans"/>
                <a:cs typeface="Liberation Sans"/>
              </a:rPr>
              <a:t>первой необходимости</a:t>
            </a:r>
            <a:endParaRPr lang="ru-RU" sz="1200" b="1">
              <a:latin typeface="Liberation Sans"/>
              <a:cs typeface="Liberation Sans"/>
            </a:endParaRPr>
          </a:p>
          <a:p>
            <a:pPr algn="ctr">
              <a:lnSpc>
                <a:spcPct val="100000"/>
              </a:lnSpc>
              <a:spcAft>
                <a:spcPts val="0"/>
              </a:spcAft>
              <a:defRPr lang="ru-RU"/>
            </a:pPr>
            <a:r>
              <a:rPr lang="ru-RU" sz="1200" b="1">
                <a:latin typeface="Liberation Sans"/>
                <a:cs typeface="Liberation Sans"/>
              </a:rPr>
              <a:t>за 2023 год, %</a:t>
            </a:r>
            <a:endParaRPr lang="ru-RU" sz="1200" b="1">
              <a:latin typeface="Liberation Sans"/>
              <a:cs typeface="Liberation Sans"/>
            </a:endParaRPr>
          </a:p>
        </c:rich>
      </c:tx>
      <c:layout/>
      <c:overlay val="0"/>
      <c:txPr>
        <a:bodyPr/>
        <a:p>
          <a:pPr>
            <a:defRPr lang="ru-RU"/>
          </a:pPr>
          <a:endParaRPr/>
        </a:p>
      </c:txPr>
    </c:title>
    <c:view3D>
      <c:rotX val="1"/>
      <c:rotY val="28"/>
      <c:depthPercent val="100"/>
      <c:rAngAx val="1"/>
    </c:view3D>
    <c:floor>
      <c:spPr bwMode="auto">
        <a:prstGeom prst="rect">
          <a:avLst/>
        </a:prstGeom>
        <a:noFill/>
        <a:ln w="0"/>
      </c:spPr>
    </c:floor>
    <c:plotArea>
      <c:layout>
        <c:manualLayout>
          <c:layoutTarget val="inner"/>
          <c:xMode val="edge"/>
          <c:yMode val="edge"/>
          <c:x val="-1.0119"/>
          <c:y val="0.43089"/>
          <c:w val="0.82037000000000004"/>
          <c:h val="0.64851000000000003"/>
        </c:manualLayout>
      </c:layout>
      <c:bar3DChart>
        <c:barDir val="col"/>
        <c:grouping val="clustered"/>
        <c:varyColors val="0"/>
        <c:ser>
          <c:idx val="0"/>
          <c:order val="0"/>
          <c:spPr bwMode="auto">
            <a:prstGeom prst="rect">
              <a:avLst/>
            </a:prstGeom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0.0076899999999999998"/>
                  <c:y val="0.0007399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 b="1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layout>
                <c:manualLayout>
                  <c:x val="0.0092899999999999996"/>
                  <c:y val="-0.001789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 b="1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"/>
              <c:layout>
                <c:manualLayout>
                  <c:x val="0.012290000000000001"/>
                  <c:y val="0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 b="1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3"/>
              <c:layout>
                <c:manualLayout>
                  <c:x val="0.01257"/>
                  <c:y val="0.00417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 b="1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4"/>
              <c:layout>
                <c:manualLayout>
                  <c:x val="0.0045700000000000003"/>
                  <c:y val="-0.00300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 b="1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5"/>
              <c:layout>
                <c:manualLayout>
                  <c:x val="0.014749999999999999"/>
                  <c:y val="0.00385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 b="1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6"/>
              <c:layout>
                <c:manualLayout>
                  <c:x val="0.0081799999999999998"/>
                  <c:y val="0.00417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 b="1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7"/>
              <c:layout>
                <c:manualLayout>
                  <c:x val="0.0095499999999999995"/>
                  <c:y val="0.006259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 b="1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8"/>
              <c:layout>
                <c:manualLayout>
                  <c:x val="0.00297"/>
                  <c:y val="0.00417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 b="1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9"/>
              <c:layout>
                <c:manualLayout>
                  <c:x val="0.0081799999999999998"/>
                  <c:y val="0.00417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 b="1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0"/>
              <c:layout>
                <c:manualLayout>
                  <c:x val="0.0095499999999999995"/>
                  <c:y val="0.00417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 b="1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1"/>
              <c:layout>
                <c:manualLayout>
                  <c:x val="0.0095499999999999995"/>
                  <c:y val="0.00417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 b="1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2"/>
              <c:layout>
                <c:manualLayout>
                  <c:x val="0.01311"/>
                  <c:y val="-0.00119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 b="1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3"/>
              <c:layout>
                <c:manualLayout>
                  <c:x val="0.014749999999999999"/>
                  <c:y val="-0.00119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 b="1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4"/>
              <c:layout>
                <c:manualLayout>
                  <c:x val="0.018159999999999999"/>
                  <c:y val="0.005089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 b="1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5"/>
              <c:layout>
                <c:manualLayout>
                  <c:x val="0.01804"/>
                  <c:y val="0.00385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 b="1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6"/>
              <c:layout>
                <c:manualLayout>
                  <c:x val="0.01366"/>
                  <c:y val="0.00417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7"/>
              <c:layout>
                <c:manualLayout>
                  <c:x val="-0.00332"/>
                  <c:y val="0.000250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p>
                    <a:pPr>
                      <a:defRPr sz="950"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/>
                      <a:t>-0,7%</a:t>
                    </a:r>
                    <a:endParaRPr/>
                  </a:p>
                </c:rich>
              </c:tx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8"/>
              <c:layout>
                <c:manualLayout>
                  <c:x val="0.0032399999999999998"/>
                  <c:y val="0.00432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9"/>
              <c:layout>
                <c:manualLayout>
                  <c:x val="0.0068199999999999997"/>
                  <c:y val="0.0081399999999999997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0"/>
              <c:layout>
                <c:manualLayout>
                  <c:x val="0.0068199999999999997"/>
                  <c:y val="0.008219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1"/>
              <c:layout>
                <c:manualLayout>
                  <c:x val="0.0081799999999999998"/>
                  <c:y val="0.006190000000000000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2"/>
              <c:layout>
                <c:manualLayout>
                  <c:x val="0.0068199999999999997"/>
                  <c:y val="0.008340000000000000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3"/>
              <c:layout>
                <c:manualLayout>
                  <c:x val="0.0081799999999999998"/>
                  <c:y val="0.008340000000000000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4"/>
              <c:layout>
                <c:manualLayout>
                  <c:x val="0.0054599999999999996"/>
                  <c:y val="0.01043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5"/>
              <c:layout>
                <c:manualLayout>
                  <c:x val="0.00545"/>
                  <c:y val="0.008340000000000000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6"/>
              <c:layout>
                <c:manualLayout>
                  <c:x val="0.0081799999999999998"/>
                  <c:y val="0.01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95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'Динамика'!$B$5:$B$20</c:f>
              <c:strCache>
                <c:ptCount val="16"/>
                <c:pt idx="0">
                  <c:v xml:space="preserve">Капуста свежая</c:v>
                </c:pt>
                <c:pt idx="1">
                  <c:v>Куры</c:v>
                </c:pt>
                <c:pt idx="2">
                  <c:v xml:space="preserve">Морковь </c:v>
                </c:pt>
                <c:pt idx="3">
                  <c:v>Яблоки</c:v>
                </c:pt>
                <c:pt idx="4">
                  <c:v>Баранина</c:v>
                </c:pt>
                <c:pt idx="5">
                  <c:v xml:space="preserve">Рис шлифованный</c:v>
                </c:pt>
                <c:pt idx="6">
                  <c:v xml:space="preserve">Рыба мороженая</c:v>
                </c:pt>
                <c:pt idx="7">
                  <c:v xml:space="preserve">Хлеб ржаной</c:v>
                </c:pt>
                <c:pt idx="8">
                  <c:v xml:space="preserve">Мука пшеничная</c:v>
                </c:pt>
                <c:pt idx="9">
                  <c:v>Свинина</c:v>
                </c:pt>
                <c:pt idx="10">
                  <c:v xml:space="preserve">Сыр твердых сортов</c:v>
                </c:pt>
                <c:pt idx="11">
                  <c:v>Пшено</c:v>
                </c:pt>
                <c:pt idx="12">
                  <c:v xml:space="preserve">Масло подсолнечное</c:v>
                </c:pt>
                <c:pt idx="13">
                  <c:v>Говядина</c:v>
                </c:pt>
                <c:pt idx="14">
                  <c:v xml:space="preserve">Крупа гречневая</c:v>
                </c:pt>
                <c:pt idx="15">
                  <c:v xml:space="preserve">Чай черный байховый</c:v>
                </c:pt>
              </c:strCache>
            </c:strRef>
          </c:cat>
          <c:val>
            <c:numRef>
              <c:f>'Динамика'!$G$5:$G$20</c:f>
              <c:numCache>
                <c:formatCode>0%</c:formatCode>
                <c:ptCount val="16"/>
                <c:pt idx="0">
                  <c:v>0.46140000000000003</c:v>
                </c:pt>
                <c:pt idx="1">
                  <c:v>0.4201</c:v>
                </c:pt>
                <c:pt idx="2">
                  <c:v>0.3757</c:v>
                </c:pt>
                <c:pt idx="3">
                  <c:v>0.27449999999999997</c:v>
                </c:pt>
                <c:pt idx="4">
                  <c:v>0.25239999999999996</c:v>
                </c:pt>
                <c:pt idx="5">
                  <c:v>0.1892</c:v>
                </c:pt>
                <c:pt idx="6">
                  <c:v>0.1512</c:v>
                </c:pt>
                <c:pt idx="7">
                  <c:v>-0.024700000000000003</c:v>
                </c:pt>
                <c:pt idx="8">
                  <c:v>-0.0364</c:v>
                </c:pt>
                <c:pt idx="9">
                  <c:v>-0.056299999999999996</c:v>
                </c:pt>
                <c:pt idx="10">
                  <c:v>-0.0967</c:v>
                </c:pt>
                <c:pt idx="11">
                  <c:v>-0.12</c:v>
                </c:pt>
                <c:pt idx="12">
                  <c:v>-0.1308</c:v>
                </c:pt>
                <c:pt idx="13">
                  <c:v>-0.1543</c:v>
                </c:pt>
                <c:pt idx="14">
                  <c:v>-0.1888</c:v>
                </c:pt>
                <c:pt idx="15">
                  <c:v>-0.2125</c:v>
                </c:pt>
              </c:numCache>
            </c:numRef>
          </c:val>
        </c:ser>
        <c:dLbls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txPr>
            <a:bodyPr/>
            <a:p>
              <a:pPr>
                <a:defRPr sz="950"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150"/>
        <c:gapDepth val="87"/>
        <c:shape val="box"/>
        <c:axId val="2140842156"/>
        <c:axId val="2140842157"/>
      </c:bar3DChart>
      <c:catAx>
        <c:axId val="21408421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-5400000" vert="horz" anchor="ctr" anchorCtr="1"/>
          <a:lstStyle/>
          <a:p>
            <a:pPr>
              <a:defRPr sz="950" b="0" i="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2140842157"/>
        <c:crosses val="autoZero"/>
        <c:auto val="1"/>
        <c:lblAlgn val="ctr"/>
        <c:lblOffset val="100"/>
        <c:tickMarkSkip val="5"/>
        <c:noMultiLvlLbl val="0"/>
      </c:catAx>
      <c:valAx>
        <c:axId val="2140842157"/>
        <c:scaling>
          <c:orientation val="minMax"/>
        </c:scaling>
        <c:delete val="0"/>
        <c:axPos val="r"/>
        <c:majorGridlines>
          <c:spPr bwMode="auto">
            <a:prstGeom prst="rect">
              <a:avLst/>
            </a:prstGeom>
            <a:ln>
              <a:solidFill>
                <a:schemeClr val="bg1"/>
              </a:solidFill>
            </a:ln>
          </c:spPr>
        </c:majorGridlines>
        <c:numFmt formatCode="0%" sourceLinked="0"/>
        <c:majorTickMark val="out"/>
        <c:minorTickMark val="none"/>
        <c:tickLblPos val="nextTo"/>
        <c:txPr>
          <a:bodyPr/>
          <a:lstStyle/>
          <a:p>
            <a:pPr>
              <a:defRPr sz="95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2140842156"/>
        <c:crosses val="max"/>
        <c:crossBetween val="between"/>
      </c:valAx>
      <c:spPr bwMode="auto">
        <a:prstGeom prst="rect">
          <a:avLst/>
        </a:prstGeom>
        <a:noFill/>
        <a:ln w="25400">
          <a:noFill/>
        </a:ln>
      </c:spPr>
    </c:plotArea>
    <c:plotVisOnly val="1"/>
    <c:dispBlanksAs val="gap"/>
    <c:showDLblsOverMax val="0"/>
  </c:chart>
  <c:spPr bwMode="auto">
    <a:xfrm rot="0" flipH="0" flipV="0">
      <a:off x="0" y="0"/>
      <a:ext cx="5728032" cy="3848090"/>
    </a:xfrm>
    <a:prstGeom prst="rect">
      <a:avLst/>
    </a:prstGeom>
    <a:ln>
      <a:noFill/>
    </a:ln>
  </c:spPr>
  <c:txPr>
    <a:bodyPr/>
    <a:p>
      <a:pPr>
        <a:defRPr sz="950">
          <a:latin typeface="Liberation Sans"/>
          <a:ea typeface="Liberation Sans"/>
          <a:cs typeface="Liberation Sans"/>
        </a:defRPr>
      </a:pPr>
      <a:endParaRPr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15"/>
    </mc:Choice>
    <mc:Fallback>
      <c:style val="15"/>
    </mc:Fallback>
  </mc:AlternateContent>
  <c:chart>
    <c:title>
      <c:tx>
        <c:rich>
          <a:bodyPr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cs typeface="Liberation Sans"/>
              </a:rPr>
              <a:t>Рост средних розничных цен на ГСМ</a:t>
            </a:r>
            <a:endParaRPr lang="ru-RU" sz="1200">
              <a:latin typeface="Liberation Sans"/>
              <a:cs typeface="Liberation Sans"/>
            </a:endParaRPr>
          </a:p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cs typeface="Liberation Sans"/>
              </a:rPr>
              <a:t> к уровню</a:t>
            </a:r>
            <a:r>
              <a:rPr lang="ru-RU" sz="1200">
                <a:latin typeface="Liberation Sans"/>
                <a:cs typeface="Liberation Sans"/>
              </a:rPr>
              <a:t> 2022 года, %</a:t>
            </a:r>
            <a:endParaRPr lang="ru-RU" sz="1200">
              <a:latin typeface="Liberation Sans"/>
              <a:cs typeface="Liberation Sans"/>
            </a:endParaRPr>
          </a:p>
        </c:rich>
      </c:tx>
      <c:layout/>
      <c:overlay val="0"/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title>
    <c:view3D>
      <c:rotX val="1"/>
      <c:rotY val="28"/>
      <c:depthPercent val="100"/>
      <c:rAngAx val="1"/>
    </c:view3D>
    <c:floor>
      <c:spPr bwMode="auto">
        <a:prstGeom prst="rect">
          <a:avLst/>
        </a:prstGeom>
        <a:noFill/>
        <a:ln w="0">
          <a:bevel/>
        </a:ln>
      </c:spPr>
    </c:floor>
    <c:plotArea>
      <c:layout>
        <c:manualLayout>
          <c:layoutTarget val="inner"/>
          <c:xMode val="edge"/>
          <c:yMode val="edge"/>
          <c:x val="0.11906"/>
          <c:y val="0.25328000000000001"/>
          <c:w val="0.78188999999999997"/>
          <c:h val="0.59248000000000001"/>
        </c:manualLayout>
      </c:layout>
      <c:bar3DChart>
        <c:barDir val="col"/>
        <c:grouping val="clustered"/>
        <c:varyColors val="0"/>
        <c:ser>
          <c:idx val="0"/>
          <c:order val="0"/>
          <c:spPr bwMode="auto">
            <a:prstGeom prst="rect">
              <a:avLst/>
            </a:prstGeom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0.0076899999999999998"/>
                  <c:y val="0.0007399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1000" b="1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layout>
                <c:manualLayout>
                  <c:x val="0.0092899999999999996"/>
                  <c:y val="-0.001789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1000" b="1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"/>
              <c:layout>
                <c:manualLayout>
                  <c:x val="0.012290000000000001"/>
                  <c:y val="0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1000" b="1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3"/>
              <c:layout>
                <c:manualLayout>
                  <c:x val="0.01257"/>
                  <c:y val="0.00417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1000" b="1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4"/>
              <c:layout>
                <c:manualLayout>
                  <c:x val="0.0045700000000000003"/>
                  <c:y val="-0.00300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5"/>
              <c:layout>
                <c:manualLayout>
                  <c:x val="0.014749999999999999"/>
                  <c:y val="0.00385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6"/>
              <c:layout>
                <c:manualLayout>
                  <c:x val="0.0081799999999999998"/>
                  <c:y val="0.00417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7"/>
              <c:layout>
                <c:manualLayout>
                  <c:x val="0.0095499999999999995"/>
                  <c:y val="0.006259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8"/>
              <c:layout>
                <c:manualLayout>
                  <c:x val="0.00297"/>
                  <c:y val="0.00417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9"/>
              <c:layout>
                <c:manualLayout>
                  <c:x val="0.0081799999999999998"/>
                  <c:y val="0.00417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0"/>
              <c:layout>
                <c:manualLayout>
                  <c:x val="0.0095499999999999995"/>
                  <c:y val="0.00417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1"/>
              <c:layout>
                <c:manualLayout>
                  <c:x val="0.0095499999999999995"/>
                  <c:y val="0.00417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2"/>
              <c:layout>
                <c:manualLayout>
                  <c:x val="0.01311"/>
                  <c:y val="-0.00119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3"/>
              <c:layout>
                <c:manualLayout>
                  <c:x val="0.014749999999999999"/>
                  <c:y val="-0.00119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4"/>
              <c:layout>
                <c:manualLayout>
                  <c:x val="0.018159999999999999"/>
                  <c:y val="0.005089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5"/>
              <c:layout>
                <c:manualLayout>
                  <c:x val="0.01804"/>
                  <c:y val="0.00385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6"/>
              <c:layout>
                <c:manualLayout>
                  <c:x val="0.01366"/>
                  <c:y val="0.00417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7"/>
              <c:layout>
                <c:manualLayout>
                  <c:x val="-0.00332"/>
                  <c:y val="0.000250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p>
                    <a:pPr>
                      <a:defRPr sz="950"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/>
                      <a:t>-0,7%</a:t>
                    </a:r>
                    <a:endParaRPr/>
                  </a:p>
                </c:rich>
              </c:tx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8"/>
              <c:layout>
                <c:manualLayout>
                  <c:x val="0.0032399999999999998"/>
                  <c:y val="0.00432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9"/>
              <c:layout>
                <c:manualLayout>
                  <c:x val="0.0068199999999999997"/>
                  <c:y val="0.0081399999999999997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0"/>
              <c:layout>
                <c:manualLayout>
                  <c:x val="0.0068199999999999997"/>
                  <c:y val="0.008219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1"/>
              <c:layout>
                <c:manualLayout>
                  <c:x val="0.0081799999999999998"/>
                  <c:y val="0.006190000000000000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2"/>
              <c:layout>
                <c:manualLayout>
                  <c:x val="0.0068199999999999997"/>
                  <c:y val="0.008340000000000000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3"/>
              <c:layout>
                <c:manualLayout>
                  <c:x val="0.0081799999999999998"/>
                  <c:y val="0.008340000000000000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4"/>
              <c:layout>
                <c:manualLayout>
                  <c:x val="0.0054599999999999996"/>
                  <c:y val="0.01043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5"/>
              <c:layout>
                <c:manualLayout>
                  <c:x val="0.00545"/>
                  <c:y val="0.008340000000000000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6"/>
              <c:layout>
                <c:manualLayout>
                  <c:x val="0.0081799999999999998"/>
                  <c:y val="0.01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95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0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'Динамика'!$B$4:$B$7</c:f>
              <c:strCache>
                <c:ptCount val="4"/>
                <c:pt idx="0">
                  <c:v xml:space="preserve">АИ 92</c:v>
                </c:pt>
                <c:pt idx="1">
                  <c:v xml:space="preserve">АИ 95</c:v>
                </c:pt>
                <c:pt idx="2">
                  <c:v>ДТ</c:v>
                </c:pt>
                <c:pt idx="3">
                  <c:v>СУГ</c:v>
                </c:pt>
              </c:strCache>
            </c:strRef>
          </c:cat>
          <c:val>
            <c:numRef>
              <c:f>'Динамика'!$G$4:$G$7</c:f>
              <c:numCache>
                <c:formatCode>0%</c:formatCode>
                <c:ptCount val="4"/>
                <c:pt idx="0">
                  <c:v>0.08</c:v>
                </c:pt>
                <c:pt idx="1">
                  <c:v>0.08</c:v>
                </c:pt>
                <c:pt idx="2">
                  <c:v>0.16</c:v>
                </c:pt>
                <c:pt idx="3">
                  <c:v>0.91</c:v>
                </c:pt>
              </c:numCache>
            </c:numRef>
          </c:val>
        </c:ser>
        <c:dLbls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txPr>
            <a:bodyPr/>
            <a:p>
              <a:pPr>
                <a:defRPr sz="950"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150"/>
        <c:gapDepth val="87"/>
        <c:shape val="box"/>
        <c:axId val="2140842120"/>
        <c:axId val="2140842121"/>
      </c:bar3DChart>
      <c:catAx>
        <c:axId val="2140842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-5400000" vert="horz" anchor="ctr" anchorCtr="1"/>
          <a:lstStyle/>
          <a:p>
            <a:pPr>
              <a:defRPr sz="950" b="0" i="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2140842121"/>
        <c:crosses val="autoZero"/>
        <c:auto val="1"/>
        <c:lblAlgn val="ctr"/>
        <c:lblOffset val="100"/>
        <c:tickMarkSkip val="1"/>
        <c:noMultiLvlLbl val="0"/>
      </c:catAx>
      <c:valAx>
        <c:axId val="2140842121"/>
        <c:scaling>
          <c:orientation val="minMax"/>
        </c:scaling>
        <c:delete val="1"/>
        <c:axPos val="r"/>
        <c:majorGridlines>
          <c:spPr bwMode="auto">
            <a:prstGeom prst="rect">
              <a:avLst/>
            </a:prstGeom>
            <a:ln>
              <a:solidFill>
                <a:schemeClr val="bg1"/>
              </a:solidFill>
            </a:ln>
          </c:spPr>
        </c:majorGridlines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95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2140842120"/>
        <c:crosses val="max"/>
        <c:crossBetween val="between"/>
      </c:valAx>
      <c:spPr bwMode="auto">
        <a:prstGeom prst="rect">
          <a:avLst/>
        </a:prstGeom>
        <a:noFill/>
        <a:ln w="25400">
          <a:noFill/>
        </a:ln>
      </c:spPr>
    </c:plotArea>
    <c:plotVisOnly val="1"/>
    <c:dispBlanksAs val="gap"/>
    <c:showDLblsOverMax val="0"/>
  </c:chart>
  <c:spPr bwMode="auto">
    <a:xfrm rot="0" flipH="0" flipV="0">
      <a:off x="0" y="0"/>
      <a:ext cx="5059163" cy="1695616"/>
    </a:xfrm>
    <a:prstGeom prst="rect">
      <a:avLst/>
    </a:prstGeom>
    <a:ln>
      <a:noFill/>
    </a:ln>
  </c:spPr>
  <c:txPr>
    <a:bodyPr/>
    <a:p>
      <a:pPr>
        <a:defRPr sz="950">
          <a:latin typeface="Liberation Sans"/>
          <a:ea typeface="Liberation Sans"/>
          <a:cs typeface="Liberation Sans"/>
        </a:defRPr>
      </a:pPr>
      <a:endParaRPr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p>
            <a:pPr>
              <a:defRPr/>
            </a:pPr>
            <a:r>
              <a:rPr lang="ru-RU" sz="1200" b="1">
                <a:latin typeface="Liberation Sans"/>
                <a:cs typeface="Liberation Sans"/>
              </a:rPr>
              <a:t>Межбюджетные трансферты в доходах бюджета, </a:t>
            </a:r>
            <a:r>
              <a:rPr lang="ru-RU" sz="1200" b="1">
                <a:latin typeface="Liberation Sans"/>
                <a:cs typeface="Liberation Sans"/>
              </a:rPr>
              <a:t>млн руб.</a:t>
            </a:r>
            <a:endParaRPr sz="1200">
              <a:latin typeface="Liberation Sans"/>
              <a:cs typeface="Liberation Sans"/>
            </a:endParaRPr>
          </a:p>
        </c:rich>
      </c:tx>
      <c:layout/>
      <c:overlay val="0"/>
    </c:title>
    <c:plotArea>
      <c:layout>
        <c:manualLayout>
          <c:layoutTarget val="inner"/>
          <c:xMode val="edge"/>
          <c:yMode val="edge"/>
          <c:x val="0.022429999999999999"/>
          <c:y val="0.17446"/>
          <c:w val="0.95369000000000004"/>
          <c:h val="0.488480000000000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>Дотации</c:v>
                </c:pt>
              </c:strCache>
            </c:strRef>
          </c:tx>
          <c:dLbls>
            <c:dLbl>
              <c:idx val="0"/>
              <c:dLblPos val="outEnd"/>
              <c:layout>
                <c:manualLayout>
                  <c:x val="-0.024209999999999999"/>
                  <c:y val="0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0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dLblPos val="outEnd"/>
              <c:layout>
                <c:manualLayout>
                  <c:x val="-0.016140000000000002"/>
                  <c:y val="0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0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dLblPos val="outEnd"/>
              <c:layout>
                <c:manualLayout>
                  <c:x val="-0.0096799999999999994"/>
                  <c:y val="0.0038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0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Pos val="outEnd"/>
            <c:delete val="0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100" b="0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'Лист1'!$B$2:$B$4</c:f>
              <c:numCache>
                <c:formatCode>0.0</c:formatCode>
                <c:ptCount val="3"/>
                <c:pt idx="0">
                  <c:v>1773.427</c:v>
                </c:pt>
                <c:pt idx="1">
                  <c:v>1975.558</c:v>
                </c:pt>
                <c:pt idx="2">
                  <c:v>1917.4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Субвенции</c:v>
                </c:pt>
              </c:strCache>
            </c:strRef>
          </c:tx>
          <c:dLbls>
            <c:dLbl>
              <c:idx val="0"/>
              <c:dLblPos val="outEnd"/>
              <c:layout>
                <c:manualLayout>
                  <c:x val="-0.020979999999999999"/>
                  <c:y val="-0.01528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0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dLblPos val="outEnd"/>
              <c:layout>
                <c:manualLayout>
                  <c:x val="-0.020979999999999999"/>
                  <c:y val="-0.0038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0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dLblPos val="outEnd"/>
              <c:layout>
                <c:manualLayout>
                  <c:x val="-0.01453"/>
                  <c:y val="-0.0038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0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Pos val="outEnd"/>
            <c:delete val="0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100" b="0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'Лист1'!$C$2:$C$4</c:f>
              <c:numCache>
                <c:formatCode>0.0</c:formatCode>
                <c:ptCount val="3"/>
                <c:pt idx="0">
                  <c:v>4243.331</c:v>
                </c:pt>
                <c:pt idx="1">
                  <c:v>4729.88</c:v>
                </c:pt>
                <c:pt idx="2">
                  <c:v>5337.7</c:v>
                </c:pt>
              </c:numCache>
            </c:numRef>
          </c:val>
        </c:ser>
        <c:ser>
          <c:idx val="2"/>
          <c:order val="2"/>
          <c:tx>
            <c:strRef>
              <c:f>'Лист1'!$D$1</c:f>
              <c:strCache>
                <c:ptCount val="1"/>
                <c:pt idx="0">
                  <c:v>Субсидии</c:v>
                </c:pt>
              </c:strCache>
            </c:strRef>
          </c:tx>
          <c:dLbls>
            <c:dLblPos val="outEnd"/>
            <c:delete val="0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p>
                <a:pPr>
                  <a:defRPr sz="1100" b="0"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'Лист1'!$A$2:$A$4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'Лист1'!$D$2:$D$4</c:f>
              <c:numCache>
                <c:formatCode>0.0</c:formatCode>
                <c:ptCount val="3"/>
                <c:pt idx="0">
                  <c:v>4208.388</c:v>
                </c:pt>
                <c:pt idx="1">
                  <c:v>6024.948</c:v>
                </c:pt>
                <c:pt idx="2">
                  <c:v>15081.4</c:v>
                </c:pt>
              </c:numCache>
            </c:numRef>
          </c:val>
        </c:ser>
        <c:ser>
          <c:idx val="3"/>
          <c:order val="3"/>
          <c:tx>
            <c:strRef>
              <c:f>'Лист1'!$E$1</c:f>
              <c:strCache>
                <c:ptCount val="1"/>
                <c:pt idx="0">
                  <c:v xml:space="preserve">Иные межбюджетные трансферты</c:v>
                </c:pt>
              </c:strCache>
            </c:strRef>
          </c:tx>
          <c:dLbls>
            <c:dLbl>
              <c:idx val="2"/>
              <c:dLblPos val="outEnd"/>
              <c:layout>
                <c:manualLayout>
                  <c:x val="0.0080700000000000008"/>
                  <c:y val="-0.0038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1100" b="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Pos val="outEnd"/>
            <c:delete val="0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p>
                <a:pPr>
                  <a:defRPr sz="1100" b="0"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'Лист1'!$A$2:$A$4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'Лист1'!$E$2:$E$4</c:f>
              <c:numCache>
                <c:formatCode>0.0</c:formatCode>
                <c:ptCount val="3"/>
                <c:pt idx="0">
                  <c:v>115.025</c:v>
                </c:pt>
                <c:pt idx="1">
                  <c:v>307.556</c:v>
                </c:pt>
                <c:pt idx="2">
                  <c:v>1461.4</c:v>
                </c:pt>
              </c:numCache>
            </c:numRef>
          </c:val>
        </c:ser>
        <c:dLbls>
          <c:dLblPos val="outEnd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txPr>
            <a:bodyPr/>
            <a:p>
              <a:pPr>
                <a:defRPr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150"/>
        <c:axId val="2140842106"/>
        <c:axId val="2140842107"/>
      </c:barChart>
      <c:catAx>
        <c:axId val="214084210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107"/>
        <c:crosses val="autoZero"/>
        <c:auto val="1"/>
        <c:lblAlgn val="ctr"/>
        <c:lblOffset val="100"/>
        <c:tickMarkSkip val="1"/>
        <c:noMultiLvlLbl val="0"/>
      </c:catAx>
      <c:valAx>
        <c:axId val="2140842107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one"/>
        <c:txPr>
          <a:bodyPr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10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074579999999999994"/>
          <c:y val="0.79883999999999999"/>
          <c:w val="0.89422000000000001"/>
          <c:h val="0.20114000000000001"/>
        </c:manualLayout>
      </c:layout>
      <c:overlay val="0"/>
      <c:txPr>
        <a:bodyPr/>
        <a:p>
          <a:pPr>
            <a:defRPr sz="1100">
              <a:latin typeface="Liberation Sans"/>
              <a:ea typeface="Liberation Sans"/>
              <a:cs typeface="Liberation Sans"/>
            </a:defRPr>
          </a:pPr>
          <a:endParaRPr/>
        </a:p>
      </c:txPr>
    </c:legend>
    <c:plotVisOnly val="1"/>
    <c:showDLblsOverMax val="0"/>
  </c:chart>
  <c:spPr bwMode="auto">
    <a:xfrm rot="0" flipH="0" flipV="0">
      <a:off x="0" y="0"/>
      <a:ext cx="5899488" cy="2492207"/>
    </a:xfrm>
    <a:prstGeom prst="rect">
      <a:avLst/>
    </a:prstGeom>
    <a:ln>
      <a:noFill/>
    </a:ln>
  </c:spPr>
  <c:txPr>
    <a:bodyPr/>
    <a:lstStyle/>
    <a:p>
      <a:pPr>
        <a:defRPr>
          <a:latin typeface="Liberation Sans"/>
          <a:ea typeface="Liberation Sans"/>
          <a:cs typeface="Liberation Sans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en-US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p>
            <a:pPr>
              <a:defRPr lang="ru-RU" b="1"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Основные налоговые источники, м</a:t>
            </a: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лн руб</a:t>
            </a: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.</a:t>
            </a:r>
            <a:endParaRPr lang="ru-RU" b="1">
              <a:latin typeface="Liberation Sans"/>
              <a:cs typeface="Liberation Sans"/>
            </a:endParaRPr>
          </a:p>
        </c:rich>
      </c:tx>
      <c:layout/>
      <c:overlay val="0"/>
      <c:spPr bwMode="auto">
        <a:prstGeom prst="rect">
          <a:avLst/>
        </a:prstGeom>
        <a:noFill/>
        <a:ln>
          <a:noFill/>
        </a:ln>
      </c:spPr>
      <c:txPr>
        <a:bodyPr/>
        <a:p>
          <a:pPr>
            <a:defRPr lang="ru-RU" sz="1400" b="1" spc="0">
              <a:solidFill>
                <a:schemeClr val="tx1">
                  <a:lumMod val="65000"/>
                  <a:lumOff val="35000"/>
                </a:schemeClr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 bwMode="auto">
        <a:prstGeom prst="rect">
          <a:avLst/>
        </a:prstGeom>
        <a:noFill/>
        <a:ln>
          <a:noFill/>
          <a:round/>
        </a:ln>
      </c:spPr>
    </c:floor>
    <c:sideWall>
      <c:thickness val="0"/>
      <c:spPr bwMode="auto">
        <a:prstGeom prst="rect">
          <a:avLst/>
        </a:prstGeom>
        <a:noFill/>
        <a:ln>
          <a:noFill/>
          <a:miter/>
        </a:ln>
      </c:spPr>
    </c:sideWall>
    <c:backWall>
      <c:thickness val="0"/>
      <c:spPr bwMode="auto">
        <a:prstGeom prst="rect">
          <a:avLst/>
        </a:prstGeom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0.028930000000000001"/>
          <c:y val="0.15701000000000001"/>
          <c:w val="0.94213000000000002"/>
          <c:h val="0.5911999999999999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НДФЛ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5">
                <a:lumMod val="74901"/>
              </a:schemeClr>
            </a:solidFill>
            <a:ln>
              <a:noFill/>
            </a:ln>
          </c:spPr>
          <c:invertIfNegative val="0"/>
          <c:dLbls>
            <c:dLbl>
              <c:idx val="0"/>
              <c:dLblPos val="outEnd"/>
              <c:layout>
                <c:manualLayout>
                  <c:x val="0.01044"/>
                  <c:y val="-0.04161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100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dLblPos val="outEnd"/>
              <c:layout>
                <c:manualLayout>
                  <c:x val="0.01566"/>
                  <c:y val="-0.0297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100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"/>
              <c:dLblPos val="outEnd"/>
              <c:layout>
                <c:manualLayout>
                  <c:x val="0.019890000000000001"/>
                  <c:y val="-0.02837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100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100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4351.8</c:v>
                </c:pt>
                <c:pt idx="1">
                  <c:v>5087.1</c:v>
                </c:pt>
                <c:pt idx="2">
                  <c:v>5942.6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 xml:space="preserve">Налог на совокупный доход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</c:spPr>
          <c:invertIfNegative val="0"/>
          <c:dLbls>
            <c:dLbl>
              <c:idx val="0"/>
              <c:dLblPos val="outEnd"/>
              <c:layout>
                <c:manualLayout>
                  <c:x val="0.033669999999999999"/>
                  <c:y val="-0.032689999999999997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100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dLblPos val="outEnd"/>
              <c:layout>
                <c:manualLayout>
                  <c:x val="0.0235"/>
                  <c:y val="-0.02836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100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"/>
              <c:dLblPos val="outEnd"/>
              <c:layout>
                <c:manualLayout>
                  <c:x val="0.025309999999999999"/>
                  <c:y val="-0.02128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100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100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733.3</c:v>
                </c:pt>
                <c:pt idx="1">
                  <c:v>782.8</c:v>
                </c:pt>
                <c:pt idx="2">
                  <c:v>821.3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 xml:space="preserve">Налог на имущество физических лиц</c:v>
                </c:pt>
              </c:strCache>
            </c:strRef>
          </c:tx>
          <c:spPr bwMode="auto">
            <a:prstGeom prst="rect">
              <a:avLst/>
            </a:prstGeom>
            <a:solidFill>
              <a:srgbClr val="002060"/>
            </a:solidFill>
            <a:ln>
              <a:noFill/>
            </a:ln>
          </c:spPr>
          <c:invertIfNegative val="0"/>
          <c:dLbls>
            <c:dLbl>
              <c:idx val="0"/>
              <c:dLblPos val="outEnd"/>
              <c:layout>
                <c:manualLayout>
                  <c:x val="0.017330000000000002"/>
                  <c:y val="-0.03749000000000000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100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dLblPos val="outEnd"/>
              <c:layout>
                <c:manualLayout>
                  <c:x val="0.01626"/>
                  <c:y val="-0.03547000000000000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100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"/>
              <c:dLblPos val="outEnd"/>
              <c:layout>
                <c:manualLayout>
                  <c:x val="0.019879999999999998"/>
                  <c:y val="-0.024819999999999998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100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100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33.9</c:v>
                </c:pt>
                <c:pt idx="1">
                  <c:v>38.3</c:v>
                </c:pt>
                <c:pt idx="2">
                  <c:v>47.3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 xml:space="preserve">Земельный налог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</c:spPr>
          <c:invertIfNegative val="0"/>
          <c:dLbls>
            <c:dLbl>
              <c:idx val="0"/>
              <c:dLblPos val="outEnd"/>
              <c:layout>
                <c:manualLayout>
                  <c:x val="0.031859999999999999"/>
                  <c:y val="-0.02732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100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dLblPos val="outEnd"/>
              <c:layout>
                <c:manualLayout>
                  <c:x val="0.032539999999999999"/>
                  <c:y val="-0.03901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100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"/>
              <c:dLblPos val="outEnd"/>
              <c:layout>
                <c:manualLayout>
                  <c:x val="0.037960000000000001"/>
                  <c:y val="-0.031919999999999997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100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100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86</c:v>
                </c:pt>
                <c:pt idx="1">
                  <c:v>96.9</c:v>
                </c:pt>
                <c:pt idx="2">
                  <c:v>49.6</c:v>
                </c:pt>
              </c:numCache>
            </c:numRef>
          </c:val>
        </c:ser>
        <c:dLbls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spPr bwMode="auto">
            <a:prstGeom prst="rect">
              <a:avLst/>
            </a:prstGeom>
            <a:noFill/>
            <a:ln>
              <a:noFill/>
            </a:ln>
          </c:spPr>
          <c:txPr>
            <a:bodyPr/>
            <a:p>
              <a:pPr>
                <a:defRPr sz="90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/>
            </a:p>
          </c:txPr>
        </c:dLbls>
        <c:gapWidth val="150"/>
        <c:shape val="box"/>
        <c:axId val="2140842112"/>
        <c:axId val="2140842113"/>
      </c:bar3DChart>
      <c:catAx>
        <c:axId val="2140842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</c:spPr>
        <c:txPr>
          <a:bodyPr/>
          <a:p>
            <a:pPr>
              <a:defRPr sz="1100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113"/>
        <c:crosses val="autoZero"/>
        <c:auto val="1"/>
        <c:lblAlgn val="ctr"/>
        <c:lblOffset val="100"/>
        <c:tickMarkSkip val="1"/>
        <c:noMultiLvlLbl val="0"/>
      </c:catAx>
      <c:valAx>
        <c:axId val="2140842113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</c:spPr>
        <c:txPr>
          <a:bodyPr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/>
          </a:p>
        </c:txPr>
        <c:crossAx val="2140842112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.00181"/>
          <c:y val="0.85199000000000003"/>
          <c:w val="0.99817999999999996"/>
          <c:h val="0.14799999999999999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>
              <a:solidFill>
                <a:schemeClr val="tx1"/>
              </a:solidFill>
              <a:latin typeface="Liberation Sans"/>
              <a:ea typeface="Liberation Sans"/>
              <a:cs typeface="Liberation Sans"/>
            </a:defRPr>
          </a:pPr>
          <a:endParaRPr lang="en-US"/>
        </a:p>
      </c:txPr>
    </c:legend>
    <c:plotVisOnly val="1"/>
    <c:dispBlanksAs val="gap"/>
    <c:showDLblsOverMax val="0"/>
  </c:chart>
  <c:spPr bwMode="auto">
    <a:xfrm>
      <a:off x="0" y="0"/>
      <a:ext cx="5267347" cy="2684629"/>
    </a:xfrm>
    <a:prstGeom prst="rect">
      <a:avLst/>
    </a:prstGeom>
    <a:solidFill>
      <a:schemeClr val="bg1"/>
    </a:solidFill>
    <a:ln w="9525" cap="flat" cmpd="sng" algn="ctr">
      <a:noFill/>
      <a:round/>
    </a:ln>
  </c:spPr>
  <c:txPr>
    <a:bodyPr/>
    <a:p>
      <a:pPr>
        <a:defRPr sz="1000">
          <a:solidFill>
            <a:schemeClr val="tx1"/>
          </a:solidFill>
          <a:latin typeface="+mn-lt"/>
          <a:ea typeface="+mn-ea"/>
          <a:cs typeface="+mn-cs"/>
        </a:defRPr>
      </a:pPr>
      <a:endParaRPr/>
    </a:p>
  </c:txPr>
  <c:externalData r:id="rId3">
    <c:autoUpdate val="0"/>
  </c:externalData>
  <c:printSettings>
    <c:headerFooter/>
    <c:pageMargins l="0.69999999999999996" r="0.69999999999999996" t="0.75" b="0.75" header="0.29999999999999999" footer="0.29999999999999999"/>
    <c:pageSetup/>
  </c:printSettings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solidFill>
                  <a:srgbClr val="000000"/>
                </a:solidFill>
                <a:latin typeface="Liberation Sans"/>
                <a:cs typeface="Liberation Sans"/>
              </a:rPr>
              <a:t>Основные направления расходования средств бюджета, %</a:t>
            </a:r>
            <a:endParaRPr sz="1200">
              <a:solidFill>
                <a:srgbClr val="000000"/>
              </a:solidFill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5920000000000001"/>
          <c:y val="0"/>
        </c:manualLayout>
      </c:layout>
      <c:overlay val="1"/>
      <c:spPr bwMode="auto">
        <a:prstGeom prst="rect">
          <a:avLst/>
        </a:prstGeom>
        <a:noFill/>
        <a:ln>
          <a:noFill/>
        </a:ln>
      </c:spPr>
      <c:txPr>
        <a:bodyPr/>
        <a:p>
          <a:pPr>
            <a:defRPr sz="1200" b="1">
              <a:solidFill>
                <a:srgbClr val="000000"/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title>
    <c:plotArea>
      <c:layout>
        <c:manualLayout>
          <c:layoutTarget val="inner"/>
          <c:xMode val="edge"/>
          <c:yMode val="edge"/>
          <c:x val="0.024500000000000001"/>
          <c:y val="0.2077"/>
          <c:w val="0.37114000000000003"/>
          <c:h val="0.7379"/>
        </c:manualLayout>
      </c:layout>
      <c:doughnutChart>
        <c:varyColors val="1"/>
        <c:ser>
          <c:idx val="0"/>
          <c:order val="0"/>
          <c:tx>
            <c:strRef>
              <c:f>'Лист1'!$B$1</c:f>
              <c:strCache>
                <c:ptCount val="1"/>
                <c:pt idx="0">
                  <c:v xml:space="preserve">Основные направления расходования средств бюджета в 2023 году, %</c:v>
                </c:pt>
              </c:strCache>
            </c:strRef>
          </c:tx>
          <c:explosion val="11"/>
          <c:dPt>
            <c:idx val="0"/>
            <c:spPr bwMode="auto">
              <a:prstGeom prst="rect">
                <a:avLst/>
              </a:prstGeom>
              <a:gradFill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</c:spPr>
          </c:dPt>
          <c:dPt>
            <c:idx val="1"/>
            <c:spPr bwMode="auto">
              <a:prstGeom prst="rect">
                <a:avLst/>
              </a:prstGeom>
              <a:solidFill>
                <a:schemeClr val="accent6">
                  <a:lumMod val="40000"/>
                  <a:lumOff val="60000"/>
                </a:schemeClr>
              </a:solidFill>
              <a:ln>
                <a:noFill/>
              </a:ln>
            </c:spPr>
          </c:dPt>
          <c:dPt>
            <c:idx val="2"/>
            <c:spPr bwMode="auto">
              <a:prstGeom prst="rect">
                <a:avLst/>
              </a:prstGeom>
              <a:gradFill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</c:spPr>
          </c:dPt>
          <c:dPt>
            <c:idx val="3"/>
            <c:spPr bwMode="auto">
              <a:prstGeom prst="rect">
                <a:avLst/>
              </a:prstGeom>
              <a:solidFill>
                <a:schemeClr val="accent4">
                  <a:lumMod val="40000"/>
                  <a:lumOff val="60000"/>
                </a:schemeClr>
              </a:solidFill>
              <a:ln>
                <a:noFill/>
              </a:ln>
            </c:spPr>
          </c:dPt>
          <c:dPt>
            <c:idx val="4"/>
            <c:spPr bwMode="auto">
              <a:prstGeom prst="rect">
                <a:avLst/>
              </a:prstGeom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</c:spPr>
          </c:dPt>
          <c:dPt>
            <c:idx val="5"/>
            <c:spPr bwMode="auto">
              <a:prstGeom prst="rect">
                <a:avLst/>
              </a:prstGeom>
              <a:solidFill>
                <a:srgbClr val="538C29">
                  <a:alpha val="81000"/>
                </a:srgbClr>
              </a:solidFill>
              <a:ln>
                <a:noFill/>
              </a:ln>
            </c:spPr>
          </c:dPt>
          <c:dPt>
            <c:idx val="6"/>
            <c:spPr bwMode="auto">
              <a:prstGeom prst="rect">
                <a:avLst/>
              </a:prstGeom>
              <a:solidFill>
                <a:srgbClr val="6937AB">
                  <a:alpha val="60000"/>
                </a:srgbClr>
              </a:solidFill>
              <a:ln>
                <a:noFill/>
              </a:ln>
            </c:spPr>
          </c:dPt>
          <c:dPt>
            <c:idx val="7"/>
            <c:spPr bwMode="auto">
              <a:prstGeom prst="rect">
                <a:avLst/>
              </a:prstGeom>
              <a:solidFill>
                <a:srgbClr val="C55810">
                  <a:alpha val="35000"/>
                </a:srgbClr>
              </a:solidFill>
              <a:ln>
                <a:noFill/>
              </a:ln>
            </c:spPr>
          </c:dPt>
          <c:dLbls>
            <c:dLbl>
              <c:idx val="0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0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0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0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3"/>
              <c:layout>
                <c:manualLayout>
                  <c:x val="-0.014999999999999999"/>
                  <c:y val="-0.01611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0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4"/>
              <c:layout>
                <c:manualLayout>
                  <c:x val="-0.014999999999999999"/>
                  <c:y val="-0.01611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0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5"/>
              <c:layout>
                <c:manualLayout>
                  <c:x val="-0.016660000000000001"/>
                  <c:y val="-0.04435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0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6"/>
              <c:layout>
                <c:manualLayout>
                  <c:x val="-0.0083199999999999993"/>
                  <c:y val="-0.064509999999999998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0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7"/>
              <c:layout>
                <c:manualLayout>
                  <c:x val="0.014999999999999999"/>
                  <c:y val="-0.0766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0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separator xml:space="preserve"> </c:separator>
            <c:showBubbleSize val="0"/>
            <c:showCatName val="0"/>
            <c:showLeaderLines val="1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000" b="1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'Лист1'!$A$2:$A$9</c:f>
              <c:strCache>
                <c:ptCount val="8"/>
                <c:pt idx="0">
                  <c:v xml:space="preserve">Образование - 36,6</c:v>
                </c:pt>
                <c:pt idx="1">
                  <c:v xml:space="preserve">Национальная экономика - 30,6</c:v>
                </c:pt>
                <c:pt idx="2">
                  <c:v xml:space="preserve">Жилищно-коммунальное хозяйство - 17,4</c:v>
                </c:pt>
                <c:pt idx="3">
                  <c:v xml:space="preserve">Общегосударственные вопросы - 4,5</c:v>
                </c:pt>
                <c:pt idx="4">
                  <c:v xml:space="preserve">Социальная политика - 3,9</c:v>
                </c:pt>
                <c:pt idx="5">
                  <c:v xml:space="preserve">Физическая культура и спорт - 3,9</c:v>
                </c:pt>
                <c:pt idx="6">
                  <c:v xml:space="preserve">Культура, кинематография - 1,9</c:v>
                </c:pt>
                <c:pt idx="7">
                  <c:v xml:space="preserve">Прочие расходы - 1,2</c:v>
                </c:pt>
              </c:strCache>
            </c:strRef>
          </c:cat>
          <c:val>
            <c:numRef>
              <c:f>'Лист1'!$B$2:$B$9</c:f>
              <c:numCache>
                <c:formatCode>General</c:formatCode>
                <c:ptCount val="8"/>
                <c:pt idx="0" formatCode="#,##0.0;[Red]\-#,##0.0;\-">
                  <c:v>36.6</c:v>
                </c:pt>
                <c:pt idx="1" formatCode="#,##0.0;[Red]\-#,##0.0;\-">
                  <c:v>30.6</c:v>
                </c:pt>
                <c:pt idx="2" formatCode="#,##0.0;[Red]\-#,##0.0;\-">
                  <c:v>17.4</c:v>
                </c:pt>
                <c:pt idx="3" formatCode="#,##0.0;[Red]\-#,##0.0;\-">
                  <c:v>4.5</c:v>
                </c:pt>
                <c:pt idx="4" formatCode="#,##0.0;[Red]\-#,##0.0;\-">
                  <c:v>3.9</c:v>
                </c:pt>
                <c:pt idx="5" formatCode="#,##0.0;[Red]\-#,##0.0;\-">
                  <c:v>3.9</c:v>
                </c:pt>
                <c:pt idx="6" formatCode="#,##0.0;[Red]\-#,##0.0;\-">
                  <c:v>1.9</c:v>
                </c:pt>
                <c:pt idx="7" formatCode="#,##0.0;[Red]&quot;-&quot;#,##0.0;&quot;-&quot;">
                  <c:v>1.2</c:v>
                </c:pt>
              </c:numCache>
            </c:numRef>
          </c:val>
        </c:ser>
        <c:dLbls>
          <c:separator xml:space="preserve"> </c:separator>
          <c:showBubbleSize val="0"/>
          <c:showCatName val="0"/>
          <c:showLeaderLines val="1"/>
          <c:showLegendKey val="0"/>
          <c:showPercent val="0"/>
          <c:showSerName val="0"/>
          <c:showVal val="1"/>
          <c:spPr bwMode="auto">
            <a:prstGeom prst="rect">
              <a:avLst/>
            </a:prstGeom>
            <a:noFill/>
            <a:ln>
              <a:noFill/>
            </a:ln>
          </c:spPr>
          <c:txPr>
            <a:bodyPr/>
            <a:p>
              <a:pPr>
                <a:defRPr sz="900">
                  <a:solidFill>
                    <a:schemeClr val="tx2"/>
                  </a:solidFill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</c:doughnutChart>
      <c:spPr bwMode="auto">
        <a:prstGeom prst="rect">
          <a:avLst/>
        </a:prstGeom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39616000000000001"/>
          <c:y val="0.20563999999999999"/>
          <c:w val="0.58465"/>
          <c:h val="0.82660999999999996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>
              <a:solidFill>
                <a:srgbClr val="000000"/>
              </a:solidFill>
              <a:latin typeface="Liberation Sans"/>
              <a:ea typeface="Liberation Sans"/>
              <a:cs typeface="Liberation Sans"/>
            </a:defRPr>
          </a:pPr>
          <a:endParaRPr lang="en-US"/>
        </a:p>
      </c:txPr>
    </c:legend>
    <c:plotVisOnly val="1"/>
    <c:dispBlanksAs val="zero"/>
    <c:showDLblsOverMax val="0"/>
  </c:chart>
  <c:spPr bwMode="auto">
    <a:xfrm rot="0" flipH="0" flipV="0">
      <a:off x="0" y="0"/>
      <a:ext cx="5714993" cy="2362191"/>
    </a:xfrm>
    <a:prstGeom prst="rect">
      <a:avLst/>
    </a:prstGeom>
    <a:solidFill>
      <a:schemeClr val="bg1"/>
    </a:solidFill>
    <a:ln w="9525" cap="flat" cmpd="sng" algn="ctr">
      <a:noFill/>
      <a:prstDash val="solid"/>
      <a:round/>
    </a:ln>
  </c:spPr>
  <c:txPr>
    <a:bodyPr/>
    <a:lstStyle/>
    <a:p>
      <a:pPr>
        <a:defRPr sz="900">
          <a:solidFill>
            <a:schemeClr val="tx2"/>
          </a:solidFill>
          <a:latin typeface="Liberation Sans"/>
          <a:ea typeface="Liberation Sans"/>
          <a:cs typeface="Liberation Sans"/>
        </a:defRPr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cs typeface="Liberation Sans"/>
              </a:rPr>
              <a:t>Численность населения муниципального образования </a:t>
            </a:r>
            <a:r>
              <a:rPr lang="ru-RU" sz="1200">
                <a:latin typeface="Liberation Sans"/>
                <a:cs typeface="Liberation Sans"/>
              </a:rPr>
              <a:t>город Новый Уренгой на конец года </a:t>
            </a:r>
            <a:endParaRPr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4007"/>
          <c:y val="0"/>
        </c:manualLayout>
      </c:layout>
      <c:overlay val="0"/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title>
    <c:plotArea>
      <c:layout>
        <c:manualLayout>
          <c:layoutTarget val="inner"/>
          <c:xMode val="edge"/>
          <c:yMode val="edge"/>
          <c:x val="0.097930000000000003"/>
          <c:y val="0.23493"/>
          <c:w val="0.78447999999999996"/>
          <c:h val="0.479779999999999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Численность населения на конец года, человек 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60000"/>
                <a:lumOff val="40000"/>
              </a:schemeClr>
            </a:solidFill>
          </c:spPr>
          <c:dLbls>
            <c:dLbl>
              <c:idx val="2"/>
              <c:dLblPos val="ctr"/>
              <c:layout>
                <c:manualLayout>
                  <c:x val="-0.0036800000000000001"/>
                  <c:y val="-0.2966500000000000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dLblPos val="ctr"/>
              <c:layout>
                <c:manualLayout>
                  <c:x val="-0.0036800000000000001"/>
                  <c:y val="-0.27856999999999998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0"/>
              <c:dLblPos val="ctr"/>
              <c:layout>
                <c:manualLayout>
                  <c:x val="0"/>
                  <c:y val="-0.2821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Pos val="ctr"/>
            <c:delete val="0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107122</c:v>
                </c:pt>
                <c:pt idx="1">
                  <c:v>106764</c:v>
                </c:pt>
                <c:pt idx="2">
                  <c:v>106890</c:v>
                </c:pt>
              </c:numCache>
            </c:numRef>
          </c:val>
        </c:ser>
        <c:dLbls>
          <c:dLblPos val="ctr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txPr>
            <a:bodyPr/>
            <a:p>
              <a:pPr>
                <a:defRPr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150"/>
        <c:axId val="2140842030"/>
        <c:axId val="2140842031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 xml:space="preserve">Темп роста к прошлому году,  %</c:v>
                </c:pt>
              </c:strCache>
            </c:strRef>
          </c:tx>
          <c:spPr bwMode="auto">
            <a:prstGeom prst="rect">
              <a:avLst/>
            </a:prstGeom>
            <a:ln>
              <a:solidFill>
                <a:schemeClr val="accent1"/>
              </a:solidFill>
              <a:bevel/>
            </a:ln>
          </c:spPr>
          <c:marker>
            <c:symbol val="circle"/>
            <c:size val="7"/>
            <c:spPr bwMode="auto">
              <a:prstGeom prst="rect">
                <a:avLst/>
              </a:prstGeom>
              <a:solidFill>
                <a:schemeClr val="tx2">
                  <a:lumMod val="75000"/>
                </a:schemeClr>
              </a:solidFill>
              <a:ln>
                <a:noFill/>
              </a:ln>
            </c:spPr>
          </c:marker>
          <c:dLbls>
            <c:dLbl>
              <c:idx val="0"/>
              <c:dLblPos val="ctr"/>
              <c:layout>
                <c:manualLayout>
                  <c:x val="-0.081079999999999999"/>
                  <c:y val="0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dLblPos val="ctr"/>
              <c:layout>
                <c:manualLayout>
                  <c:x val="-0.082919999999999994"/>
                  <c:y val="0.0217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"/>
              <c:dLblPos val="ctr"/>
              <c:layout>
                <c:manualLayout>
                  <c:x val="-0.070019999999999999"/>
                  <c:y val="0.02170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Pos val="ctr"/>
            <c:delete val="0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p>
                <a:pPr>
                  <a:defRPr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90.692</c:v>
                </c:pt>
                <c:pt idx="1">
                  <c:v>99.665</c:v>
                </c:pt>
                <c:pt idx="2">
                  <c:v>100.1</c:v>
                </c:pt>
              </c:numCache>
            </c:numRef>
          </c:val>
          <c:smooth val="0"/>
        </c:ser>
        <c:dLbls>
          <c:dLblPos val="ctr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txPr>
            <a:bodyPr/>
            <a:p>
              <a:pPr>
                <a:defRPr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marker val="1"/>
        <c:smooth val="0"/>
        <c:axId val="2140842033"/>
        <c:axId val="2140842032"/>
      </c:lineChart>
      <c:catAx>
        <c:axId val="214084203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p>
            <a:pPr>
              <a:defRPr sz="1100"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031"/>
        <c:crosses val="autoZero"/>
        <c:auto val="1"/>
        <c:lblAlgn val="ctr"/>
        <c:lblOffset val="100"/>
        <c:tickMarkSkip val="1"/>
        <c:noMultiLvlLbl val="0"/>
      </c:catAx>
      <c:valAx>
        <c:axId val="2140842031"/>
        <c:scaling>
          <c:orientation val="minMax"/>
          <c:min val="0"/>
        </c:scaling>
        <c:delete val="0"/>
        <c:axPos val="l"/>
        <c:numFmt formatCode="0" sourceLinked="1"/>
        <c:majorTickMark val="out"/>
        <c:minorTickMark val="none"/>
        <c:tickLblPos val="none"/>
        <c:txPr>
          <a:bodyPr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030"/>
        <c:crosses val="autoZero"/>
        <c:crossBetween val="between"/>
      </c:valAx>
      <c:valAx>
        <c:axId val="2140842032"/>
        <c:scaling>
          <c:orientation val="minMax"/>
          <c:max val="185"/>
          <c:min val="-1000"/>
        </c:scaling>
        <c:delete val="0"/>
        <c:axPos val="r"/>
        <c:numFmt formatCode="0.0" sourceLinked="1"/>
        <c:majorTickMark val="out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</c:spPr>
        <c:txPr>
          <a:bodyPr/>
          <a:lstStyle/>
          <a:p>
            <a:pPr>
              <a:defRPr>
                <a:solidFill>
                  <a:schemeClr val="bg1"/>
                </a:solidFill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2140842033"/>
        <c:crosses val="max"/>
        <c:crossBetween val="between"/>
        <c:majorUnit val="100"/>
        <c:minorUnit val="100"/>
      </c:valAx>
      <c:catAx>
        <c:axId val="2140842033"/>
        <c:scaling>
          <c:orientation val="minMax"/>
        </c:scaling>
        <c:delete val="0"/>
        <c:axPos val="t"/>
        <c:numFmt formatCode="General" sourceLinked="1"/>
        <c:majorTickMark val="none"/>
        <c:minorTickMark val="none"/>
        <c:tickLblPos val="none"/>
        <c:spPr bwMode="auto">
          <a:prstGeom prst="rect">
            <a:avLst/>
          </a:prstGeom>
          <a:ln>
            <a:noFill/>
          </a:ln>
        </c:spPr>
        <c:txPr>
          <a:bodyPr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032"/>
        <c:crosses val="max"/>
        <c:auto val="1"/>
        <c:lblAlgn val="ctr"/>
        <c:lblOffset val="100"/>
        <c:tickMarkSkip val="1"/>
        <c:noMultiLvlLbl val="0"/>
      </c:catAx>
    </c:plotArea>
    <c:legend>
      <c:legendPos val="b"/>
      <c:layout>
        <c:manualLayout>
          <c:xMode val="edge"/>
          <c:yMode val="edge"/>
          <c:x val="0"/>
          <c:y val="0.86695"/>
          <c:w val="0.98916999999999999"/>
          <c:h val="0.085029999999999994"/>
        </c:manualLayout>
      </c:layout>
      <c:overlay val="0"/>
      <c:txPr>
        <a:bodyPr/>
        <a:p>
          <a:pPr>
            <a:defRPr sz="1100">
              <a:latin typeface="Liberation Sans"/>
              <a:ea typeface="Liberation Sans"/>
              <a:cs typeface="Liberation Sans"/>
            </a:defRPr>
          </a:pPr>
          <a:endParaRPr/>
        </a:p>
      </c:txPr>
    </c:legend>
    <c:plotVisOnly val="1"/>
    <c:dispBlanksAs val="gap"/>
    <c:showDLblsOverMax val="0"/>
  </c:chart>
  <c:spPr bwMode="auto">
    <a:xfrm>
      <a:off x="0" y="0"/>
      <a:ext cx="5262177" cy="2986969"/>
    </a:xfrm>
    <a:prstGeom prst="rect">
      <a:avLst/>
    </a:prstGeom>
    <a:ln>
      <a:noFill/>
    </a:ln>
  </c:spPr>
  <c:txPr>
    <a:bodyPr/>
    <a:lstStyle/>
    <a:p>
      <a:pPr>
        <a:defRPr>
          <a:latin typeface="Liberation Sans"/>
          <a:ea typeface="Liberation Sans"/>
          <a:cs typeface="Liberation Sans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p>
            <a:pPr>
              <a:defRPr/>
            </a:pPr>
            <a:r>
              <a:rPr lang="ru-RU" sz="1200">
                <a:latin typeface="Liberation Sans"/>
                <a:cs typeface="Liberation Sans"/>
              </a:rPr>
              <a:t>Среднесписочная численность работников,</a:t>
            </a:r>
            <a:r>
              <a:rPr lang="ru-RU" sz="1200">
                <a:latin typeface="Liberation Sans"/>
                <a:cs typeface="Liberation Sans"/>
              </a:rPr>
              <a:t> тыс. человек</a:t>
            </a:r>
            <a:endParaRPr/>
          </a:p>
        </c:rich>
      </c:tx>
      <c:layout>
        <c:manualLayout>
          <c:x val="0.023210000000000001"/>
          <c:y val="0.016760000000000001"/>
        </c:manualLayout>
      </c:layout>
      <c:overlay val="0"/>
    </c:title>
    <c:plotArea>
      <c:layout>
        <c:manualLayout>
          <c:layoutTarget val="inner"/>
          <c:xMode val="edge"/>
          <c:yMode val="edge"/>
          <c:x val="0.16525999999999999"/>
          <c:y val="0.29363"/>
          <c:w val="0.70965"/>
          <c:h val="0.427549999999999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Ряд 1</c:v>
                </c:pt>
              </c:strCache>
            </c:strRef>
          </c:tx>
          <c:dLbls>
            <c:dLbl>
              <c:idx val="0"/>
              <c:dLblPos val="outEnd"/>
              <c:layout>
                <c:manualLayout>
                  <c:x val="-0.0023500000000000001"/>
                  <c:y val="0.01564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dLblPos val="outEnd"/>
              <c:layout>
                <c:manualLayout>
                  <c:x val="-0.0017600000000000001"/>
                  <c:y val="0.0073800000000000003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dLblPos val="outEnd"/>
              <c:layout>
                <c:manualLayout>
                  <c:x val="0.0047000000000000002"/>
                  <c:y val="0.01737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1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 - уточн.</c:v>
                </c:pt>
                <c:pt idx="2">
                  <c:v xml:space="preserve">2023 год </c:v>
                </c:pt>
              </c:strCache>
            </c:strRef>
          </c:cat>
          <c:val>
            <c:numRef>
              <c:f>Лист1!$B$2:$B$4</c:f>
              <c:numCache>
                <c:formatCode>#,##0.0</c:formatCode>
                <c:ptCount val="3"/>
                <c:pt idx="0">
                  <c:v>60.037</c:v>
                </c:pt>
                <c:pt idx="1">
                  <c:v>63.488</c:v>
                </c:pt>
                <c:pt idx="2">
                  <c:v>68.042</c:v>
                </c:pt>
              </c:numCache>
            </c:numRef>
          </c:val>
        </c:ser>
        <c:dLbls>
          <c:dLblPos val="outEnd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txPr>
            <a:bodyPr/>
            <a:p>
              <a:pPr>
                <a:defRPr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150"/>
        <c:axId val="2140842188"/>
        <c:axId val="2140842189"/>
      </c:barChart>
      <c:catAx>
        <c:axId val="21408421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p>
            <a:pPr>
              <a:defRPr sz="1100"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189"/>
        <c:crosses val="autoZero"/>
        <c:auto val="1"/>
        <c:lblAlgn val="ctr"/>
        <c:lblOffset val="100"/>
        <c:tickMarkSkip val="1"/>
        <c:noMultiLvlLbl val="0"/>
      </c:catAx>
      <c:valAx>
        <c:axId val="2140842189"/>
        <c:scaling>
          <c:orientation val="minMax"/>
        </c:scaling>
        <c:delete val="1"/>
        <c:axPos val="l"/>
        <c:numFmt formatCode="#,##0.0" sourceLinked="1"/>
        <c:majorTickMark val="out"/>
        <c:minorTickMark val="none"/>
        <c:tickLblPos val="none"/>
        <c:txPr>
          <a:bodyPr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188"/>
        <c:crosses val="autoZero"/>
        <c:crossBetween val="between"/>
      </c:valAx>
    </c:plotArea>
    <c:plotVisOnly val="1"/>
    <c:showDLblsOverMax val="0"/>
  </c:chart>
  <c:spPr bwMode="auto">
    <a:xfrm>
      <a:off x="0" y="0"/>
      <a:ext cx="5673525" cy="1954614"/>
    </a:xfrm>
    <a:prstGeom prst="rect">
      <a:avLst/>
    </a:prstGeom>
    <a:ln>
      <a:noFill/>
    </a:ln>
  </c:spPr>
  <c:txPr>
    <a:bodyPr/>
    <a:lstStyle/>
    <a:p>
      <a:pPr>
        <a:defRPr>
          <a:latin typeface="Liberation Sans"/>
          <a:ea typeface="Liberation Sans"/>
          <a:cs typeface="Liberation Sans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en-US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p>
            <a:pPr>
              <a:defRPr lang="ru-RU" sz="1200" b="1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/>
              <a:t>Распределение среднесписочной численности работников  по видам деятельности, %</a:t>
            </a:r>
            <a:endParaRPr lang="ru-RU"/>
          </a:p>
        </c:rich>
      </c:tx>
      <c:layout>
        <c:manualLayout>
          <c:x val="0.010619999999999999"/>
          <c:y val="0.01404"/>
        </c:manualLayout>
      </c:layout>
      <c:overlay val="0"/>
      <c:spPr bwMode="auto">
        <a:prstGeom prst="rect">
          <a:avLst/>
        </a:prstGeom>
        <a:noFill/>
        <a:ln>
          <a:noFill/>
        </a:ln>
      </c:spPr>
      <c:txPr>
        <a:bodyPr/>
        <a:p>
          <a:pPr>
            <a:defRPr lang="ru-RU" sz="1200" b="1">
              <a:solidFill>
                <a:srgbClr val="000000"/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020209999999999999"/>
          <c:y val="0.28821999999999998"/>
          <c:w val="0.29532000000000003"/>
          <c:h val="0.52068000000000003"/>
        </c:manualLayout>
      </c:layout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 xml:space="preserve">Распределение среднесписочной численности работников (без субъектов малого предпринимательства) по видам деятельности, %</c:v>
                </c:pt>
              </c:strCache>
            </c:strRef>
          </c:tx>
          <c:dPt>
            <c:idx val="0"/>
            <c:spPr bwMode="auto">
              <a:prstGeom prst="rect">
                <a:avLst/>
              </a:prstGeom>
              <a:gradFill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</c:spPr>
          </c:dPt>
          <c:dPt>
            <c:idx val="1"/>
            <c:spPr bwMode="auto">
              <a:prstGeom prst="rect">
                <a:avLst/>
              </a:prstGeom>
              <a:solidFill>
                <a:schemeClr val="accent6">
                  <a:lumMod val="40000"/>
                  <a:lumOff val="60000"/>
                </a:schemeClr>
              </a:solidFill>
              <a:ln>
                <a:noFill/>
              </a:ln>
            </c:spPr>
          </c:dPt>
          <c:dPt>
            <c:idx val="2"/>
            <c:spPr bwMode="auto">
              <a:prstGeom prst="rect">
                <a:avLst/>
              </a:prstGeom>
              <a:gradFill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  <a:round/>
              </a:ln>
            </c:spPr>
          </c:dPt>
          <c:dPt>
            <c:idx val="3"/>
            <c:spPr bwMode="auto">
              <a:prstGeom prst="rect">
                <a:avLst/>
              </a:prstGeom>
              <a:solidFill>
                <a:srgbClr val="5538AB"/>
              </a:solidFill>
              <a:ln>
                <a:noFill/>
              </a:ln>
            </c:spPr>
          </c:dPt>
          <c:dPt>
            <c:idx val="4"/>
            <c:spPr bwMode="auto">
              <a:prstGeom prst="rect">
                <a:avLst/>
              </a:prstGeom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</c:spPr>
          </c:dPt>
          <c:dPt>
            <c:idx val="5"/>
            <c:spPr bwMode="auto">
              <a:prstGeom prst="rect">
                <a:avLst/>
              </a:prstGeom>
              <a:gradFill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</c:spPr>
          </c:dPt>
          <c:dPt>
            <c:idx val="6"/>
            <c:spPr bwMode="auto">
              <a:prstGeom prst="rect">
                <a:avLst/>
              </a:prstGeom>
              <a:solidFill>
                <a:srgbClr val="259C8C"/>
              </a:solidFill>
              <a:ln>
                <a:noFill/>
                <a:round/>
              </a:ln>
            </c:spPr>
          </c:dPt>
          <c:dPt>
            <c:idx val="7"/>
            <c:spPr bwMode="auto">
              <a:prstGeom prst="rect">
                <a:avLst/>
              </a:prstGeom>
              <a:gradFill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</c:spPr>
          </c:dPt>
          <c:dPt>
            <c:idx val="8"/>
            <c:spPr bwMode="auto">
              <a:prstGeom prst="rect">
                <a:avLst/>
              </a:prstGeom>
              <a:solidFill>
                <a:schemeClr val="accent3">
                  <a:lumMod val="50196"/>
                </a:schemeClr>
              </a:solidFill>
              <a:ln>
                <a:noFill/>
              </a:ln>
            </c:spPr>
          </c:dPt>
          <c:dPt>
            <c:idx val="9"/>
            <c:spPr bwMode="auto">
              <a:prstGeom prst="rect">
                <a:avLst/>
              </a:prstGeom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</c:spPr>
          </c:dPt>
          <c:dLbls>
            <c:dLbl>
              <c:idx val="0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9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9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9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3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9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4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9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5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9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6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9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7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9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8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9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9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9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900" b="1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Sheet1!$A$2:$A$11</c:f>
              <c:strCache>
                <c:ptCount val="10"/>
                <c:pt idx="0">
                  <c:v xml:space="preserve">Добыча полезных ископаемых - 25,0%</c:v>
                </c:pt>
                <c:pt idx="1">
                  <c:v xml:space="preserve">Строительство - 20,9%</c:v>
                </c:pt>
                <c:pt idx="2">
                  <c:v xml:space="preserve">Транспортировка и хранение - 12,4%</c:v>
                </c:pt>
                <c:pt idx="3">
                  <c:v xml:space="preserve">Образование - 7,5%</c:v>
                </c:pt>
                <c:pt idx="4">
                  <c:v xml:space="preserve">Деятельность  административная и сопутствующие дополнительные услуги - 5,5%</c:v>
                </c:pt>
                <c:pt idx="5">
                  <c:v xml:space="preserve">Обеспечение электрической энергией, газом и паром; кондиционирование воздуха - 4,4%</c:v>
                </c:pt>
                <c:pt idx="6">
                  <c:v xml:space="preserve">Деятельность в области здравоохранения и социальных услуг - 4,2%</c:v>
                </c:pt>
                <c:pt idx="7">
                  <c:v xml:space="preserve">Государственное управление и обеспечение военной безопасности; социальное обеспечение - 3,4%</c:v>
                </c:pt>
                <c:pt idx="8">
                  <c:v xml:space="preserve">Деятельность в области культуры, спорта, организации досуга и развлечений - 1,2%</c:v>
                </c:pt>
                <c:pt idx="9">
                  <c:v xml:space="preserve">Прочие - 15,5%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 formatCode="0.0">
                  <c:v>25</c:v>
                </c:pt>
                <c:pt idx="1" formatCode="0.0">
                  <c:v>20.9</c:v>
                </c:pt>
                <c:pt idx="2" formatCode="General">
                  <c:v>12.4</c:v>
                </c:pt>
                <c:pt idx="3" formatCode="General">
                  <c:v>7.5</c:v>
                </c:pt>
                <c:pt idx="4" formatCode="General">
                  <c:v>5.5</c:v>
                </c:pt>
                <c:pt idx="5" formatCode="General">
                  <c:v>4.4</c:v>
                </c:pt>
                <c:pt idx="6" formatCode="General">
                  <c:v>4.2</c:v>
                </c:pt>
                <c:pt idx="7" formatCode="General">
                  <c:v>3.4</c:v>
                </c:pt>
                <c:pt idx="8" formatCode="General">
                  <c:v>1.2</c:v>
                </c:pt>
                <c:pt idx="9" formatCode="General">
                  <c:v>15.5</c:v>
                </c:pt>
              </c:numCache>
            </c:numRef>
          </c:val>
        </c:ser>
        <c:dLbls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spPr bwMode="auto">
            <a:prstGeom prst="rect">
              <a:avLst/>
            </a:prstGeom>
            <a:noFill/>
            <a:ln>
              <a:noFill/>
            </a:ln>
          </c:spPr>
          <c:txPr>
            <a:bodyPr/>
            <a:p>
              <a:pPr>
                <a:defRPr sz="900">
                  <a:solidFill>
                    <a:schemeClr val="tx2"/>
                  </a:solidFill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</c:doughnutChart>
      <c:spPr bwMode="auto">
        <a:prstGeom prst="rect">
          <a:avLst/>
        </a:prstGeom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31311"/>
          <c:y val="0.18561"/>
          <c:w val="0.68059999999999998"/>
          <c:h val="0.79220000000000002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>
              <a:solidFill>
                <a:srgbClr val="000000"/>
              </a:solidFill>
              <a:latin typeface="Liberation Sans"/>
              <a:ea typeface="Liberation Sans"/>
              <a:cs typeface="Liberation Sans"/>
            </a:defRPr>
          </a:pPr>
          <a:endParaRPr lang="en-US"/>
        </a:p>
      </c:txPr>
    </c:legend>
    <c:plotVisOnly val="1"/>
    <c:dispBlanksAs val="gap"/>
    <c:showDLblsOverMax val="0"/>
  </c:chart>
  <c:spPr bwMode="auto">
    <a:xfrm>
      <a:off x="0" y="0"/>
      <a:ext cx="6059821" cy="3437029"/>
    </a:xfrm>
    <a:prstGeom prst="rect">
      <a:avLst/>
    </a:prstGeom>
    <a:solidFill>
      <a:schemeClr val="bg1"/>
    </a:solidFill>
    <a:ln w="9525" cap="flat" cmpd="sng" algn="ctr">
      <a:noFill/>
      <a:prstDash val="solid"/>
      <a:round/>
    </a:ln>
  </c:spPr>
  <c:txPr>
    <a:bodyPr/>
    <a:p>
      <a:pPr>
        <a:defRPr sz="900">
          <a:solidFill>
            <a:schemeClr val="tx2"/>
          </a:solidFill>
          <a:latin typeface="Liberation Sans"/>
          <a:ea typeface="Liberation Sans"/>
          <a:cs typeface="Liberation Sans"/>
        </a:defRPr>
      </a:pPr>
      <a:endParaRPr/>
    </a:p>
  </c:txPr>
  <c:externalData r:id="rId3">
    <c:autoUpdate val="0"/>
  </c:externalData>
  <c:printSettings>
    <c:headerFooter/>
    <c:pageMargins l="0.69999999999999996" r="0.69999999999999996" t="0.75" b="0.75" header="0.29999999999999999" footer="0.29999999999999999"/>
    <c:pageSetup/>
  </c:printSettings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en-US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p>
            <a:pPr>
              <a:defRPr sz="1200" b="1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rgbClr val="000000"/>
                </a:solidFill>
                <a:latin typeface="Liberation Sans"/>
                <a:cs typeface="Liberation Sans"/>
              </a:rPr>
              <a:t>Достижение целевых показателей </a:t>
            </a:r>
            <a:endParaRPr sz="1200" b="1">
              <a:solidFill>
                <a:srgbClr val="000000"/>
              </a:solidFill>
              <a:latin typeface="Liberation Sans"/>
              <a:cs typeface="Liberation Sans"/>
            </a:endParaRPr>
          </a:p>
          <a:p>
            <a:pPr>
              <a:defRPr sz="1200" b="1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rgbClr val="000000"/>
                </a:solidFill>
                <a:latin typeface="Liberation Sans"/>
                <a:cs typeface="Liberation Sans"/>
              </a:rPr>
              <a:t>уровня средней заработной платы отдельных категорий работников социальной сферы в 2023 году, руб.</a:t>
            </a:r>
            <a:endParaRPr sz="1200" b="1">
              <a:solidFill>
                <a:srgbClr val="000000"/>
              </a:solidFill>
              <a:latin typeface="Liberation Sans"/>
              <a:cs typeface="Liberation Sans"/>
            </a:endParaRPr>
          </a:p>
        </c:rich>
      </c:tx>
      <c:layout>
        <c:manualLayout>
          <c:x val="-0.026200000000000001"/>
          <c:y val="0.0068500000000000002"/>
        </c:manualLayout>
      </c:layout>
      <c:overlay val="0"/>
      <c:spPr bwMode="auto">
        <a:prstGeom prst="rect">
          <a:avLst/>
        </a:prstGeom>
        <a:noFill/>
        <a:ln>
          <a:noFill/>
        </a:ln>
      </c:spPr>
      <c:txPr>
        <a:bodyPr/>
        <a:p>
          <a:pPr>
            <a:defRPr sz="1200" b="1" spc="0">
              <a:solidFill>
                <a:srgbClr val="000000"/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82757000000000003"/>
          <c:y val="0.15203"/>
          <c:w val="0.15206"/>
          <c:h val="0.786569999999999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 xml:space="preserve">Целевое значение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  <a:ln>
              <a:noFill/>
            </a:ln>
          </c:spPr>
          <c:invertIfNegative val="0"/>
          <c:dLbls>
            <c:dLblPos val="ctr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900" b="1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Sheet1!$A$2:$A$7</c:f>
              <c:strCache>
                <c:ptCount val="6"/>
                <c:pt idx="0">
                  <c:v xml:space="preserve">Педагогические работники дошкольных образовательных учреждений</c:v>
                </c:pt>
                <c:pt idx="1">
                  <c:v xml:space="preserve">Педагогические работники образовательных учреждений общего образования</c:v>
                </c:pt>
                <c:pt idx="2">
                  <c:v xml:space="preserve">Педагогические работники учреждений дополнительного образования детей в сфере образования</c:v>
                </c:pt>
                <c:pt idx="3">
                  <c:v xml:space="preserve">Педагогические работники учреждений дополнительного образования детей в сфере спорта</c:v>
                </c:pt>
                <c:pt idx="4">
                  <c:v xml:space="preserve">Педагогические работники учреждений дополнительного образования детей в сфере культуры</c:v>
                </c:pt>
                <c:pt idx="5">
                  <c:v xml:space="preserve">Работники учреждений культуры</c:v>
                </c:pt>
              </c:strCache>
            </c:strRef>
          </c:cat>
          <c:val>
            <c:numRef>
              <c:f>Sheet1!$B$2:$B$7</c:f>
              <c:numCache>
                <c:formatCode>0.00;[Red]0.00</c:formatCode>
                <c:ptCount val="6"/>
                <c:pt idx="0">
                  <c:v>109126</c:v>
                </c:pt>
                <c:pt idx="1">
                  <c:v>127536</c:v>
                </c:pt>
                <c:pt idx="2">
                  <c:v>134486.3</c:v>
                </c:pt>
                <c:pt idx="3">
                  <c:v>134486.3</c:v>
                </c:pt>
                <c:pt idx="4">
                  <c:v>134486.3</c:v>
                </c:pt>
                <c:pt idx="5">
                  <c:v>127536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 xml:space="preserve">Фактическое значение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2"/>
            </a:solidFill>
            <a:ln>
              <a:noFill/>
              <a:miter/>
            </a:ln>
          </c:spPr>
          <c:invertIfNegative val="0"/>
          <c:dLbls>
            <c:dLblPos val="ctr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900" b="1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Sheet1!$A$2:$A$7</c:f>
              <c:strCache>
                <c:ptCount val="6"/>
                <c:pt idx="0">
                  <c:v xml:space="preserve">Педагогические работники дошкольных образовательных учреждений</c:v>
                </c:pt>
                <c:pt idx="1">
                  <c:v xml:space="preserve">Педагогические работники образовательных учреждений общего образования</c:v>
                </c:pt>
                <c:pt idx="2">
                  <c:v xml:space="preserve">Педагогические работники учреждений дополнительного образования детей в сфере образования</c:v>
                </c:pt>
                <c:pt idx="3">
                  <c:v xml:space="preserve">Педагогические работники учреждений дополнительного образования детей в сфере спорта</c:v>
                </c:pt>
                <c:pt idx="4">
                  <c:v xml:space="preserve">Педагогические работники учреждений дополнительного образования детей в сфере культуры</c:v>
                </c:pt>
                <c:pt idx="5">
                  <c:v xml:space="preserve">Работники учреждений культуры</c:v>
                </c:pt>
              </c:strCache>
            </c:strRef>
          </c:cat>
          <c:val>
            <c:numRef>
              <c:f>Sheet1!$C$2:$C$7</c:f>
              <c:numCache>
                <c:formatCode>0.00;[Red]0.00</c:formatCode>
                <c:ptCount val="6"/>
                <c:pt idx="0">
                  <c:v>109000.4</c:v>
                </c:pt>
                <c:pt idx="1">
                  <c:v>134387.03</c:v>
                </c:pt>
                <c:pt idx="2">
                  <c:v>134540.4</c:v>
                </c:pt>
                <c:pt idx="3">
                  <c:v>139347.01</c:v>
                </c:pt>
                <c:pt idx="4">
                  <c:v>136351.92</c:v>
                </c:pt>
                <c:pt idx="5">
                  <c:v>130264.7</c:v>
                </c:pt>
              </c:numCache>
            </c:numRef>
          </c:val>
        </c:ser>
        <c:dLbls>
          <c:dLblPos val="ctr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spPr bwMode="auto">
            <a:prstGeom prst="rect">
              <a:avLst/>
            </a:prstGeom>
            <a:noFill/>
            <a:ln>
              <a:noFill/>
            </a:ln>
          </c:spPr>
          <c:txPr>
            <a:bodyPr/>
            <a:p>
              <a:pPr>
                <a:defRPr sz="900">
                  <a:solidFill>
                    <a:srgbClr val="000000"/>
                  </a:solidFill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182"/>
        <c:axId val="1866169481"/>
        <c:axId val="1866169482"/>
      </c:barChart>
      <c:catAx>
        <c:axId val="186616948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</c:spPr>
        <c:txPr>
          <a:bodyPr/>
          <a:p>
            <a:pPr>
              <a:defRPr sz="900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1866169482"/>
        <c:crosses val="autoZero"/>
        <c:auto val="1"/>
        <c:lblAlgn val="ctr"/>
        <c:lblOffset val="100"/>
        <c:tickMarkSkip val="1"/>
        <c:noMultiLvlLbl val="0"/>
      </c:catAx>
      <c:valAx>
        <c:axId val="1866169482"/>
        <c:scaling>
          <c:orientation val="minMax"/>
        </c:scaling>
        <c:delete val="1"/>
        <c:axPos val="b"/>
        <c:numFmt formatCode="0.00;[Red]0.00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</c:spPr>
        <c:txPr>
          <a:bodyPr/>
          <a:p>
            <a:pPr>
              <a:defRPr sz="900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1866169481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>
              <a:solidFill>
                <a:srgbClr val="000000"/>
              </a:solidFill>
              <a:latin typeface="Liberation Sans"/>
              <a:ea typeface="Liberation Sans"/>
              <a:cs typeface="Liberation Sans"/>
            </a:defRPr>
          </a:pPr>
          <a:endParaRPr lang="en-US"/>
        </a:p>
      </c:txPr>
    </c:legend>
    <c:plotVisOnly val="1"/>
    <c:dispBlanksAs val="gap"/>
    <c:showDLblsOverMax val="0"/>
  </c:chart>
  <c:spPr bwMode="auto">
    <a:xfrm rot="0" flipH="0" flipV="0">
      <a:off x="0" y="0"/>
      <a:ext cx="6226171" cy="4057140"/>
    </a:xfrm>
    <a:prstGeom prst="rect">
      <a:avLst/>
    </a:prstGeom>
    <a:solidFill>
      <a:schemeClr val="bg1"/>
    </a:solidFill>
    <a:ln w="9525" cap="flat" cmpd="sng" algn="ctr">
      <a:noFill/>
      <a:round/>
    </a:ln>
  </c:spPr>
  <c:txPr>
    <a:bodyPr/>
    <a:p>
      <a:pPr>
        <a:defRPr sz="1000">
          <a:solidFill>
            <a:srgbClr val="000000"/>
          </a:solidFill>
          <a:latin typeface="Liberation Sans"/>
          <a:ea typeface="Liberation Sans"/>
          <a:cs typeface="Liberation Sans"/>
        </a:defRPr>
      </a:pPr>
      <a:endParaRPr/>
    </a:p>
  </c:txPr>
  <c:externalData r:id="rId3">
    <c:autoUpdate val="0"/>
  </c:externalData>
  <c:printSettings>
    <c:headerFooter/>
    <c:pageMargins l="0.69999999999999996" r="0.69999999999999996" t="0.75" b="0.75" header="0.29999999999999999" footer="0.29999999999999999"/>
    <c:pageSetup/>
  </c:printSettings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en-US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p>
            <a:pPr algn="ctr">
              <a:defRPr sz="1200" b="1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rgbClr val="000000"/>
                </a:solidFill>
                <a:latin typeface="Liberation Sans"/>
                <a:cs typeface="Liberation Sans"/>
              </a:rPr>
              <a:t>Количество закупок по способам определения поставщиков (подрядчиков, исполнителей</a:t>
            </a:r>
            <a:r>
              <a:rPr lang="ru-RU" sz="1200" b="1">
                <a:solidFill>
                  <a:srgbClr val="000000"/>
                </a:solidFill>
                <a:latin typeface="Liberation Sans"/>
                <a:cs typeface="Liberation Sans"/>
              </a:rPr>
              <a:t>) </a:t>
            </a:r>
            <a:r>
              <a:rPr lang="ru-RU" sz="1200" b="1">
                <a:solidFill>
                  <a:srgbClr val="000000"/>
                </a:solidFill>
                <a:latin typeface="Liberation Sans"/>
                <a:cs typeface="Liberation Sans"/>
              </a:rPr>
              <a:t>(по количеству извещений), ед.</a:t>
            </a:r>
            <a:endParaRPr sz="1200" b="1">
              <a:solidFill>
                <a:srgbClr val="000000"/>
              </a:solidFill>
              <a:latin typeface="Liberation Sans"/>
              <a:cs typeface="Liberation Sans"/>
            </a:endParaRPr>
          </a:p>
        </c:rich>
      </c:tx>
      <c:layout>
        <c:manualLayout>
          <c:x val="-0.019300000000000001"/>
          <c:y val="-0.082339999999999997"/>
        </c:manualLayout>
      </c:layout>
      <c:overlay val="0"/>
      <c:spPr bwMode="auto">
        <a:prstGeom prst="rect">
          <a:avLst/>
        </a:prstGeom>
        <a:noFill/>
        <a:ln>
          <a:noFill/>
        </a:ln>
      </c:spPr>
      <c:txPr>
        <a:bodyPr/>
        <a:p>
          <a:pPr>
            <a:defRPr sz="1200" b="1" spc="0">
              <a:solidFill>
                <a:srgbClr val="000000"/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054859999999999999"/>
          <c:y val="0.36008000000000001"/>
          <c:w val="0.65405000000000002"/>
          <c:h val="0.485949999999999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Конкурс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50196"/>
              </a:schemeClr>
            </a:solidFill>
            <a:ln>
              <a:noFill/>
              <a:round/>
            </a:ln>
          </c:spPr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100" b="1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Sheet1!$B$1:$D$1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13</c:v>
                </c:pt>
                <c:pt idx="1">
                  <c:v>11</c:v>
                </c:pt>
                <c:pt idx="2">
                  <c:v>37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 xml:space="preserve">Электронный аукцион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</c:spPr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100" b="1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Sheet1!$B$1:$D$1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734</c:v>
                </c:pt>
                <c:pt idx="1">
                  <c:v>769</c:v>
                </c:pt>
                <c:pt idx="2">
                  <c:v>832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 xml:space="preserve">Запрос котировок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3">
                <a:lumMod val="74901"/>
              </a:schemeClr>
            </a:solidFill>
            <a:ln>
              <a:noFill/>
            </a:ln>
          </c:spPr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100" b="1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Sheet1!$B$1:$D$1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24</c:v>
                </c:pt>
                <c:pt idx="1">
                  <c:v>51</c:v>
                </c:pt>
                <c:pt idx="2">
                  <c:v>94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</c:spPr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100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Sheet1!$B$1:$D$1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</c:numCache>
            </c:numRef>
          </c:val>
        </c:ser>
        <c:dLbls>
          <c:dLblPos val="outEnd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spPr bwMode="auto">
            <a:prstGeom prst="rect">
              <a:avLst/>
            </a:prstGeom>
            <a:noFill/>
            <a:ln>
              <a:noFill/>
            </a:ln>
          </c:spPr>
          <c:txPr>
            <a:bodyPr/>
            <a:p>
              <a:pPr>
                <a:defRPr sz="900">
                  <a:solidFill>
                    <a:schemeClr val="tx1">
                      <a:lumMod val="75000"/>
                      <a:lumOff val="25000"/>
                    </a:schemeClr>
                  </a:solidFill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219"/>
        <c:overlap val="-21"/>
        <c:axId val="1998337687"/>
        <c:axId val="1998337688"/>
      </c:barChart>
      <c:catAx>
        <c:axId val="19983376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</c:spPr>
        <c:txPr>
          <a:bodyPr/>
          <a:p>
            <a:pPr>
              <a:defRPr sz="1100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1998337688"/>
        <c:crosses val="autoZero"/>
        <c:auto val="1"/>
        <c:lblAlgn val="ctr"/>
        <c:lblOffset val="100"/>
        <c:tickMarkSkip val="1"/>
        <c:noMultiLvlLbl val="0"/>
      </c:catAx>
      <c:valAx>
        <c:axId val="1998337688"/>
        <c:scaling>
          <c:orientation val="minMax"/>
          <c:max val="700"/>
        </c:scaling>
        <c:delete val="1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</c:spPr>
        <c:txPr>
          <a:bodyPr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1998337687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00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00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100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endParaRPr lang="en-US"/>
          </a:p>
        </c:txPr>
      </c:legendEntry>
      <c:legendEntry>
        <c:idx val="3"/>
        <c:delete val="1"/>
        <c:txPr>
          <a:bodyPr rot="0" spcFirstLastPara="1" vertOverflow="ellipsis" vert="horz" wrap="square" anchor="ctr" anchorCtr="1"/>
          <a:lstStyle/>
          <a:p>
            <a:pPr>
              <a:defRPr sz="1100">
                <a:solidFill>
                  <a:srgbClr val="FF0000"/>
                </a:solidFill>
                <a:latin typeface="Liberation Sans"/>
                <a:ea typeface="Liberation Sans"/>
                <a:cs typeface="Liberation Sans"/>
              </a:defRPr>
            </a:pPr>
            <a:endParaRPr lang="en-US"/>
          </a:p>
        </c:txPr>
      </c:legendEntry>
      <c:layout>
        <c:manualLayout>
          <c:xMode val="edge"/>
          <c:yMode val="edge"/>
          <c:x val="0.6663"/>
          <c:y val="0.28344999999999998"/>
          <c:w val="0.29957"/>
          <c:h val="0.55586999999999998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>
              <a:solidFill>
                <a:srgbClr val="000000"/>
              </a:solidFill>
              <a:latin typeface="Liberation Sans"/>
              <a:ea typeface="Liberation Sans"/>
              <a:cs typeface="Liberation Sans"/>
            </a:defRPr>
          </a:pPr>
          <a:endParaRPr lang="en-US"/>
        </a:p>
      </c:txPr>
    </c:legend>
    <c:plotVisOnly val="1"/>
    <c:dispBlanksAs val="gap"/>
    <c:showDLblsOverMax val="0"/>
  </c:chart>
  <c:spPr bwMode="auto">
    <a:xfrm rot="0" flipH="0" flipV="0">
      <a:off x="0" y="0"/>
      <a:ext cx="6202702" cy="2074915"/>
    </a:xfrm>
    <a:prstGeom prst="rect">
      <a:avLst/>
    </a:prstGeom>
    <a:solidFill>
      <a:schemeClr val="bg1"/>
    </a:solidFill>
    <a:ln w="9525" cap="flat" cmpd="sng" algn="ctr">
      <a:noFill/>
      <a:prstDash val="solid"/>
      <a:round/>
    </a:ln>
  </c:spPr>
  <c:txPr>
    <a:bodyPr/>
    <a:p>
      <a:pPr>
        <a:defRPr sz="1000">
          <a:solidFill>
            <a:schemeClr val="tx1"/>
          </a:solidFill>
          <a:latin typeface="Liberation Sans"/>
          <a:ea typeface="Liberation Sans"/>
          <a:cs typeface="Liberation Sans"/>
        </a:defRPr>
      </a:pPr>
      <a:endParaRPr/>
    </a:p>
  </c:txPr>
  <c:externalData r:id="rId3">
    <c:autoUpdate val="0"/>
  </c:externalData>
  <c:printSettings>
    <c:headerFooter/>
    <c:pageMargins l="0.69999999999999996" r="0.69999999999999996" t="0.75" b="0.75" header="0.29999999999999999" footer="0.29999999999999999"/>
    <c:pageSetup/>
  </c:printSettings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cs typeface="Liberation Sans"/>
              </a:rPr>
              <a:t>Объем отгруженной промышленной продукции</a:t>
            </a:r>
            <a:endParaRPr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1992"/>
          <c:y val="-0.00413"/>
        </c:manualLayout>
      </c:layout>
      <c:overlay val="0"/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title>
    <c:plotArea>
      <c:layout>
        <c:manualLayout>
          <c:layoutTarget val="inner"/>
          <c:xMode val="edge"/>
          <c:yMode val="edge"/>
          <c:x val="0.035639999999999998"/>
          <c:y val="0.18878"/>
          <c:w val="0.86356999999999995"/>
          <c:h val="0.417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Объем отгруженной промышленной продукции, млн рублей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60000"/>
                <a:lumOff val="40000"/>
              </a:schemeClr>
            </a:solidFill>
          </c:spPr>
          <c:dLbls>
            <c:dLbl>
              <c:idx val="0"/>
              <c:dLblPos val="ctr"/>
              <c:layout>
                <c:manualLayout>
                  <c:x val="-0.0024499999999999999"/>
                  <c:y val="0.073260000000000006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dLblPos val="ctr"/>
              <c:layout>
                <c:manualLayout>
                  <c:x val="0"/>
                  <c:y val="0.0841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dLblPos val="ctr"/>
              <c:layout>
                <c:manualLayout>
                  <c:x val="0.0049100000000000003"/>
                  <c:y val="0.073639999999999997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3"/>
              <c:dLblPos val="ctr"/>
              <c:layout>
                <c:manualLayout>
                  <c:x val="0"/>
                  <c:y val="0.01503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dLblPos val="ctr"/>
              <c:layout>
                <c:manualLayout>
                  <c:x val="-0.0023500000000000001"/>
                  <c:y val="0.036839999999999998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</c:dLbl>
            <c:dLblPos val="ctr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1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57088.8</c:v>
                </c:pt>
                <c:pt idx="1">
                  <c:v>66609.1</c:v>
                </c:pt>
                <c:pt idx="2">
                  <c:v>67922.9</c:v>
                </c:pt>
              </c:numCache>
            </c:numRef>
          </c:val>
        </c:ser>
        <c:dLbls>
          <c:dLblPos val="ctr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150"/>
        <c:axId val="2140841500"/>
        <c:axId val="2140841501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 xml:space="preserve">Темп роста к прошлому году,  %</c:v>
                </c:pt>
              </c:strCache>
            </c:strRef>
          </c:tx>
          <c:spPr bwMode="auto">
            <a:prstGeom prst="rect">
              <a:avLst/>
            </a:prstGeom>
            <a:ln>
              <a:solidFill>
                <a:schemeClr val="accent1"/>
              </a:solidFill>
            </a:ln>
          </c:spPr>
          <c:marker>
            <c:symbol val="circle"/>
            <c:size val="7"/>
            <c:spPr bwMode="auto">
              <a:prstGeom prst="rect">
                <a:avLst/>
              </a:prstGeom>
              <a:solidFill>
                <a:schemeClr val="tx2">
                  <a:lumMod val="75000"/>
                </a:schemeClr>
              </a:solidFill>
              <a:ln>
                <a:noFill/>
                <a:round/>
              </a:ln>
            </c:spPr>
          </c:marker>
          <c:dLbls>
            <c:dLbl>
              <c:idx val="2"/>
              <c:dLblPos val="ctr"/>
              <c:layout>
                <c:manualLayout>
                  <c:x val="0"/>
                  <c:y val="-0.05127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dLblPos val="ctr"/>
              <c:layout>
                <c:manualLayout>
                  <c:x val="0.0036800000000000001"/>
                  <c:y val="-0.05127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0"/>
              <c:dLblPos val="ctr"/>
              <c:layout>
                <c:manualLayout>
                  <c:x val="0.0018400000000000001"/>
                  <c:y val="-0.036630000000000003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Pos val="ctr"/>
            <c:delete val="0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1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121.91584234534366</c:v>
                </c:pt>
                <c:pt idx="1">
                  <c:v>116.7</c:v>
                </c:pt>
                <c:pt idx="2">
                  <c:v>102</c:v>
                </c:pt>
              </c:numCache>
            </c:numRef>
          </c:val>
          <c:smooth val="0"/>
        </c:ser>
        <c:dLbls>
          <c:dLblPos val="ctr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marker val="1"/>
        <c:smooth val="0"/>
        <c:axId val="2140841503"/>
        <c:axId val="2140841502"/>
      </c:lineChart>
      <c:catAx>
        <c:axId val="21408415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2140841501"/>
        <c:crosses val="autoZero"/>
        <c:auto val="1"/>
        <c:lblAlgn val="ctr"/>
        <c:lblOffset val="100"/>
        <c:tickMarkSkip val="1"/>
        <c:noMultiLvlLbl val="0"/>
      </c:catAx>
      <c:valAx>
        <c:axId val="2140841501"/>
        <c:scaling>
          <c:orientation val="minMax"/>
          <c:min val="0"/>
        </c:scaling>
        <c:delete val="0"/>
        <c:axPos val="l"/>
        <c:numFmt formatCode="#,##0.0" sourceLinked="1"/>
        <c:majorTickMark val="out"/>
        <c:minorTickMark val="none"/>
        <c:tickLblPos val="none"/>
        <c:crossAx val="2140841500"/>
        <c:crosses val="autoZero"/>
        <c:crossBetween val="between"/>
      </c:valAx>
      <c:valAx>
        <c:axId val="2140841502"/>
        <c:scaling>
          <c:orientation val="minMax"/>
          <c:max val="150"/>
          <c:min val="-1000"/>
        </c:scaling>
        <c:delete val="0"/>
        <c:axPos val="r"/>
        <c:numFmt formatCode="0.0" sourceLinked="1"/>
        <c:majorTickMark val="out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</c:spPr>
        <c:txPr>
          <a:bodyPr/>
          <a:lstStyle/>
          <a:p>
            <a:pPr>
              <a:defRPr>
                <a:solidFill>
                  <a:schemeClr val="bg1"/>
                </a:solidFill>
              </a:defRPr>
            </a:pPr>
            <a:endParaRPr lang="ru-RU"/>
          </a:p>
        </c:txPr>
        <c:crossAx val="2140841503"/>
        <c:crosses val="max"/>
        <c:crossBetween val="between"/>
        <c:majorUnit val="100"/>
        <c:minorUnit val="100"/>
      </c:valAx>
      <c:catAx>
        <c:axId val="2140841503"/>
        <c:scaling>
          <c:orientation val="minMax"/>
        </c:scaling>
        <c:delete val="0"/>
        <c:axPos val="t"/>
        <c:numFmt formatCode="General" sourceLinked="1"/>
        <c:majorTickMark val="none"/>
        <c:minorTickMark val="none"/>
        <c:tickLblPos val="none"/>
        <c:spPr bwMode="auto">
          <a:prstGeom prst="rect">
            <a:avLst/>
          </a:prstGeom>
          <a:ln>
            <a:noFill/>
          </a:ln>
        </c:spPr>
        <c:crossAx val="2140841502"/>
        <c:crosses val="max"/>
        <c:auto val="1"/>
        <c:lblAlgn val="ctr"/>
        <c:lblOffset val="100"/>
        <c:tickMarkSkip val="1"/>
        <c:noMultiLvlLbl val="0"/>
      </c:catAx>
      <c:spPr bwMode="auto">
        <a:prstGeom prst="rect">
          <a:avLst/>
        </a:prstGeom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"/>
          <c:y val="0.82250999999999996"/>
          <c:w val="0.94010000000000005"/>
          <c:h val="0.12232"/>
        </c:manualLayout>
      </c:layout>
      <c:overlay val="0"/>
      <c:txPr>
        <a:bodyPr/>
        <a:lstStyle/>
        <a:p>
          <a:pPr>
            <a:defRPr sz="1100">
              <a:latin typeface="Liberation Sans"/>
              <a:ea typeface="Liberation Sans"/>
              <a:cs typeface="Liberation Sans"/>
            </a:defRPr>
          </a:pPr>
          <a:endParaRPr lang="ru-RU"/>
        </a:p>
      </c:txPr>
    </c:legend>
    <c:plotVisOnly val="1"/>
    <c:dispBlanksAs val="gap"/>
    <c:showDLblsOverMax val="0"/>
  </c:chart>
  <c:spPr bwMode="auto">
    <a:xfrm>
      <a:off x="0" y="0"/>
      <a:ext cx="5077800" cy="2305216"/>
    </a:xfrm>
    <a:prstGeom prst="rect">
      <a:avLst/>
    </a:prstGeom>
    <a:ln>
      <a:noFill/>
    </a:ln>
  </c:spPr>
  <c:txPr>
    <a:bodyPr/>
    <a:lstStyle/>
    <a:p>
      <a:pPr>
        <a:defRPr>
          <a:latin typeface="PT Astra Serif"/>
          <a:ea typeface="PT Astra Serif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en-US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rgbClr val="000000"/>
                </a:solidFill>
                <a:latin typeface="Liberation Sans"/>
                <a:cs typeface="Liberation Sans"/>
              </a:rPr>
              <a:t>Стоимость заключенных контрактов с субъектами малого предпринимательства </a:t>
            </a:r>
            <a:br>
              <a:rPr lang="ru-RU" sz="1200" b="1">
                <a:solidFill>
                  <a:srgbClr val="000000"/>
                </a:solidFill>
                <a:latin typeface="Liberation Sans"/>
                <a:cs typeface="Liberation Sans"/>
              </a:rPr>
            </a:br>
            <a:r>
              <a:rPr lang="ru-RU" sz="1200" b="1">
                <a:solidFill>
                  <a:srgbClr val="000000"/>
                </a:solidFill>
                <a:latin typeface="Liberation Sans"/>
                <a:cs typeface="Liberation Sans"/>
              </a:rPr>
              <a:t>(с учетом привлечения субподрядчиков), млн руб.</a:t>
            </a:r>
            <a:endParaRPr sz="1200" b="1">
              <a:solidFill>
                <a:srgbClr val="000000"/>
              </a:solidFill>
              <a:latin typeface="Liberation Sans"/>
              <a:cs typeface="Liberation Sans"/>
            </a:endParaRPr>
          </a:p>
        </c:rich>
      </c:tx>
      <c:layout/>
      <c:overlay val="0"/>
      <c:spPr bwMode="auto">
        <a:prstGeom prst="rect">
          <a:avLst/>
        </a:prstGeom>
        <a:noFill/>
        <a:ln>
          <a:noFill/>
        </a:ln>
      </c:spPr>
      <c:txPr>
        <a:bodyPr/>
        <a:p>
          <a:pPr>
            <a:defRPr sz="1400" b="0" spc="0">
              <a:solidFill>
                <a:schemeClr val="tx1">
                  <a:lumMod val="65000"/>
                  <a:lumOff val="35000"/>
                </a:schemeClr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view3D>
      <c:rotX val="30"/>
      <c:rotY val="0"/>
      <c:depthPercent val="100"/>
      <c:rAngAx val="1"/>
    </c:view3D>
    <c:floor>
      <c:thickness val="0"/>
      <c:spPr bwMode="auto">
        <a:prstGeom prst="rect">
          <a:avLst/>
        </a:prstGeom>
        <a:noFill/>
        <a:ln>
          <a:noFill/>
          <a:bevel/>
        </a:ln>
      </c:spPr>
    </c:floor>
    <c:sideWall>
      <c:thickness val="0"/>
      <c:spPr bwMode="auto">
        <a:prstGeom prst="rect">
          <a:avLst/>
        </a:prstGeom>
        <a:noFill/>
        <a:ln>
          <a:noFill/>
          <a:bevel/>
        </a:ln>
      </c:spPr>
    </c:sideWall>
    <c:backWall>
      <c:thickness val="0"/>
      <c:spPr bwMode="auto">
        <a:prstGeom prst="rect">
          <a:avLst/>
        </a:prstGeom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0.25018000000000001"/>
          <c:y val="0.29818"/>
          <c:w val="0.27528999999999998"/>
          <c:h val="0.58130999999999999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Gold</c:v>
                </c:pt>
              </c:strCache>
            </c:strRef>
          </c:tx>
          <c:dPt>
            <c:idx val="0"/>
            <c:spPr bwMode="auto">
              <a:prstGeom prst="rect">
                <a:avLst/>
              </a:prstGeom>
              <a:solidFill>
                <a:schemeClr val="tx2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</c:spPr>
          </c:dPt>
          <c:dPt>
            <c:idx val="1"/>
            <c:spPr bwMode="auto">
              <a:prstGeom prst="rect">
                <a:avLst/>
              </a:prstGeom>
              <a:solidFill>
                <a:schemeClr val="accent2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</c:spPr>
          </c:dPt>
          <c:dPt>
            <c:idx val="2"/>
            <c:spPr bwMode="auto">
              <a:prstGeom prst="rect">
                <a:avLst/>
              </a:prstGeom>
              <a:solidFill>
                <a:srgbClr val="0070C0"/>
              </a:solidFill>
              <a:ln w="19050">
                <a:solidFill>
                  <a:schemeClr val="lt1"/>
                </a:solidFill>
              </a:ln>
            </c:spPr>
          </c:dPt>
          <c:dLbls>
            <c:dLbl>
              <c:idx val="0"/>
              <c:dLblPos val="ctr"/>
              <c:layout>
                <c:manualLayout>
                  <c:x val="0.025389999999999999"/>
                  <c:y val="0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000" b="0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dLblPos val="ctr"/>
              <c:layout>
                <c:manualLayout>
                  <c:x val="0.021760000000000002"/>
                  <c:y val="-0.007749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000" b="0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"/>
              <c:dLblPos val="ctr"/>
              <c:layout>
                <c:manualLayout>
                  <c:x val="-0.00181"/>
                  <c:y val="-0.02715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000" b="0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Pos val="ctr"/>
            <c:separator xml:space="preserve"> </c:separator>
            <c:showBubbleSize val="0"/>
            <c:showCatName val="0"/>
            <c:showLeaderLines val="1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000" b="0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Sheet1!$B$2:$B$4</c:f>
              <c:numCache>
                <c:formatCode>0.0</c:formatCode>
                <c:ptCount val="3"/>
                <c:pt idx="0">
                  <c:v>1279</c:v>
                </c:pt>
                <c:pt idx="1">
                  <c:v>1471.5</c:v>
                </c:pt>
                <c:pt idx="2">
                  <c:v>3169.4</c:v>
                </c:pt>
              </c:numCache>
            </c:numRef>
          </c:val>
        </c:ser>
        <c:dLbls>
          <c:dLblPos val="ctr"/>
          <c:separator xml:space="preserve"> </c:separator>
          <c:showBubbleSize val="0"/>
          <c:showCatName val="0"/>
          <c:showLeaderLines val="1"/>
          <c:showLegendKey val="0"/>
          <c:showPercent val="0"/>
          <c:showSerName val="0"/>
          <c:showVal val="1"/>
          <c:spPr bwMode="auto">
            <a:prstGeom prst="rect">
              <a:avLst/>
            </a:prstGeom>
            <a:noFill/>
            <a:ln>
              <a:noFill/>
            </a:ln>
          </c:spPr>
          <c:txPr>
            <a:bodyPr/>
            <a:p>
              <a:pPr>
                <a:defRPr sz="90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/>
            </a:p>
          </c:txPr>
        </c:dLbls>
      </c:pie3DChart>
      <c:spPr bwMode="auto">
        <a:prstGeom prst="rect">
          <a:avLst/>
        </a:prstGeom>
        <a:noFill/>
        <a:ln>
          <a:noFill/>
        </a:ln>
      </c:spPr>
    </c:plotArea>
    <c:legend>
      <c:legendPos val="r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endParaRPr lang="en-US"/>
          </a:p>
        </c:txPr>
      </c:legendEntry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endParaRPr lang="en-US"/>
          </a:p>
        </c:txPr>
      </c:legendEntry>
      <c:layout>
        <c:manualLayout>
          <c:xMode val="edge"/>
          <c:yMode val="edge"/>
          <c:x val="0.62743000000000004"/>
          <c:y val="0.33600000000000002"/>
          <c:w val="0.21947"/>
          <c:h val="0.5827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>
              <a:solidFill>
                <a:schemeClr val="tx1">
                  <a:lumMod val="65000"/>
                  <a:lumOff val="35000"/>
                </a:schemeClr>
              </a:solidFill>
              <a:latin typeface="Liberation Sans"/>
              <a:ea typeface="Liberation Sans"/>
              <a:cs typeface="Liberation Sans"/>
            </a:defRPr>
          </a:pPr>
          <a:endParaRPr lang="en-US"/>
        </a:p>
      </c:txPr>
    </c:legend>
    <c:plotVisOnly val="1"/>
    <c:dispBlanksAs val="gap"/>
    <c:showDLblsOverMax val="0"/>
  </c:chart>
  <c:spPr bwMode="auto">
    <a:xfrm rot="0" flipH="0" flipV="0">
      <a:off x="0" y="0"/>
      <a:ext cx="5251545" cy="1918051"/>
    </a:xfrm>
    <a:prstGeom prst="rect">
      <a:avLst/>
    </a:prstGeom>
    <a:solidFill>
      <a:schemeClr val="bg1"/>
    </a:solidFill>
    <a:ln w="9525" cap="flat" cmpd="sng" algn="ctr">
      <a:noFill/>
      <a:prstDash val="solid"/>
      <a:round/>
    </a:ln>
  </c:spPr>
  <c:txPr>
    <a:bodyPr/>
    <a:p>
      <a:pPr>
        <a:defRPr sz="900">
          <a:solidFill>
            <a:schemeClr val="tx1"/>
          </a:solidFill>
          <a:latin typeface="+mn-lt"/>
          <a:ea typeface="+mn-ea"/>
          <a:cs typeface="+mn-cs"/>
        </a:defRPr>
      </a:pPr>
      <a:endParaRPr/>
    </a:p>
  </c:txPr>
  <c:externalData r:id="rId3">
    <c:autoUpdate val="0"/>
  </c:externalData>
  <c:printSettings>
    <c:headerFooter/>
    <c:pageMargins l="0.69999999999999996" r="0.69999999999999996" t="0.75" b="0.75" header="0.29999999999999999" footer="0.29999999999999999"/>
    <c:pageSetup/>
  </c:printSettings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rgbClr val="000000"/>
                </a:solidFill>
                <a:latin typeface="Liberation Sans"/>
                <a:ea typeface="Liberation Serif"/>
                <a:cs typeface="Liberation Sans"/>
              </a:rPr>
              <a:t>Финансовая поддержка </a:t>
            </a:r>
            <a:endParaRPr sz="1200" b="1">
              <a:solidFill>
                <a:srgbClr val="000000"/>
              </a:solidFill>
              <a:latin typeface="Liberation Sans"/>
              <a:cs typeface="Liberation Sans"/>
            </a:endParaRPr>
          </a:p>
        </c:rich>
      </c:tx>
      <c:layout>
        <c:manualLayout>
          <c:x val="-0.021239999999999998"/>
          <c:y val="-0.0093200000000000002"/>
        </c:manualLayout>
      </c:layout>
      <c:overlay val="0"/>
      <c:spPr bwMode="auto">
        <a:prstGeom prst="rect">
          <a:avLst/>
        </a:prstGeom>
        <a:noFill/>
        <a:ln>
          <a:noFill/>
          <a:miter/>
        </a:ln>
      </c:spPr>
      <c:txPr>
        <a:bodyPr/>
        <a:p>
          <a:pPr>
            <a:defRPr sz="1400"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17102999999999999"/>
          <c:y val="0.18484999999999999"/>
          <c:w val="0.77071000000000001"/>
          <c:h val="0.593019999999999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 xml:space="preserve">Сумма оказанной поддержки, млн руб.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74901"/>
              </a:schemeClr>
            </a:solidFill>
            <a:ln>
              <a:noFill/>
            </a:ln>
          </c:spPr>
          <c:invertIfNegative val="0"/>
          <c:dLbls>
            <c:dLbl>
              <c:idx val="0"/>
              <c:dLblPos val="inEnd"/>
              <c:layout/>
              <c:showBubbleSize val="0"/>
              <c:showCatName val="0"/>
              <c:showLegendKey val="0"/>
              <c:showPercent val="0"/>
              <c:showSerName val="0"/>
              <c:showVal val="1"/>
              <c:spPr bwMode="auto"/>
              <c:txPr>
                <a:bodyPr/>
                <a:lstStyle/>
                <a:p>
                  <a:pPr>
                    <a:defRPr sz="1200" b="0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dLblPos val="inEnd"/>
              <c:layout/>
              <c:showBubbleSize val="0"/>
              <c:showCatName val="0"/>
              <c:showLegendKey val="0"/>
              <c:showPercent val="0"/>
              <c:showSerName val="0"/>
              <c:showVal val="1"/>
              <c:spPr bwMode="auto"/>
              <c:txPr>
                <a:bodyPr/>
                <a:lstStyle/>
                <a:p>
                  <a:pPr>
                    <a:defRPr sz="1200" b="0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Pos val="in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2023 год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 formatCode="0.0">
                  <c:v>30.75</c:v>
                </c:pt>
                <c:pt idx="1" formatCode="General">
                  <c:v>19.9</c:v>
                </c:pt>
                <c:pt idx="2" formatCode="General">
                  <c:v>10.2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 xml:space="preserve">Получатели, ед.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tx2">
                <a:lumMod val="40000"/>
                <a:lumOff val="60000"/>
              </a:schemeClr>
            </a:solidFill>
            <a:ln>
              <a:noFill/>
              <a:bevel/>
            </a:ln>
          </c:spPr>
          <c:invertIfNegative val="0"/>
          <c:dLbls>
            <c:dLblPos val="in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2023 год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38</c:v>
                </c:pt>
                <c:pt idx="1">
                  <c:v>45</c:v>
                </c:pt>
                <c:pt idx="2">
                  <c:v>31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  <c:txPr>
            <a:bodyPr/>
            <a:p>
              <a:pPr>
                <a:defRPr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100"/>
        <c:axId val="2140842092"/>
        <c:axId val="2140842093"/>
      </c:barChart>
      <c:catAx>
        <c:axId val="21408420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</c:spPr>
        <c:txPr>
          <a:bodyPr/>
          <a:lstStyle/>
          <a:p>
            <a:pPr>
              <a:defRPr sz="1200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2140842093"/>
        <c:crosses val="autoZero"/>
        <c:auto val="1"/>
        <c:lblAlgn val="ctr"/>
        <c:lblOffset val="100"/>
        <c:noMultiLvlLbl val="0"/>
      </c:catAx>
      <c:valAx>
        <c:axId val="2140842093"/>
        <c:scaling>
          <c:orientation val="minMax"/>
          <c:max val="50"/>
          <c:min val="0"/>
        </c:scaling>
        <c:delete val="1"/>
        <c:axPos val="b"/>
        <c:majorGridlines>
          <c:spPr bwMode="auto">
            <a:prstGeom prst="rect">
              <a:avLst/>
            </a:prstGeom>
            <a:ln w="9525" cap="flat" cmpd="sng" algn="ctr">
              <a:noFill/>
              <a:round/>
            </a:ln>
          </c:spPr>
        </c:majorGridlines>
        <c:numFmt formatCode="General" sourceLinked="1"/>
        <c:majorTickMark val="none"/>
        <c:minorTickMark val="none"/>
        <c:tickLblPos val="nextTo"/>
        <c:txPr>
          <a:bodyPr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092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.031730000000000001"/>
          <c:y val="0.82823000000000002"/>
          <c:w val="0.92930000000000001"/>
          <c:h val="0.088239999999999999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vert="horz"/>
        <a:lstStyle/>
        <a:p>
          <a:pPr>
            <a:defRPr sz="1200">
              <a:solidFill>
                <a:srgbClr val="000000"/>
              </a:solidFill>
              <a:latin typeface="Liberation Sans"/>
              <a:ea typeface="Liberation Sans"/>
              <a:cs typeface="Liberation Sans"/>
            </a:defRPr>
          </a:pPr>
          <a:endParaRPr lang="ru-RU"/>
        </a:p>
      </c:txPr>
    </c:legend>
    <c:plotVisOnly val="1"/>
    <c:dispBlanksAs val="gap"/>
    <c:showDLblsOverMax val="0"/>
  </c:chart>
  <c:spPr bwMode="auto">
    <a:xfrm>
      <a:off x="0" y="0"/>
      <a:ext cx="5381002" cy="3063928"/>
    </a:xfrm>
    <a:prstGeom prst="rect">
      <a:avLst/>
    </a:prstGeom>
    <a:noFill/>
    <a:ln w="9525" cap="flat" cmpd="sng" algn="ctr">
      <a:noFill/>
      <a:round/>
    </a:ln>
  </c:spPr>
  <c:txPr>
    <a:bodyPr/>
    <a:lstStyle/>
    <a:p>
      <a:pPr>
        <a:defRPr sz="1000">
          <a:solidFill>
            <a:srgbClr val="00AFDC"/>
          </a:solidFill>
          <a:latin typeface="Liberation Sans"/>
          <a:ea typeface="Liberation Sans"/>
          <a:cs typeface="Liberation Sans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Муниципальное имущество, </a:t>
            </a: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объектов/</a:t>
            </a: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земельных участков </a:t>
            </a:r>
            <a:endParaRPr sz="1200" b="1">
              <a:solidFill>
                <a:schemeClr val="tx1"/>
              </a:solidFill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3467000000000001"/>
          <c:y val="0.032370000000000003"/>
        </c:manualLayout>
      </c:layout>
      <c:overlay val="0"/>
      <c:spPr bwMode="auto">
        <a:prstGeom prst="rect">
          <a:avLst/>
        </a:prstGeom>
        <a:noFill/>
        <a:ln>
          <a:noFill/>
        </a:ln>
      </c:spPr>
      <c:txPr>
        <a:bodyPr/>
        <a:p>
          <a:pPr>
            <a:defRPr sz="1200" b="1" spc="0">
              <a:solidFill>
                <a:schemeClr val="tx1"/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title>
    <c:view3D>
      <c:rotX val="15"/>
      <c:rotY val="20"/>
      <c:rAngAx val="1"/>
    </c:view3D>
    <c:floor>
      <c:thickness val="0"/>
      <c:spPr bwMode="auto">
        <a:prstGeom prst="rect">
          <a:avLst/>
        </a:prstGeom>
        <a:noFill/>
        <a:ln>
          <a:noFill/>
        </a:ln>
      </c:spPr>
    </c:floor>
    <c:sideWall>
      <c:thickness val="0"/>
      <c:spPr bwMode="auto">
        <a:prstGeom prst="rect">
          <a:avLst/>
        </a:prstGeom>
        <a:noFill/>
        <a:ln>
          <a:noFill/>
        </a:ln>
      </c:spPr>
    </c:sideWall>
    <c:backWall>
      <c:thickness val="0"/>
      <c:spPr bwMode="auto">
        <a:prstGeom prst="rect">
          <a:avLst/>
        </a:prstGeom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0.11705"/>
          <c:y val="0.14282"/>
          <c:w val="0.76507999999999998"/>
          <c:h val="0.4722299999999999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 xml:space="preserve">ВСЕГО, из них находящиеся в: 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74901"/>
              </a:schemeClr>
            </a:solidFill>
            <a:ln>
              <a:noFill/>
            </a:ln>
          </c:spPr>
          <c:dLbls>
            <c:dLbl>
              <c:idx val="0"/>
              <c:dLblPos val="outEnd"/>
              <c:layout>
                <c:manualLayout>
                  <c:x val="-0.0031800000000000001"/>
                  <c:y val="-0.031739999999999997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>
                <c:rich>
                  <a:bodyPr/>
                  <a:p>
                    <a:pPr>
                      <a:defRPr sz="900" b="1">
                        <a:solidFill>
                          <a:schemeClr val="tx1"/>
                        </a:solidFill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 b="1"/>
                      <a:t>126 102</a:t>
                    </a:r>
                    <a:endParaRPr b="1"/>
                  </a:p>
                </c:rich>
              </c:tx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dLblPos val="outEnd"/>
              <c:layout>
                <c:manualLayout>
                  <c:x val="0.0047699999999999999"/>
                  <c:y val="-0.03570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>
                <c:rich>
                  <a:bodyPr/>
                  <a:p>
                    <a:pPr>
                      <a:defRPr sz="900" b="1">
                        <a:solidFill>
                          <a:schemeClr val="tx1"/>
                        </a:solidFill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 b="1"/>
                      <a:t>128 885</a:t>
                    </a:r>
                    <a:endParaRPr b="1"/>
                  </a:p>
                </c:rich>
              </c:tx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dLblPos val="outEnd"/>
              <c:layout>
                <c:manualLayout>
                  <c:x val="-0.0015900000000000001"/>
                  <c:y val="-0.02777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>
                <c:rich>
                  <a:bodyPr/>
                  <a:p>
                    <a:pPr>
                      <a:defRPr sz="900" b="1">
                        <a:solidFill>
                          <a:schemeClr val="tx1"/>
                        </a:solidFill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 b="1"/>
                      <a:t>127 123</a:t>
                    </a:r>
                    <a:endParaRPr b="1"/>
                  </a:p>
                </c:rich>
              </c:tx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lstStyle/>
              <a:p>
                <a:pPr>
                  <a:defRPr sz="900" b="1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на 31.12.2021</c:v>
                </c:pt>
                <c:pt idx="1">
                  <c:v xml:space="preserve">на 31.12.2022</c:v>
                </c:pt>
                <c:pt idx="2">
                  <c:v xml:space="preserve">на 31.12.2023</c:v>
                </c:pt>
              </c:strCache>
            </c:strRef>
          </c:cat>
          <c:val>
            <c:numRef>
              <c:f>Sheet1!$B$2:$B$4</c:f>
              <c:numCache>
                <c:formatCode>#,##0</c:formatCode>
                <c:ptCount val="3"/>
                <c:pt idx="0">
                  <c:v>126102</c:v>
                </c:pt>
                <c:pt idx="1">
                  <c:v>128885</c:v>
                </c:pt>
                <c:pt idx="2">
                  <c:v>127123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 xml:space="preserve">оперативном управлении, хозяйственном ведении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  <a:ln>
              <a:noFill/>
            </a:ln>
          </c:spPr>
          <c:dLbls>
            <c:dLbl>
              <c:idx val="0"/>
              <c:dLblPos val="outEnd"/>
              <c:layout>
                <c:manualLayout>
                  <c:x val="0.025479999999999999"/>
                  <c:y val="-0.0079299999999999995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>
                <c:rich>
                  <a:bodyPr/>
                  <a:p>
                    <a:pPr>
                      <a:defRPr sz="900" b="1">
                        <a:solidFill>
                          <a:schemeClr val="tx1"/>
                        </a:solidFill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 b="1">
                        <a:solidFill>
                          <a:schemeClr val="tx1"/>
                        </a:solidFill>
                      </a:rPr>
                      <a:t>112 988</a:t>
                    </a:r>
                    <a:endParaRPr b="1">
                      <a:solidFill>
                        <a:schemeClr val="tx1"/>
                      </a:solidFill>
                    </a:endParaRPr>
                  </a:p>
                </c:rich>
              </c:tx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dLblPos val="outEnd"/>
              <c:layout>
                <c:manualLayout>
                  <c:x val="0.031850000000000003"/>
                  <c:y val="-0.0079299999999999995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>
                <c:rich>
                  <a:bodyPr/>
                  <a:p>
                    <a:pPr>
                      <a:defRPr sz="900" b="1">
                        <a:solidFill>
                          <a:schemeClr val="tx1"/>
                        </a:solidFill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 b="1"/>
                      <a:t>115 575</a:t>
                    </a:r>
                    <a:endParaRPr b="1"/>
                  </a:p>
                </c:rich>
              </c:tx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dLblPos val="outEnd"/>
              <c:layout>
                <c:manualLayout>
                  <c:x val="0.030259999999999999"/>
                  <c:y val="-0.01586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>
                <c:rich>
                  <a:bodyPr/>
                  <a:p>
                    <a:pPr>
                      <a:defRPr sz="900" b="1">
                        <a:solidFill>
                          <a:schemeClr val="tx1"/>
                        </a:solidFill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 b="1"/>
                      <a:t>113 580</a:t>
                    </a:r>
                    <a:endParaRPr b="1"/>
                  </a:p>
                </c:rich>
              </c:tx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lstStyle/>
              <a:p>
                <a:pPr>
                  <a:defRPr sz="900" b="1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на 31.12.2021</c:v>
                </c:pt>
                <c:pt idx="1">
                  <c:v xml:space="preserve">на 31.12.2022</c:v>
                </c:pt>
                <c:pt idx="2">
                  <c:v xml:space="preserve">на 31.12.2023</c:v>
                </c:pt>
              </c:strCache>
            </c:strRef>
          </c:cat>
          <c:val>
            <c:numRef>
              <c:f>Sheet1!$C$2:$C$4</c:f>
              <c:numCache>
                <c:formatCode>#,##0</c:formatCode>
                <c:ptCount val="3"/>
                <c:pt idx="0">
                  <c:v>112988</c:v>
                </c:pt>
                <c:pt idx="1">
                  <c:v>115575</c:v>
                </c:pt>
                <c:pt idx="2">
                  <c:v>113580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 xml:space="preserve">муниципальной казне, в том числе в аренде, безвозмездном пользовании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</c:spPr>
          <c:dLbls>
            <c:dLbl>
              <c:idx val="0"/>
              <c:dLblPos val="outEnd"/>
              <c:layout>
                <c:manualLayout>
                  <c:x val="0.019109999999999999"/>
                  <c:y val="-0.031739999999999997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>
                <c:rich>
                  <a:bodyPr/>
                  <a:p>
                    <a:pPr>
                      <a:defRPr sz="900" b="1">
                        <a:solidFill>
                          <a:schemeClr val="tx1"/>
                        </a:solidFill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 b="1"/>
                      <a:t>13 114</a:t>
                    </a:r>
                    <a:endParaRPr b="1"/>
                  </a:p>
                </c:rich>
              </c:tx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dLblPos val="outEnd"/>
              <c:layout>
                <c:manualLayout>
                  <c:x val="0.025479999999999999"/>
                  <c:y val="-0.01984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>
                <c:rich>
                  <a:bodyPr/>
                  <a:p>
                    <a:pPr>
                      <a:defRPr sz="900" b="1">
                        <a:solidFill>
                          <a:schemeClr val="tx1"/>
                        </a:solidFill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 b="1"/>
                      <a:t>13 226</a:t>
                    </a:r>
                    <a:endParaRPr b="1"/>
                  </a:p>
                </c:rich>
              </c:tx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dLblPos val="outEnd"/>
              <c:layout>
                <c:manualLayout>
                  <c:x val="0.0207"/>
                  <c:y val="-0.02777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>
                <c:rich>
                  <a:bodyPr/>
                  <a:p>
                    <a:pPr>
                      <a:defRPr sz="900" b="1">
                        <a:solidFill>
                          <a:schemeClr val="tx1"/>
                        </a:solidFill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 b="1"/>
                      <a:t>13 315</a:t>
                    </a:r>
                    <a:endParaRPr b="1"/>
                  </a:p>
                </c:rich>
              </c:tx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lstStyle/>
              <a:p>
                <a:pPr>
                  <a:defRPr sz="900" b="1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на 31.12.2021</c:v>
                </c:pt>
                <c:pt idx="1">
                  <c:v xml:space="preserve">на 31.12.2022</c:v>
                </c:pt>
                <c:pt idx="2">
                  <c:v xml:space="preserve">на 31.12.2023</c:v>
                </c:pt>
              </c:strCache>
            </c:strRef>
          </c:cat>
          <c:val>
            <c:numRef>
              <c:f>Sheet1!$D$2:$D$4</c:f>
              <c:numCache>
                <c:formatCode>#,##0</c:formatCode>
                <c:ptCount val="3"/>
                <c:pt idx="0">
                  <c:v>13114</c:v>
                </c:pt>
                <c:pt idx="1">
                  <c:v>13226</c:v>
                </c:pt>
                <c:pt idx="2">
                  <c:v>13315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 xml:space="preserve">постоянном (бессрочном) пользовании (земельные участки)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5">
                <a:lumMod val="74901"/>
              </a:schemeClr>
            </a:solidFill>
            <a:ln>
              <a:noFill/>
            </a:ln>
          </c:spPr>
          <c:dLbls>
            <c:dLbl>
              <c:idx val="0"/>
              <c:dLblPos val="outEnd"/>
              <c:layout>
                <c:manualLayout>
                  <c:x val="0.0095499999999999995"/>
                  <c:y val="-0.0079299999999999995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9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dLblPos val="outEnd"/>
              <c:layout>
                <c:manualLayout>
                  <c:x val="0.0047699999999999999"/>
                  <c:y val="0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9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"/>
              <c:dLblPos val="outEnd"/>
              <c:layout>
                <c:manualLayout>
                  <c:x val="0.011140000000000001"/>
                  <c:y val="-0.0079299999999999995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9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900" b="1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на 31.12.2021</c:v>
                </c:pt>
                <c:pt idx="1">
                  <c:v xml:space="preserve">на 31.12.2022</c:v>
                </c:pt>
                <c:pt idx="2">
                  <c:v xml:space="preserve">на 31.12.2023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83</c:v>
                </c:pt>
                <c:pt idx="1">
                  <c:v>84</c:v>
                </c:pt>
                <c:pt idx="2">
                  <c:v>228</c:v>
                </c:pt>
              </c:numCache>
            </c:numRef>
          </c:val>
        </c:ser>
        <c:dLbls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spPr bwMode="auto">
            <a:prstGeom prst="rect">
              <a:avLst/>
            </a:prstGeom>
            <a:noFill/>
            <a:ln>
              <a:noFill/>
            </a:ln>
          </c:spPr>
          <c:txPr>
            <a:bodyPr/>
            <a:p>
              <a:pPr>
                <a:defRPr sz="900">
                  <a:solidFill>
                    <a:schemeClr val="tx1">
                      <a:lumMod val="75000"/>
                      <a:lumOff val="25000"/>
                    </a:schemeClr>
                  </a:solidFill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219"/>
        <c:axId val="2140842344"/>
        <c:axId val="2140842345"/>
      </c:bar3DChart>
      <c:catAx>
        <c:axId val="2140842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</c:spPr>
        <c:txPr>
          <a:bodyPr/>
          <a:lstStyle/>
          <a:p>
            <a:pPr>
              <a:defRPr sz="900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2140842345"/>
        <c:crosses val="autoZero"/>
        <c:auto val="1"/>
        <c:lblAlgn val="ctr"/>
        <c:lblOffset val="100"/>
        <c:tickMarkSkip val="1"/>
        <c:noMultiLvlLbl val="0"/>
      </c:catAx>
      <c:valAx>
        <c:axId val="214084234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spPr bwMode="auto">
          <a:prstGeom prst="rect">
            <a:avLst/>
          </a:prstGeom>
          <a:noFill/>
          <a:ln>
            <a:noFill/>
          </a:ln>
        </c:spPr>
        <c:txPr>
          <a:bodyPr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344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"/>
          <c:y val="0.72124999999999995"/>
          <c:w val="1"/>
          <c:h val="0.27131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>
              <a:solidFill>
                <a:schemeClr val="tx1"/>
              </a:solidFill>
              <a:latin typeface="Liberation Sans"/>
              <a:ea typeface="Liberation Sans"/>
              <a:cs typeface="Liberation Sans"/>
            </a:defRPr>
          </a:pPr>
          <a:endParaRPr lang="ru-RU"/>
        </a:p>
      </c:txPr>
    </c:legend>
    <c:plotVisOnly val="1"/>
    <c:dispBlanksAs val="gap"/>
    <c:showDLblsOverMax val="0"/>
  </c:chart>
  <c:spPr bwMode="auto">
    <a:xfrm rot="0" flipH="0" flipV="0">
      <a:off x="0" y="0"/>
      <a:ext cx="5980449" cy="2400216"/>
    </a:xfrm>
    <a:prstGeom prst="rect">
      <a:avLst/>
    </a:prstGeom>
    <a:solidFill>
      <a:schemeClr val="bg1"/>
    </a:solidFill>
    <a:ln w="9525" cap="flat" cmpd="sng" algn="ctr">
      <a:noFill/>
      <a:round/>
    </a:ln>
  </c:spPr>
  <c:txPr>
    <a:bodyPr/>
    <a:lstStyle/>
    <a:p>
      <a:pPr>
        <a:defRPr sz="1000">
          <a:solidFill>
            <a:schemeClr val="tx1"/>
          </a:solidFill>
          <a:latin typeface="Liberation Sans"/>
          <a:ea typeface="Liberation Sans"/>
          <a:cs typeface="Liberation Sans"/>
        </a:defRPr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en-US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p>
            <a:pPr>
              <a:defRPr lang="ru-RU" sz="1200" b="1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rgbClr val="000000"/>
                </a:solidFill>
                <a:latin typeface="Liberation Sans"/>
                <a:cs typeface="Liberation Sans"/>
              </a:rPr>
              <a:t>Принято в состав </a:t>
            </a:r>
            <a:endParaRPr lang="ru-RU" sz="1200" b="1">
              <a:solidFill>
                <a:srgbClr val="000000"/>
              </a:solidFill>
              <a:latin typeface="Liberation Sans"/>
              <a:cs typeface="Liberation Sans"/>
            </a:endParaRPr>
          </a:p>
          <a:p>
            <a:pPr>
              <a:defRPr lang="ru-RU" sz="1200" b="1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rgbClr val="000000"/>
                </a:solidFill>
                <a:latin typeface="Liberation Sans"/>
                <a:cs typeface="Liberation Sans"/>
              </a:rPr>
              <a:t>муниципальной собственности, ед.</a:t>
            </a:r>
            <a:endParaRPr lang="ru-RU" sz="1200" b="1">
              <a:solidFill>
                <a:srgbClr val="000000"/>
              </a:solidFill>
              <a:latin typeface="Liberation Sans"/>
              <a:cs typeface="Liberation Sans"/>
            </a:endParaRPr>
          </a:p>
        </c:rich>
      </c:tx>
      <c:layout>
        <c:manualLayout>
          <c:x val="-0.01788"/>
          <c:y val="-0.034340000000000002"/>
        </c:manualLayout>
      </c:layout>
      <c:overlay val="0"/>
      <c:spPr bwMode="auto">
        <a:prstGeom prst="rect">
          <a:avLst/>
        </a:prstGeom>
        <a:noFill/>
        <a:ln>
          <a:noFill/>
        </a:ln>
      </c:spPr>
      <c:txPr>
        <a:bodyPr/>
        <a:p>
          <a:pPr>
            <a:defRPr lang="ru-RU" sz="1200" b="1" spc="0">
              <a:solidFill>
                <a:srgbClr val="000000"/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011169999999999999"/>
          <c:y val="0.29808000000000001"/>
          <c:w val="0.94186000000000003"/>
          <c:h val="0.420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Gold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  <a:ln>
              <a:noFill/>
            </a:ln>
          </c:spPr>
          <c:invertIfNegative val="0"/>
          <c:dLbls>
            <c:dLbl>
              <c:idx val="0"/>
              <c:dLblPos val="outEnd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>
                <c:rich>
                  <a:bodyPr/>
                  <a:p>
                    <a:pPr>
                      <a:defRPr sz="900" b="1">
                        <a:solidFill>
                          <a:srgbClr val="000000"/>
                        </a:solidFill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 sz="1000"/>
                      <a:t>10 243</a:t>
                    </a:r>
                    <a:endParaRPr sz="1000"/>
                  </a:p>
                </c:rich>
              </c:tx>
              <c:txPr>
                <a:bodyPr/>
                <a:p>
                  <a:pPr>
                    <a:defRPr sz="10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dLblPos val="outEnd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>
                <c:rich>
                  <a:bodyPr/>
                  <a:p>
                    <a:pPr>
                      <a:defRPr sz="900" b="1">
                        <a:solidFill>
                          <a:srgbClr val="000000"/>
                        </a:solidFill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 sz="1000"/>
                      <a:t>12 393</a:t>
                    </a:r>
                    <a:endParaRPr sz="1000"/>
                  </a:p>
                </c:rich>
              </c:tx>
              <c:txPr>
                <a:bodyPr/>
                <a:p>
                  <a:pPr>
                    <a:defRPr sz="10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"/>
              <c:dLblPos val="outEnd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>
                <c:rich>
                  <a:bodyPr/>
                  <a:p>
                    <a:pPr>
                      <a:defRPr sz="900" b="1">
                        <a:solidFill>
                          <a:srgbClr val="000000"/>
                        </a:solidFill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 sz="1000"/>
                      <a:t>7 767</a:t>
                    </a:r>
                    <a:endParaRPr sz="1000"/>
                  </a:p>
                </c:rich>
              </c:tx>
              <c:txPr>
                <a:bodyPr/>
                <a:p>
                  <a:pPr>
                    <a:defRPr sz="10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000" b="1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 </c:v>
                </c:pt>
                <c:pt idx="1">
                  <c:v xml:space="preserve">2022 год 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Sheet1!$B$2:$B$4</c:f>
              <c:numCache>
                <c:formatCode>#,##0</c:formatCode>
                <c:ptCount val="3"/>
                <c:pt idx="0">
                  <c:v>10243</c:v>
                </c:pt>
                <c:pt idx="1">
                  <c:v>12393</c:v>
                </c:pt>
                <c:pt idx="2">
                  <c:v>7767</c:v>
                </c:pt>
              </c:numCache>
            </c:numRef>
          </c:val>
        </c:ser>
        <c:dLbls>
          <c:dLblPos val="outEnd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spPr bwMode="auto">
            <a:prstGeom prst="rect">
              <a:avLst/>
            </a:prstGeom>
            <a:noFill/>
            <a:ln>
              <a:noFill/>
            </a:ln>
          </c:spPr>
          <c:txPr>
            <a:bodyPr/>
            <a:p>
              <a:pPr>
                <a:defRPr sz="900">
                  <a:solidFill>
                    <a:srgbClr val="000000"/>
                  </a:solidFill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219"/>
        <c:overlap val="-24"/>
        <c:axId val="2140842422"/>
        <c:axId val="2140842423"/>
      </c:barChart>
      <c:catAx>
        <c:axId val="214084242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</c:spPr>
        <c:txPr>
          <a:bodyPr/>
          <a:p>
            <a:pPr>
              <a:defRPr sz="1200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423"/>
        <c:crosses val="autoZero"/>
        <c:auto val="1"/>
        <c:lblAlgn val="ctr"/>
        <c:lblOffset val="100"/>
        <c:tickMarkSkip val="1"/>
        <c:noMultiLvlLbl val="0"/>
      </c:catAx>
      <c:valAx>
        <c:axId val="2140842423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</c:spPr>
        <c:txPr>
          <a:bodyPr/>
          <a:p>
            <a:pPr>
              <a:defRPr sz="900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422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plotVisOnly val="1"/>
    <c:dispBlanksAs val="gap"/>
    <c:showDLblsOverMax val="0"/>
  </c:chart>
  <c:spPr bwMode="auto">
    <a:xfrm>
      <a:off x="0" y="0"/>
      <a:ext cx="4142018" cy="1764684"/>
    </a:xfrm>
    <a:prstGeom prst="rect">
      <a:avLst/>
    </a:prstGeom>
    <a:noFill/>
    <a:ln w="9525" cap="flat" cmpd="sng" algn="ctr">
      <a:noFill/>
      <a:round/>
    </a:ln>
  </c:spPr>
  <c:txPr>
    <a:bodyPr/>
    <a:p>
      <a:pPr>
        <a:defRPr sz="1000">
          <a:solidFill>
            <a:srgbClr val="000000"/>
          </a:solidFill>
          <a:latin typeface="Liberation Sans"/>
          <a:ea typeface="Liberation Sans"/>
          <a:cs typeface="Liberation Sans"/>
        </a:defRPr>
      </a:pPr>
      <a:endParaRPr/>
    </a:p>
  </c:txPr>
  <c:externalData r:id="rId3">
    <c:autoUpdate val="0"/>
  </c:externalData>
  <c:printSettings>
    <c:headerFooter/>
    <c:pageMargins l="0.69999999999999996" r="0.69999999999999996" t="0.75" b="0.75" header="0.29999999999999999" footer="0.29999999999999999"/>
    <c:pageSetup/>
  </c:printSettings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rgbClr val="000000"/>
                </a:solidFill>
                <a:latin typeface="Liberation Sans"/>
                <a:cs typeface="Liberation Sans"/>
              </a:rPr>
              <a:t>Доходы от управления </a:t>
            </a:r>
            <a:endParaRPr>
              <a:latin typeface="Liberation Sans"/>
              <a:cs typeface="Liberation Sans"/>
            </a:endParaRPr>
          </a:p>
          <a:p>
            <a:pPr>
              <a:defRPr sz="1200" b="1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rgbClr val="000000"/>
                </a:solidFill>
                <a:latin typeface="Liberation Sans"/>
                <a:cs typeface="Liberation Sans"/>
              </a:rPr>
              <a:t>муниципальной собственностью,* млн руб.</a:t>
            </a:r>
            <a:endParaRPr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6791"/>
          <c:y val="0.02852"/>
        </c:manualLayout>
      </c:layout>
      <c:overlay val="0"/>
      <c:spPr bwMode="auto">
        <a:prstGeom prst="rect">
          <a:avLst/>
        </a:prstGeom>
        <a:noFill/>
        <a:ln>
          <a:noFill/>
        </a:ln>
      </c:spPr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title>
    <c:plotArea>
      <c:layout>
        <c:manualLayout>
          <c:layoutTarget val="inner"/>
          <c:xMode val="edge"/>
          <c:yMode val="edge"/>
          <c:x val="0.060819999999999999"/>
          <c:y val="0.29680000000000001"/>
          <c:w val="0.28717999999999999"/>
          <c:h val="0.59084999999999999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</c:strCache>
            </c:strRef>
          </c:tx>
          <c:dPt>
            <c:idx val="0"/>
            <c:spPr bwMode="auto">
              <a:prstGeom prst="rect">
                <a:avLst/>
              </a:prstGeom>
              <a:solidFill>
                <a:schemeClr val="accent1"/>
              </a:solidFill>
              <a:ln w="19050">
                <a:solidFill>
                  <a:schemeClr val="lt1"/>
                </a:solidFill>
              </a:ln>
            </c:spPr>
          </c:dPt>
          <c:dPt>
            <c:idx val="1"/>
            <c:spPr bwMode="auto">
              <a:prstGeom prst="rect">
                <a:avLst/>
              </a:prstGeom>
              <a:solidFill>
                <a:schemeClr val="accent1">
                  <a:lumMod val="50196"/>
                </a:schemeClr>
              </a:solidFill>
              <a:ln w="19050">
                <a:solidFill>
                  <a:schemeClr val="lt1"/>
                </a:solidFill>
              </a:ln>
            </c:spPr>
          </c:dPt>
          <c:dPt>
            <c:idx val="2"/>
            <c:spPr bwMode="auto">
              <a:prstGeom prst="rect">
                <a:avLst/>
              </a:prstGeom>
              <a:solidFill>
                <a:schemeClr val="accent3"/>
              </a:solidFill>
              <a:ln w="19050">
                <a:solidFill>
                  <a:schemeClr val="lt1"/>
                </a:solidFill>
              </a:ln>
            </c:spPr>
          </c:dPt>
          <c:dLbls>
            <c:dLbl>
              <c:idx val="0"/>
              <c:dLblPos val="outEnd"/>
              <c:layout>
                <c:manualLayout>
                  <c:x val="-0.0038800000000000002"/>
                  <c:y val="-0.06001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dLblPos val="outEnd"/>
              <c:layout>
                <c:manualLayout>
                  <c:x val="-0.00777"/>
                  <c:y val="-0.1040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dLblPos val="outEnd"/>
              <c:layout>
                <c:manualLayout>
                  <c:x val="0.019439999999999999"/>
                  <c:y val="-0.008000000000000000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lstStyle/>
                <a:p>
                  <a:pPr>
                    <a:defRPr sz="9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Pos val="outEnd"/>
            <c:separator xml:space="preserve"> </c:separator>
            <c:showBubbleSize val="0"/>
            <c:showCatName val="0"/>
            <c:showLeaderLines val="1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lstStyle/>
              <a:p>
                <a:pPr>
                  <a:defRPr sz="900" b="1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Доходы от арендной платы и продажи земельных участков </c:v>
                </c:pt>
                <c:pt idx="1">
                  <c:v xml:space="preserve">Доходы от управления имуществом</c:v>
                </c:pt>
                <c:pt idx="2">
                  <c:v xml:space="preserve">Прочие доходы (денежные взыскания, компенсации и пр.)</c:v>
                </c:pt>
              </c:strCache>
            </c:strRef>
          </c:cat>
          <c:val>
            <c:numRef>
              <c:f>Sheet1!$B$2:$B$4</c:f>
              <c:numCache>
                <c:formatCode>0.0</c:formatCode>
                <c:ptCount val="3"/>
                <c:pt idx="0">
                  <c:v>534.07</c:v>
                </c:pt>
                <c:pt idx="1">
                  <c:v>297.88</c:v>
                </c:pt>
                <c:pt idx="2">
                  <c:v>55.29</c:v>
                </c:pt>
              </c:numCache>
            </c:numRef>
          </c:val>
        </c:ser>
        <c:dLbls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txPr>
            <a:bodyPr/>
            <a:p>
              <a:pPr>
                <a:defRPr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firstSliceAng val="0"/>
      </c:pieChart>
      <c:spPr bwMode="auto">
        <a:prstGeom prst="rect">
          <a:avLst/>
        </a:prstGeom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.46668999999999999"/>
          <c:y val="0.25796000000000002"/>
          <c:w val="0.45998"/>
          <c:h val="0.59945999999999999"/>
        </c:manualLayout>
      </c:layout>
      <c:overlay val="0"/>
      <c:spPr bwMode="auto">
        <a:prstGeom prst="rect">
          <a:avLst/>
        </a:prstGeom>
        <a:noFill/>
        <a:ln>
          <a:noFill/>
          <a:round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>
              <a:solidFill>
                <a:srgbClr val="000000"/>
              </a:solidFill>
              <a:latin typeface="Liberation Sans"/>
              <a:ea typeface="Liberation Sans"/>
              <a:cs typeface="Liberation Sans"/>
            </a:defRPr>
          </a:pPr>
          <a:endParaRPr lang="ru-RU"/>
        </a:p>
      </c:txPr>
    </c:legend>
    <c:plotVisOnly val="1"/>
    <c:dispBlanksAs val="zero"/>
    <c:showDLblsOverMax val="0"/>
  </c:chart>
  <c:spPr bwMode="auto">
    <a:xfrm rot="0" flipH="0" flipV="0">
      <a:off x="0" y="0"/>
      <a:ext cx="4898169" cy="2380704"/>
    </a:xfrm>
    <a:prstGeom prst="rect">
      <a:avLst/>
    </a:prstGeom>
    <a:solidFill>
      <a:schemeClr val="bg1"/>
    </a:solidFill>
    <a:ln w="9525" cap="flat" cmpd="sng" algn="ctr">
      <a:noFill/>
      <a:round/>
    </a:ln>
  </c:spPr>
  <c:txPr>
    <a:bodyPr/>
    <a:lstStyle/>
    <a:p>
      <a:pPr>
        <a:defRPr sz="1000">
          <a:solidFill>
            <a:srgbClr val="000000"/>
          </a:solidFill>
          <a:latin typeface="Liberation Sans"/>
          <a:ea typeface="Liberation Sans"/>
          <a:cs typeface="Liberation Sans"/>
        </a:defRPr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rgbClr val="000000"/>
                </a:solidFill>
                <a:latin typeface="Liberation Sans"/>
                <a:cs typeface="Liberation Sans"/>
              </a:rPr>
              <a:t>Доходы от управления </a:t>
            </a:r>
            <a:endParaRPr>
              <a:latin typeface="Liberation Sans"/>
              <a:cs typeface="Liberation Sans"/>
            </a:endParaRPr>
          </a:p>
          <a:p>
            <a:pPr>
              <a:defRPr sz="1200" b="1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rgbClr val="000000"/>
                </a:solidFill>
                <a:latin typeface="Liberation Sans"/>
                <a:cs typeface="Liberation Sans"/>
              </a:rPr>
              <a:t>муниципальной собственностью,* млн руб.</a:t>
            </a:r>
            <a:endParaRPr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633"/>
          <c:y val="0.023140000000000001"/>
        </c:manualLayout>
      </c:layout>
      <c:overlay val="0"/>
      <c:spPr bwMode="auto">
        <a:prstGeom prst="rect">
          <a:avLst/>
        </a:prstGeom>
        <a:noFill/>
        <a:ln>
          <a:noFill/>
        </a:ln>
      </c:spPr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title>
    <c:plotArea>
      <c:layout>
        <c:manualLayout>
          <c:layoutTarget val="inner"/>
          <c:xMode val="edge"/>
          <c:yMode val="edge"/>
          <c:x val="0.03669"/>
          <c:y val="0.24546999999999999"/>
          <c:w val="0.90939000000000003"/>
          <c:h val="0.479769999999999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  <a:ln>
              <a:noFill/>
            </a:ln>
          </c:spPr>
          <c:dLbls>
            <c:dLbl>
              <c:idx val="0"/>
              <c:dLblPos val="outEnd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>
                <c:rich>
                  <a:bodyPr/>
                  <a:p>
                    <a:pPr>
                      <a:defRPr sz="900" b="1">
                        <a:solidFill>
                          <a:schemeClr val="tx1"/>
                        </a:solidFill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>
                        <a:solidFill>
                          <a:schemeClr val="tx1"/>
                        </a:solidFill>
                      </a:rPr>
                      <a:t>738,3</a:t>
                    </a:r>
                    <a:endParaRPr>
                      <a:solidFill>
                        <a:schemeClr val="tx1"/>
                      </a:solidFill>
                    </a:endParaRPr>
                  </a:p>
                </c:rich>
              </c:tx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dLblPos val="outEnd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>
                <c:rich>
                  <a:bodyPr/>
                  <a:p>
                    <a:pPr>
                      <a:defRPr sz="900" b="1">
                        <a:solidFill>
                          <a:schemeClr val="tx1"/>
                        </a:solidFill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>
                        <a:solidFill>
                          <a:schemeClr val="tx1"/>
                        </a:solidFill>
                      </a:rPr>
                      <a:t>786,7</a:t>
                    </a:r>
                    <a:endParaRPr>
                      <a:solidFill>
                        <a:schemeClr val="tx1"/>
                      </a:solidFill>
                    </a:endParaRPr>
                  </a:p>
                </c:rich>
              </c:tx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dLblPos val="outEnd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>
                <c:rich>
                  <a:bodyPr/>
                  <a:p>
                    <a:pPr>
                      <a:defRPr sz="900" b="1">
                        <a:solidFill>
                          <a:schemeClr val="tx1"/>
                        </a:solidFill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>
                        <a:solidFill>
                          <a:schemeClr val="tx1"/>
                        </a:solidFill>
                      </a:rPr>
                      <a:t>887,3</a:t>
                    </a:r>
                    <a:endParaRPr>
                      <a:solidFill>
                        <a:schemeClr val="tx1"/>
                      </a:solidFill>
                    </a:endParaRPr>
                  </a:p>
                </c:rich>
              </c:tx>
              <c:txPr>
                <a:bodyPr/>
                <a:lstStyle/>
                <a:p>
                  <a:pPr>
                    <a:defRPr sz="9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lstStyle/>
              <a:p>
                <a:pPr>
                  <a:defRPr sz="900" b="1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 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 formatCode="0.0">
                  <c:v>738.3399999999999</c:v>
                </c:pt>
                <c:pt idx="1" formatCode="0.0">
                  <c:v>786.7</c:v>
                </c:pt>
                <c:pt idx="2" formatCode="General">
                  <c:v>887.3</c:v>
                </c:pt>
              </c:numCache>
            </c:numRef>
          </c:val>
        </c:ser>
        <c:dLbls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txPr>
            <a:bodyPr/>
            <a:p>
              <a:pPr>
                <a:defRPr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219"/>
        <c:overlap val="-18"/>
        <c:axId val="2140842318"/>
        <c:axId val="2140842319"/>
      </c:barChart>
      <c:catAx>
        <c:axId val="214084231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</c:spPr>
        <c:txPr>
          <a:bodyPr/>
          <a:lstStyle/>
          <a:p>
            <a:pPr>
              <a:defRPr sz="1000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2140842319"/>
        <c:crosses val="autoZero"/>
        <c:auto val="1"/>
        <c:lblAlgn val="ctr"/>
        <c:lblOffset val="100"/>
        <c:tickMarkSkip val="1"/>
        <c:noMultiLvlLbl val="0"/>
      </c:catAx>
      <c:valAx>
        <c:axId val="2140842319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one"/>
        <c:txPr>
          <a:bodyPr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318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plotVisOnly val="1"/>
    <c:dispBlanksAs val="gap"/>
    <c:showDLblsOverMax val="0"/>
  </c:chart>
  <c:spPr bwMode="auto">
    <a:xfrm rot="0" flipH="0" flipV="0">
      <a:off x="0" y="0"/>
      <a:ext cx="5057156" cy="2461671"/>
    </a:xfrm>
    <a:prstGeom prst="rect">
      <a:avLst/>
    </a:prstGeom>
    <a:solidFill>
      <a:schemeClr val="bg1"/>
    </a:solidFill>
    <a:ln w="9525" cap="flat" cmpd="sng" algn="ctr">
      <a:noFill/>
      <a:round/>
    </a:ln>
  </c:spPr>
  <c:txPr>
    <a:bodyPr/>
    <a:lstStyle/>
    <a:p>
      <a:pPr>
        <a:defRPr sz="1000">
          <a:solidFill>
            <a:srgbClr val="000000"/>
          </a:solidFill>
          <a:latin typeface="Liberation Sans"/>
          <a:ea typeface="Liberation Sans"/>
          <a:cs typeface="Liberation Sans"/>
        </a:defRPr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solidFill>
                  <a:schemeClr val="tx1"/>
                </a:solidFill>
                <a:latin typeface="Liberation Sans"/>
                <a:cs typeface="Liberation Sans"/>
              </a:rPr>
              <a:t>Жилищный фонд, тыс. кв. м</a:t>
            </a:r>
            <a:endParaRPr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28137000000000001"/>
          <c:y val="0.054289999999999998"/>
        </c:manualLayout>
      </c:layout>
      <c:overlay val="1"/>
      <c:spPr bwMode="auto">
        <a:prstGeom prst="rect">
          <a:avLst/>
        </a:prstGeom>
        <a:noFill/>
        <a:ln>
          <a:noFill/>
          <a:miter/>
        </a:ln>
      </c:spPr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092619999999999994"/>
          <c:y val="0.24715000000000001"/>
          <c:w val="0.81640000000000001"/>
          <c:h val="0.356360000000000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 xml:space="preserve">Общая площадь жилищного фонда, всего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  <a:bevel/>
            </a:ln>
          </c:spPr>
          <c:invertIfNegative val="0"/>
          <c:dLbls>
            <c:dLblPos val="outEnd"/>
            <c:delete val="0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lstStyle/>
              <a:p>
                <a:pPr>
                  <a:defRPr sz="1000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2692.83</c:v>
                </c:pt>
                <c:pt idx="1">
                  <c:v>2694.07</c:v>
                </c:pt>
                <c:pt idx="2">
                  <c:v>2774.14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 xml:space="preserve">В том числе площадь жилищного муниципального фонда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5">
                <a:lumMod val="50196"/>
              </a:schemeClr>
            </a:solidFill>
            <a:ln>
              <a:noFill/>
            </a:ln>
          </c:spPr>
          <c:invertIfNegative val="0"/>
          <c:dLbls>
            <c:dLblPos val="outEnd"/>
            <c:delete val="0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lstStyle/>
              <a:p>
                <a:pPr>
                  <a:defRPr sz="1000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188.56</c:v>
                </c:pt>
                <c:pt idx="1">
                  <c:v>191.62</c:v>
                </c:pt>
                <c:pt idx="2">
                  <c:v>245.95</c:v>
                </c:pt>
              </c:numCache>
            </c:numRef>
          </c:val>
        </c:ser>
        <c:dLbls>
          <c:dLblPos val="outEnd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txPr>
            <a:bodyPr/>
            <a:p>
              <a:pPr>
                <a:defRPr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100"/>
        <c:overlap val="-17"/>
        <c:axId val="2140842292"/>
        <c:axId val="2140842293"/>
      </c:barChart>
      <c:catAx>
        <c:axId val="21408422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</c:spPr>
        <c:txPr>
          <a:bodyPr/>
          <a:lstStyle/>
          <a:p>
            <a:pPr>
              <a:defRPr sz="1100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2140842293"/>
        <c:crosses val="autoZero"/>
        <c:auto val="1"/>
        <c:lblAlgn val="ctr"/>
        <c:lblOffset val="100"/>
        <c:tickMarkSkip val="1"/>
        <c:noMultiLvlLbl val="0"/>
      </c:catAx>
      <c:valAx>
        <c:axId val="2140842293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txPr>
          <a:bodyPr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292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.055300000000000002"/>
          <c:y val="0.76398999999999995"/>
          <c:w val="0.81669999999999998"/>
          <c:h val="0.19126000000000001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>
              <a:solidFill>
                <a:schemeClr val="tx1"/>
              </a:solidFill>
              <a:latin typeface="Liberation Sans"/>
              <a:ea typeface="Liberation Sans"/>
              <a:cs typeface="Liberation Sans"/>
            </a:defRPr>
          </a:pPr>
          <a:endParaRPr lang="ru-RU"/>
        </a:p>
      </c:txPr>
    </c:legend>
    <c:plotVisOnly val="1"/>
    <c:dispBlanksAs val="gap"/>
    <c:showDLblsOverMax val="0"/>
  </c:chart>
  <c:spPr bwMode="auto">
    <a:xfrm rot="0" flipH="0" flipV="0">
      <a:off x="0" y="0"/>
      <a:ext cx="4630113" cy="2661063"/>
    </a:xfrm>
    <a:prstGeom prst="rect">
      <a:avLst/>
    </a:prstGeom>
    <a:solidFill>
      <a:schemeClr val="bg1"/>
    </a:solidFill>
    <a:ln w="9525" cap="flat" cmpd="sng" algn="ctr">
      <a:noFill/>
      <a:prstDash val="solid"/>
      <a:round/>
    </a:ln>
  </c:spPr>
  <c:txPr>
    <a:bodyPr/>
    <a:lstStyle/>
    <a:p>
      <a:pPr>
        <a:defRPr sz="900">
          <a:solidFill>
            <a:schemeClr val="tx2"/>
          </a:solidFill>
          <a:latin typeface="Liberation Sans"/>
          <a:ea typeface="Liberation Sans"/>
          <a:cs typeface="Liberation Sans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cs typeface="Liberation Sans"/>
              </a:rPr>
              <a:t>Аварийный жилищный фонд*, тыс. кв. м</a:t>
            </a:r>
            <a:endParaRPr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1411"/>
          <c:y val="0.0080400000000000003"/>
        </c:manualLayout>
      </c:layout>
      <c:overlay val="0"/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049630000000000001"/>
          <c:y val="0.15784000000000001"/>
          <c:w val="0.64571000000000001"/>
          <c:h val="0.625920000000000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 xml:space="preserve">Общая площадь аварийного жилищного фонда</c:v>
                </c:pt>
              </c:strCache>
            </c:strRef>
          </c:tx>
          <c:invertIfNegative val="1"/>
          <c:dLbls>
            <c:dLbl>
              <c:idx val="1"/>
              <c:dLblPos val="outEnd"/>
              <c:delete val="0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Pos val="outEnd"/>
            <c:delete val="0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b="1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'Лист1'!$B$2:$B$4</c:f>
              <c:numCache>
                <c:formatCode>General</c:formatCode>
                <c:ptCount val="3"/>
                <c:pt idx="0">
                  <c:v>90.81</c:v>
                </c:pt>
                <c:pt idx="1">
                  <c:v>91.21</c:v>
                </c:pt>
                <c:pt idx="2">
                  <c:v>91.45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 xml:space="preserve">Площадь аварийного жилищного фонда, подлежащая расселению</c:v>
                </c:pt>
              </c:strCache>
            </c:strRef>
          </c:tx>
          <c:spPr bwMode="auto">
            <a:prstGeom prst="rect">
              <a:avLst/>
            </a:prstGeom>
            <a:solidFill>
              <a:srgbClr val="002060"/>
            </a:solidFill>
          </c:spPr>
          <c:invertIfNegative val="1"/>
          <c:dLbls>
            <c:dLblPos val="outEnd"/>
            <c:delete val="0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p>
                <a:pPr>
                  <a:defRPr b="1"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'Лист1'!$A$2:$A$4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'Лист1'!$C$2:$C$4</c:f>
              <c:numCache>
                <c:formatCode>General</c:formatCode>
                <c:ptCount val="3"/>
                <c:pt idx="0" formatCode="General">
                  <c:v>59.75</c:v>
                </c:pt>
                <c:pt idx="1" formatCode="General">
                  <c:v>45.64</c:v>
                </c:pt>
                <c:pt idx="2" formatCode="0.00">
                  <c:v>28.8</c:v>
                </c:pt>
              </c:numCache>
            </c:numRef>
          </c:val>
        </c:ser>
        <c:ser>
          <c:idx val="2"/>
          <c:order val="2"/>
          <c:tx>
            <c:strRef>
              <c:f>'Лист1'!$D$1</c:f>
              <c:strCache>
                <c:ptCount val="1"/>
                <c:pt idx="0">
                  <c:v xml:space="preserve">Расселено </c:v>
                </c:pt>
              </c:strCache>
            </c:strRef>
          </c:tx>
          <c:invertIfNegative val="1"/>
          <c:dLbls>
            <c:dLbl>
              <c:idx val="1"/>
              <c:dLblPos val="outEnd"/>
              <c:layout>
                <c:manualLayout>
                  <c:x val="0.01417"/>
                  <c:y val="-0.01133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b="1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Pos val="outEnd"/>
            <c:delete val="0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p>
                <a:pPr>
                  <a:defRPr b="1"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'Лист1'!$A$2:$A$4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'Лист1'!$D$2:$D$4</c:f>
              <c:numCache>
                <c:formatCode>General</c:formatCode>
                <c:ptCount val="3"/>
                <c:pt idx="0">
                  <c:v>31.06</c:v>
                </c:pt>
                <c:pt idx="1">
                  <c:v>45.57</c:v>
                </c:pt>
                <c:pt idx="2">
                  <c:v>62.65</c:v>
                </c:pt>
              </c:numCache>
            </c:numRef>
          </c:val>
        </c:ser>
        <c:dLbls>
          <c:dLblPos val="outEnd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txPr>
            <a:bodyPr/>
            <a:p>
              <a:pPr>
                <a:defRPr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150"/>
        <c:axId val="2140842294"/>
        <c:axId val="2140842295"/>
      </c:barChart>
      <c:catAx>
        <c:axId val="214084229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p>
            <a:pPr>
              <a:defRPr sz="1100"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295"/>
        <c:crosses val="autoZero"/>
        <c:auto val="1"/>
        <c:lblAlgn val="ctr"/>
        <c:lblOffset val="100"/>
        <c:tickMarkSkip val="1"/>
        <c:noMultiLvlLbl val="0"/>
      </c:catAx>
      <c:valAx>
        <c:axId val="2140842295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txPr>
          <a:bodyPr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29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181000000000004"/>
          <c:y val="0.18114"/>
          <c:w val="0.30818000000000001"/>
          <c:h val="0.67015999999999998"/>
        </c:manualLayout>
      </c:layout>
      <c:overlay val="0"/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legend>
    <c:plotVisOnly val="1"/>
    <c:dispBlanksAs val="gap"/>
    <c:showDLblsOverMax val="0"/>
  </c:chart>
  <c:spPr bwMode="auto">
    <a:xfrm rot="0" flipH="0" flipV="0">
      <a:off x="0" y="0"/>
      <a:ext cx="5373067" cy="2516878"/>
    </a:xfrm>
    <a:prstGeom prst="rect">
      <a:avLst/>
    </a:prstGeom>
    <a:ln w="6350" cap="flat" cmpd="sng" algn="ctr">
      <a:noFill/>
    </a:ln>
  </c:spPr>
  <c:txPr>
    <a:bodyPr/>
    <a:lstStyle/>
    <a:p>
      <a:pPr>
        <a:defRPr>
          <a:latin typeface="Liberation Sans"/>
          <a:ea typeface="Liberation Sans"/>
          <a:cs typeface="Liberation Sans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en-US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p>
            <a:pPr>
              <a:defRPr sz="1200" b="1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Расселено </a:t>
            </a:r>
            <a:endParaRPr lang="ru-RU" sz="1200" b="1">
              <a:solidFill>
                <a:schemeClr val="tx1"/>
              </a:solidFill>
              <a:latin typeface="Liberation Sans"/>
              <a:cs typeface="Liberation Sans"/>
            </a:endParaRPr>
          </a:p>
          <a:p>
            <a:pPr>
              <a:defRPr sz="1200" b="1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аварийного жилищного фонда*, тыс. кв. м</a:t>
            </a:r>
            <a:endParaRPr sz="1200" b="1">
              <a:solidFill>
                <a:schemeClr val="tx1"/>
              </a:solidFill>
              <a:latin typeface="Liberation Sans"/>
              <a:cs typeface="Liberation Sans"/>
            </a:endParaRPr>
          </a:p>
        </c:rich>
      </c:tx>
      <c:layout/>
      <c:overlay val="0"/>
      <c:spPr bwMode="auto">
        <a:prstGeom prst="rect">
          <a:avLst/>
        </a:prstGeom>
        <a:noFill/>
        <a:ln>
          <a:noFill/>
        </a:ln>
      </c:spPr>
      <c:txPr>
        <a:bodyPr/>
        <a:p>
          <a:pPr>
            <a:defRPr sz="1200" b="1" spc="0">
              <a:solidFill>
                <a:schemeClr val="tx1"/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17530000000000001"/>
          <c:y val="0.28077000000000002"/>
          <c:w val="0.35805999999999999"/>
          <c:h val="0.65098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2023</c:v>
                </c:pt>
              </c:strCache>
            </c:strRef>
          </c:tx>
          <c:dPt>
            <c:idx val="0"/>
            <c:spPr bwMode="auto">
              <a:prstGeom prst="rect">
                <a:avLst/>
              </a:prstGeom>
              <a:solidFill>
                <a:schemeClr val="accent1"/>
              </a:solidFill>
              <a:ln w="19050">
                <a:solidFill>
                  <a:schemeClr val="lt1"/>
                </a:solidFill>
              </a:ln>
            </c:spPr>
          </c:dPt>
          <c:dPt>
            <c:idx val="1"/>
            <c:spPr bwMode="auto">
              <a:prstGeom prst="rect">
                <a:avLst/>
              </a:prstGeom>
              <a:solidFill>
                <a:schemeClr val="accent6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</c:spPr>
          </c:dPt>
          <c:dPt>
            <c:idx val="2"/>
            <c:spPr bwMode="auto">
              <a:prstGeom prst="rect">
                <a:avLst/>
              </a:prstGeom>
              <a:solidFill>
                <a:schemeClr val="tx1">
                  <a:lumMod val="65098"/>
                  <a:lumOff val="34902"/>
                </a:schemeClr>
              </a:solidFill>
              <a:ln w="19050">
                <a:solidFill>
                  <a:schemeClr val="lt1"/>
                </a:solidFill>
              </a:ln>
            </c:spPr>
          </c:dPt>
          <c:dLbls>
            <c:dLbl>
              <c:idx val="0"/>
              <c:dLblPos val="outEnd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9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dLblPos val="outEnd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9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"/>
              <c:dLblPos val="outEnd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9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Pos val="outEnd"/>
            <c:separator xml:space="preserve"> </c:separator>
            <c:showBubbleSize val="0"/>
            <c:showCatName val="0"/>
            <c:showLeaderLines val="1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900" b="1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г. Новый Уренгой</c:v>
                </c:pt>
                <c:pt idx="1">
                  <c:v xml:space="preserve">р-н Коротчаево</c:v>
                </c:pt>
                <c:pt idx="2">
                  <c:v xml:space="preserve">р-н Лимбяяха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33.46</c:v>
                </c:pt>
                <c:pt idx="1">
                  <c:v>28.37</c:v>
                </c:pt>
                <c:pt idx="2">
                  <c:v>0.82</c:v>
                </c:pt>
              </c:numCache>
            </c:numRef>
          </c:val>
        </c:ser>
        <c:dLbls>
          <c:dLblPos val="outEnd"/>
          <c:separator xml:space="preserve"> </c:separator>
          <c:showBubbleSize val="0"/>
          <c:showCatName val="0"/>
          <c:showLeaderLines val="1"/>
          <c:showLegendKey val="0"/>
          <c:showPercent val="0"/>
          <c:showSerName val="0"/>
          <c:showVal val="1"/>
          <c:spPr bwMode="auto">
            <a:prstGeom prst="rect">
              <a:avLst/>
            </a:prstGeom>
            <a:noFill/>
            <a:ln>
              <a:noFill/>
            </a:ln>
          </c:spPr>
          <c:txPr>
            <a:bodyPr/>
            <a:p>
              <a:pPr>
                <a:defRPr sz="90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/>
            </a:p>
          </c:txPr>
        </c:dLbls>
        <c:firstSliceAng val="0"/>
      </c:pieChart>
      <c:spPr bwMode="auto">
        <a:prstGeom prst="rect">
          <a:avLst/>
        </a:prstGeom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.65349000000000002"/>
          <c:y val="0.31745000000000001"/>
          <c:w val="0.29518"/>
          <c:h val="0.47672999999999999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>
              <a:solidFill>
                <a:schemeClr val="tx1"/>
              </a:solidFill>
              <a:latin typeface="Liberation Sans"/>
              <a:ea typeface="Liberation Sans"/>
              <a:cs typeface="Liberation Sans"/>
            </a:defRPr>
          </a:pPr>
          <a:endParaRPr lang="en-US"/>
        </a:p>
      </c:txPr>
    </c:legend>
    <c:plotVisOnly val="1"/>
    <c:dispBlanksAs val="gap"/>
    <c:showDLblsOverMax val="0"/>
  </c:chart>
  <c:spPr bwMode="auto">
    <a:xfrm rot="0" flipH="0" flipV="0">
      <a:off x="0" y="0"/>
      <a:ext cx="4838085" cy="2661071"/>
    </a:xfrm>
    <a:prstGeom prst="rect">
      <a:avLst/>
    </a:prstGeom>
    <a:solidFill>
      <a:schemeClr val="bg1">
        <a:alpha val="99999"/>
      </a:schemeClr>
    </a:solidFill>
    <a:ln w="9525" cap="flat" cmpd="sng" algn="ctr">
      <a:noFill/>
      <a:round/>
    </a:ln>
  </c:spPr>
  <c:txPr>
    <a:bodyPr/>
    <a:p>
      <a:pPr>
        <a:defRPr sz="900">
          <a:solidFill>
            <a:schemeClr val="tx1"/>
          </a:solidFill>
          <a:latin typeface="+mn-lt"/>
          <a:ea typeface="+mn-ea"/>
          <a:cs typeface="+mn-cs"/>
        </a:defRPr>
      </a:pPr>
      <a:endParaRPr/>
    </a:p>
  </c:txPr>
  <c:externalData r:id="rId3">
    <c:autoUpdate val="0"/>
  </c:externalData>
  <c:printSettings>
    <c:headerFooter/>
    <c:pageMargins l="0.69999999999999996" r="0.69999999999999996" t="0.75" b="0.75" header="0.29999999999999999" footer="0.29999999999999999"/>
    <c:pageSetup/>
  </c:printSettings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Ликвидировано аварийного жилищного фонда </a:t>
            </a:r>
            <a:endParaRPr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8734000000000001"/>
          <c:y val="0.060499999999999998"/>
        </c:manualLayout>
      </c:layout>
      <c:overlay val="1"/>
      <c:spPr bwMode="auto">
        <a:prstGeom prst="rect">
          <a:avLst/>
        </a:prstGeom>
        <a:noFill/>
        <a:ln>
          <a:noFill/>
          <a:bevel/>
        </a:ln>
      </c:spPr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060060000000000002"/>
          <c:y val="0.26512000000000002"/>
          <c:w val="0.75085999999999997"/>
          <c:h val="0.516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 xml:space="preserve">2021 год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5">
                <a:lumMod val="50196"/>
              </a:schemeClr>
            </a:solidFill>
            <a:ln>
              <a:noFill/>
            </a:ln>
          </c:spPr>
          <c:invertIfNegative val="0"/>
          <c:dLbls>
            <c:dLblPos val="outEnd"/>
            <c:delete val="0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lstStyle/>
              <a:p>
                <a:pPr>
                  <a:defRPr sz="1100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Sheet1!$A$2:$A$3</c:f>
              <c:strCache>
                <c:ptCount val="2"/>
                <c:pt idx="0">
                  <c:v xml:space="preserve">Количество домов, ед.</c:v>
                </c:pt>
                <c:pt idx="1">
                  <c:v xml:space="preserve">Общая площадь, тыс. кв. м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76</c:v>
                </c:pt>
                <c:pt idx="1">
                  <c:v>10.85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 xml:space="preserve">2022 год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74901"/>
              </a:schemeClr>
            </a:solidFill>
            <a:ln>
              <a:noFill/>
            </a:ln>
          </c:spPr>
          <c:invertIfNegative val="0"/>
          <c:dLbls>
            <c:dLblPos val="outEnd"/>
            <c:delete val="0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lstStyle/>
              <a:p>
                <a:pPr>
                  <a:defRPr sz="1100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Sheet1!$A$2:$A$3</c:f>
              <c:strCache>
                <c:ptCount val="2"/>
                <c:pt idx="0">
                  <c:v xml:space="preserve">Количество домов, ед.</c:v>
                </c:pt>
                <c:pt idx="1">
                  <c:v xml:space="preserve">Общая площадь, тыс. кв. м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131</c:v>
                </c:pt>
                <c:pt idx="1">
                  <c:v>33.85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 xml:space="preserve">2023 год</c:v>
                </c:pt>
              </c:strCache>
            </c:strRef>
          </c:tx>
          <c:invertIfNegative val="0"/>
          <c:dLbls>
            <c:dLblPos val="outEnd"/>
            <c:delete val="0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p>
                <a:pPr>
                  <a:defRPr sz="1100"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Sheet1!$A$2:$A$3</c:f>
              <c:strCache>
                <c:ptCount val="2"/>
                <c:pt idx="0">
                  <c:v xml:space="preserve">Количество домов, ед.</c:v>
                </c:pt>
                <c:pt idx="1">
                  <c:v xml:space="preserve">Общая площадь, тыс. кв. м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52</c:v>
                </c:pt>
                <c:pt idx="1">
                  <c:v>13.93</c:v>
                </c:pt>
              </c:numCache>
            </c:numRef>
          </c:val>
        </c:ser>
        <c:dLbls>
          <c:dLblPos val="outEnd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219"/>
        <c:overlap val="-19"/>
        <c:axId val="2140842368"/>
        <c:axId val="2140842369"/>
      </c:barChart>
      <c:catAx>
        <c:axId val="2140842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</c:spPr>
        <c:txPr>
          <a:bodyPr/>
          <a:lstStyle/>
          <a:p>
            <a:pPr>
              <a:defRPr sz="1200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2140842369"/>
        <c:crosses val="autoZero"/>
        <c:auto val="1"/>
        <c:lblAlgn val="ctr"/>
        <c:lblOffset val="100"/>
        <c:tickMarkSkip val="1"/>
        <c:noMultiLvlLbl val="0"/>
      </c:catAx>
      <c:valAx>
        <c:axId val="2140842369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140842368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.82913000000000003"/>
          <c:y val="0.33007999999999998"/>
          <c:w val="0.14365"/>
          <c:h val="0.49845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>
              <a:solidFill>
                <a:schemeClr val="tx1"/>
              </a:solidFill>
              <a:latin typeface="Liberation Sans"/>
              <a:ea typeface="Liberation Sans"/>
              <a:cs typeface="Liberation Sans"/>
            </a:defRPr>
          </a:pPr>
          <a:endParaRPr lang="ru-RU"/>
        </a:p>
      </c:txPr>
    </c:legend>
    <c:plotVisOnly val="1"/>
    <c:dispBlanksAs val="gap"/>
    <c:showDLblsOverMax val="0"/>
  </c:chart>
  <c:spPr bwMode="auto">
    <a:xfrm rot="0" flipH="0" flipV="0">
      <a:off x="0" y="0"/>
      <a:ext cx="5249242" cy="2177500"/>
    </a:xfrm>
    <a:prstGeom prst="rect">
      <a:avLst/>
    </a:prstGeom>
    <a:solidFill>
      <a:schemeClr val="bg1"/>
    </a:solidFill>
    <a:ln w="9525" cap="flat" cmpd="sng" algn="ctr">
      <a:noFill/>
      <a:prstDash val="solid"/>
      <a:round/>
    </a:ln>
  </c:spPr>
  <c:txPr>
    <a:bodyPr/>
    <a:lstStyle/>
    <a:p>
      <a:pPr>
        <a:defRPr sz="1000">
          <a:solidFill>
            <a:schemeClr val="tx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cs typeface="Liberation Sans"/>
              </a:rPr>
              <a:t>Структура объема отгруженной промышленной продукции, %</a:t>
            </a:r>
            <a:endParaRPr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1874"/>
          <c:y val="0.028510000000000001"/>
        </c:manualLayout>
      </c:layout>
      <c:overlay val="0"/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title>
    <c:plotArea>
      <c:layout>
        <c:manualLayout>
          <c:layoutTarget val="inner"/>
          <c:xMode val="edge"/>
          <c:yMode val="edge"/>
          <c:x val="0.12816"/>
          <c:y val="0.22297"/>
          <c:w val="0.83818000000000004"/>
          <c:h val="0.3197400000000000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Добыча полезных ископаемых </c:v>
                </c:pt>
              </c:strCache>
            </c:strRef>
          </c:tx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1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2023 год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69.9</c:v>
                </c:pt>
                <c:pt idx="1">
                  <c:v>72.1</c:v>
                </c:pt>
                <c:pt idx="2">
                  <c:v>70.51400624991929</c:v>
                </c:pt>
              </c:numCache>
            </c:numRef>
          </c:val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 xml:space="preserve">Обеспечение электрической энергией, газом и паром; кондиционирование воздуха</c:v>
                </c:pt>
              </c:strCache>
            </c:strRef>
          </c:tx>
          <c:dLbls>
            <c:dLbl>
              <c:idx val="0"/>
              <c:layout>
                <c:manualLayout>
                  <c:x val="-0.033610000000000001"/>
                  <c:y val="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layout>
                <c:manualLayout>
                  <c:x val="-0.017899999999999999"/>
                  <c:y val="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layout>
                <c:manualLayout>
                  <c:x val="-0.020160000000000001"/>
                  <c:y val="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1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2023 год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22.5</c:v>
                </c:pt>
                <c:pt idx="1">
                  <c:v>22</c:v>
                </c:pt>
                <c:pt idx="2">
                  <c:v>22.120275780888935</c:v>
                </c:pt>
              </c:numCache>
            </c:numRef>
          </c:val>
        </c:ser>
        <c:ser>
          <c:idx val="3"/>
          <c:order val="2"/>
          <c:tx>
            <c:strRef>
              <c:f>Лист1!$D$1</c:f>
              <c:strCache>
                <c:ptCount val="1"/>
                <c:pt idx="0">
                  <c:v xml:space="preserve">Обрабатывающее производство </c:v>
                </c:pt>
              </c:strCache>
            </c:strRef>
          </c:tx>
          <c:dLbls>
            <c:dLbl>
              <c:idx val="0"/>
              <c:layout>
                <c:manualLayout>
                  <c:x val="-0.0067200000000000003"/>
                  <c:y val="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layout>
                <c:manualLayout>
                  <c:x val="-0.0067200000000000003"/>
                  <c:y val="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layout>
                <c:manualLayout>
                  <c:x val="-0.0112"/>
                  <c:y val="-0.0087399999999999995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1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2023 год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5</c:v>
                </c:pt>
                <c:pt idx="1">
                  <c:v>4.3</c:v>
                </c:pt>
                <c:pt idx="2">
                  <c:v>5.6</c:v>
                </c:pt>
              </c:numCache>
            </c:numRef>
          </c:val>
        </c:ser>
        <c:ser>
          <c:idx val="1"/>
          <c:order val="3"/>
          <c:tx>
            <c:strRef>
              <c:f>Лист1!$E$1</c:f>
              <c:strCache>
                <c:ptCount val="1"/>
                <c:pt idx="0">
                  <c:v xml:space="preserve">Водоснабжение; водоотведение, организация сбора и утилизации отходов, деятельность по ликвидации загрязнений</c:v>
                </c:pt>
              </c:strCache>
            </c:strRef>
          </c:tx>
          <c:dLbls>
            <c:dLbl>
              <c:idx val="0"/>
              <c:layout>
                <c:manualLayout>
                  <c:x val="0.015679999999999999"/>
                  <c:y val="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layout>
                <c:manualLayout>
                  <c:x val="0.015679999999999999"/>
                  <c:y val="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layout>
                <c:manualLayout>
                  <c:x val="0.00447"/>
                  <c:y val="-0.00843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1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2023 год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Лист1!$E$2:$E$4</c:f>
              <c:numCache>
                <c:formatCode>0.0</c:formatCode>
                <c:ptCount val="3"/>
                <c:pt idx="0">
                  <c:v>2.6</c:v>
                </c:pt>
                <c:pt idx="1">
                  <c:v>1.6</c:v>
                </c:pt>
                <c:pt idx="2">
                  <c:v>1.8252266644245456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75"/>
        <c:overlap val="100"/>
        <c:axId val="2140841504"/>
        <c:axId val="2140841505"/>
      </c:barChart>
      <c:catAx>
        <c:axId val="2140841504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2140841505"/>
        <c:crosses val="autoZero"/>
        <c:auto val="1"/>
        <c:lblAlgn val="ctr"/>
        <c:lblOffset val="100"/>
        <c:noMultiLvlLbl val="0"/>
      </c:catAx>
      <c:valAx>
        <c:axId val="2140841505"/>
        <c:scaling>
          <c:orientation val="minMax"/>
          <c:max val="100"/>
        </c:scaling>
        <c:delete val="1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21408415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60226999999999997"/>
          <c:w val="0.98333999999999999"/>
          <c:h val="0.39195000000000002"/>
        </c:manualLayout>
      </c:layout>
      <c:overlay val="0"/>
      <c:txPr>
        <a:bodyPr/>
        <a:lstStyle/>
        <a:p>
          <a:pPr>
            <a:defRPr sz="1100">
              <a:latin typeface="Liberation Serif"/>
            </a:defRPr>
          </a:pPr>
          <a:endParaRPr lang="ru-RU"/>
        </a:p>
      </c:txPr>
    </c:legend>
    <c:plotVisOnly val="1"/>
    <c:dispBlanksAs val="gap"/>
    <c:showDLblsOverMax val="0"/>
  </c:chart>
  <c:spPr bwMode="auto">
    <a:xfrm>
      <a:off x="0" y="0"/>
      <a:ext cx="6025069" cy="2771941"/>
    </a:xfrm>
    <a:prstGeom prst="rect">
      <a:avLst/>
    </a:prstGeom>
    <a:ln>
      <a:noFill/>
    </a:ln>
  </c:spPr>
  <c:txPr>
    <a:bodyPr/>
    <a:lstStyle/>
    <a:p>
      <a:pPr>
        <a:defRPr>
          <a:latin typeface="PT Astra Serif"/>
          <a:ea typeface="PT Astra Serif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cs typeface="Liberation Sans"/>
              </a:rPr>
              <a:t>Численность граждан, проживающих </a:t>
            </a:r>
            <a:br>
              <a:rPr lang="ru-RU" sz="1200">
                <a:latin typeface="Liberation Sans"/>
                <a:cs typeface="Liberation Sans"/>
              </a:rPr>
            </a:br>
            <a:r>
              <a:rPr lang="ru-RU" sz="1200">
                <a:latin typeface="Liberation Sans"/>
                <a:cs typeface="Liberation Sans"/>
              </a:rPr>
              <a:t>в аварийном жилищном фонде, человек</a:t>
            </a:r>
            <a:endParaRPr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3621"/>
          <c:y val="0.0027799999999999999"/>
        </c:manualLayout>
      </c:layout>
      <c:overlay val="0"/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044790000000000003"/>
          <c:y val="0.26962000000000003"/>
          <c:w val="0.88849"/>
          <c:h val="0.533349999999999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 xml:space="preserve">Количество человек</c:v>
                </c:pt>
              </c:strCache>
            </c:strRef>
          </c:tx>
          <c:invertIfNegative val="1"/>
          <c:dLbls>
            <c:dLbl>
              <c:idx val="2"/>
              <c:dLblPos val="outEnd"/>
              <c:layout/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p>
                    <a:pPr>
                      <a:defRPr b="0">
                        <a:solidFill>
                          <a:sysClr val="windowText" lastClr="000000"/>
                        </a:solidFill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 sz="1100" b="0">
                        <a:latin typeface="Liberation Sans"/>
                        <a:cs typeface="Liberation Sans"/>
                      </a:rPr>
                      <a:t>1 926</a:t>
                    </a:r>
                    <a:endParaRPr sz="1100" b="0">
                      <a:latin typeface="Liberation Sans"/>
                      <a:cs typeface="Liberation Sans"/>
                    </a:endParaRPr>
                  </a:p>
                </c:rich>
              </c:tx>
              <c:txPr>
                <a:bodyPr/>
                <a:lstStyle/>
                <a:p>
                  <a:pPr>
                    <a:defRPr sz="1100" b="0">
                      <a:solidFill>
                        <a:sysClr val="windowText" lastClr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dLblPos val="outEnd"/>
              <c:layout/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p>
                    <a:pPr>
                      <a:defRPr b="0">
                        <a:solidFill>
                          <a:sysClr val="windowText" lastClr="000000"/>
                        </a:solidFill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 sz="1100" b="0">
                        <a:latin typeface="Liberation Sans"/>
                        <a:cs typeface="Liberation Sans"/>
                      </a:rPr>
                      <a:t>2 797</a:t>
                    </a:r>
                    <a:endParaRPr sz="1100" b="0">
                      <a:latin typeface="Liberation Sans"/>
                      <a:cs typeface="Liberation Sans"/>
                    </a:endParaRPr>
                  </a:p>
                </c:rich>
              </c:tx>
              <c:txPr>
                <a:bodyPr/>
                <a:lstStyle/>
                <a:p>
                  <a:pPr>
                    <a:defRPr sz="1100" b="0">
                      <a:solidFill>
                        <a:sysClr val="windowText" lastClr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0"/>
              <c:dLblPos val="outEnd"/>
              <c:layout/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p>
                    <a:pPr>
                      <a:defRPr b="0">
                        <a:solidFill>
                          <a:sysClr val="windowText" lastClr="000000"/>
                        </a:solidFill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 sz="1100" b="0">
                        <a:latin typeface="Liberation Sans"/>
                        <a:cs typeface="Liberation Sans"/>
                      </a:rPr>
                      <a:t>3 680</a:t>
                    </a:r>
                    <a:endParaRPr sz="1100" b="0">
                      <a:latin typeface="Liberation Sans"/>
                      <a:cs typeface="Liberation Sans"/>
                    </a:endParaRPr>
                  </a:p>
                </c:rich>
              </c:tx>
              <c:txPr>
                <a:bodyPr/>
                <a:lstStyle/>
                <a:p>
                  <a:pPr>
                    <a:defRPr sz="1100" b="0">
                      <a:solidFill>
                        <a:sysClr val="windowText" lastClr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100" b="0">
                    <a:solidFill>
                      <a:sysClr val="windowText" lastClr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 </c:v>
                </c:pt>
              </c:strCache>
            </c:strRef>
          </c:cat>
          <c:val>
            <c:numRef>
              <c:f>'Лист1'!$B$2:$B$4</c:f>
              <c:numCache>
                <c:formatCode>General</c:formatCode>
                <c:ptCount val="3"/>
                <c:pt idx="0" formatCode="General">
                  <c:v>3680</c:v>
                </c:pt>
                <c:pt idx="1" formatCode="General">
                  <c:v>2797</c:v>
                </c:pt>
                <c:pt idx="2" formatCode="#,##0">
                  <c:v>1926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50"/>
        <c:axId val="2140842298"/>
        <c:axId val="2140842299"/>
      </c:barChart>
      <c:catAx>
        <c:axId val="214084229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p>
            <a:pPr>
              <a:defRPr sz="1100"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299"/>
        <c:crosses val="autoZero"/>
        <c:auto val="1"/>
        <c:lblAlgn val="ctr"/>
        <c:lblOffset val="100"/>
        <c:noMultiLvlLbl val="0"/>
      </c:catAx>
      <c:valAx>
        <c:axId val="2140842299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140842298"/>
        <c:crosses val="autoZero"/>
        <c:crossBetween val="between"/>
      </c:valAx>
    </c:plotArea>
    <c:plotVisOnly val="1"/>
    <c:dispBlanksAs val="gap"/>
    <c:showDLblsOverMax val="0"/>
  </c:chart>
  <c:spPr bwMode="auto">
    <a:xfrm>
      <a:off x="0" y="0"/>
      <a:ext cx="4021794" cy="2050221"/>
    </a:xfrm>
    <a:prstGeom prst="rect">
      <a:avLst/>
    </a:prstGeom>
    <a:ln w="6350" cap="flat" cmpd="sng" algn="ctr">
      <a:noFill/>
      <a:miter/>
    </a:ln>
  </c:spPr>
  <c:txPr>
    <a:bodyPr/>
    <a:lstStyle/>
    <a:p>
      <a:pPr>
        <a:defRPr>
          <a:latin typeface="Liberation Serif"/>
          <a:ea typeface="PT Astra Serif"/>
        </a:defRPr>
      </a:pPr>
      <a:endParaRPr lang="ru-RU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solidFill>
                  <a:schemeClr val="tx1"/>
                </a:solidFill>
                <a:latin typeface="Liberation Sans"/>
                <a:cs typeface="Liberation Sans"/>
              </a:rPr>
              <a:t>Переселение из аварийного жилищного фонда* </a:t>
            </a:r>
            <a:endParaRPr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1019"/>
          <c:y val="0.022960000000000001"/>
        </c:manualLayout>
      </c:layout>
      <c:overlay val="1"/>
      <c:spPr bwMode="auto">
        <a:prstGeom prst="rect">
          <a:avLst/>
        </a:prstGeom>
        <a:noFill/>
        <a:ln>
          <a:noFill/>
          <a:miter/>
        </a:ln>
      </c:spPr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091109999999999997"/>
          <c:y val="0.22819"/>
          <c:w val="0.66122999999999998"/>
          <c:h val="0.434979999999999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 xml:space="preserve">Количество семей</c:v>
                </c:pt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  <a:bevel/>
            </a:ln>
          </c:spPr>
          <c:invertIfNegative val="0"/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  <a:bevel/>
              </a:ln>
            </c:spPr>
            <c:txPr>
              <a:bodyPr/>
              <a:lstStyle/>
              <a:p>
                <a:pPr>
                  <a:defRPr sz="1100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 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297</c:v>
                </c:pt>
                <c:pt idx="1">
                  <c:v>286</c:v>
                </c:pt>
                <c:pt idx="2">
                  <c:v>394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 xml:space="preserve">Количество человек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60000"/>
                <a:lumOff val="40000"/>
              </a:schemeClr>
            </a:solidFill>
            <a:ln>
              <a:noFill/>
              <a:miter/>
            </a:ln>
          </c:spPr>
          <c:invertIfNegative val="0"/>
          <c:dLbls>
            <c:dLbl>
              <c:idx val="1"/>
              <c:dLblPos val="outEnd"/>
              <c:layout>
                <c:manualLayout>
                  <c:x val="0"/>
                  <c:y val="0.0057400000000000003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lstStyle/>
                <a:p>
                  <a:pPr>
                    <a:defRPr sz="1100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lstStyle/>
              <a:p>
                <a:pPr>
                  <a:defRPr sz="1100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 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891</c:v>
                </c:pt>
                <c:pt idx="1">
                  <c:v>870</c:v>
                </c:pt>
                <c:pt idx="2">
                  <c:v>995</c:v>
                </c:pt>
              </c:numCache>
            </c:numRef>
          </c:val>
        </c:ser>
        <c:dLbls>
          <c:dLblPos val="outEnd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txPr>
            <a:bodyPr/>
            <a:p>
              <a:pPr>
                <a:defRPr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100"/>
        <c:overlap val="-15"/>
        <c:axId val="2140842322"/>
        <c:axId val="2140842323"/>
      </c:barChart>
      <c:catAx>
        <c:axId val="214084232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</c:spPr>
        <c:txPr>
          <a:bodyPr/>
          <a:lstStyle/>
          <a:p>
            <a:pPr>
              <a:defRPr sz="1100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2140842323"/>
        <c:crosses val="autoZero"/>
        <c:auto val="1"/>
        <c:lblAlgn val="ctr"/>
        <c:lblOffset val="100"/>
        <c:tickMarkSkip val="1"/>
        <c:noMultiLvlLbl val="0"/>
      </c:catAx>
      <c:valAx>
        <c:axId val="2140842323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txPr>
          <a:bodyPr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322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.76607000000000003"/>
          <c:y val="0.25352000000000002"/>
          <c:w val="0.1928"/>
          <c:h val="0.57006000000000001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>
              <a:solidFill>
                <a:schemeClr val="tx1"/>
              </a:solidFill>
              <a:latin typeface="Liberation Sans"/>
              <a:ea typeface="Liberation Sans"/>
              <a:cs typeface="Liberation Sans"/>
            </a:defRPr>
          </a:pPr>
          <a:endParaRPr lang="ru-RU"/>
        </a:p>
      </c:txPr>
    </c:legend>
    <c:plotVisOnly val="1"/>
    <c:dispBlanksAs val="gap"/>
    <c:showDLblsOverMax val="0"/>
  </c:chart>
  <c:spPr bwMode="auto">
    <a:xfrm>
      <a:off x="0" y="0"/>
      <a:ext cx="5153527" cy="1658736"/>
    </a:xfrm>
    <a:prstGeom prst="rect">
      <a:avLst/>
    </a:prstGeom>
    <a:solidFill>
      <a:schemeClr val="bg1"/>
    </a:solidFill>
    <a:ln w="9525" cap="flat" cmpd="sng" algn="ctr">
      <a:noFill/>
      <a:prstDash val="solid"/>
      <a:round/>
    </a:ln>
  </c:spPr>
  <c:txPr>
    <a:bodyPr/>
    <a:lstStyle/>
    <a:p>
      <a:pPr>
        <a:defRPr sz="900">
          <a:solidFill>
            <a:schemeClr val="tx2"/>
          </a:solidFill>
          <a:latin typeface="Liberation Sans"/>
          <a:ea typeface="Liberation Sans"/>
          <a:cs typeface="Liberation Sans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solidFill>
                  <a:schemeClr val="tx1"/>
                </a:solidFill>
                <a:latin typeface="Liberation Sans"/>
                <a:cs typeface="Liberation Sans"/>
              </a:rPr>
              <a:t>Предоставление социальных выплат молодым семьям, семей</a:t>
            </a:r>
            <a:endParaRPr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5891"/>
          <c:y val="0.0055199999999999997"/>
        </c:manualLayout>
      </c:layout>
      <c:overlay val="1"/>
      <c:spPr bwMode="auto">
        <a:prstGeom prst="rect">
          <a:avLst/>
        </a:prstGeom>
        <a:noFill/>
        <a:ln>
          <a:noFill/>
          <a:miter/>
        </a:ln>
      </c:spPr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09468"/>
          <c:y val="0.40212999999999999"/>
          <c:w val="0.81921999999999995"/>
          <c:h val="0.389239999999999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</c:strCache>
            </c:strRef>
          </c:tx>
          <c:spPr bwMode="auto">
            <a:prstGeom prst="rect">
              <a:avLst/>
            </a:prstGeom>
            <a:gradFill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</c:spPr>
          <c:invertIfNegative val="0"/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  <a:miter/>
              </a:ln>
            </c:spPr>
            <c:txPr>
              <a:bodyPr/>
              <a:lstStyle/>
              <a:p>
                <a:pPr>
                  <a:defRPr sz="1000" b="1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 formatCode="General">
                  <c:v>135</c:v>
                </c:pt>
                <c:pt idx="1" formatCode="0">
                  <c:v>328</c:v>
                </c:pt>
                <c:pt idx="2" formatCode="General">
                  <c:v>298</c:v>
                </c:pt>
              </c:numCache>
            </c:numRef>
          </c:val>
        </c:ser>
        <c:dLbls>
          <c:dLblPos val="outEnd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txPr>
            <a:bodyPr/>
            <a:p>
              <a:pPr>
                <a:defRPr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100"/>
        <c:overlap val="-16"/>
        <c:axId val="2140842346"/>
        <c:axId val="2140842347"/>
      </c:barChart>
      <c:catAx>
        <c:axId val="214084234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</c:spPr>
        <c:txPr>
          <a:bodyPr/>
          <a:lstStyle/>
          <a:p>
            <a:pPr>
              <a:defRPr sz="1000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2140842347"/>
        <c:crosses val="autoZero"/>
        <c:auto val="1"/>
        <c:lblAlgn val="ctr"/>
        <c:lblOffset val="100"/>
        <c:tickMarkSkip val="1"/>
        <c:noMultiLvlLbl val="0"/>
      </c:catAx>
      <c:valAx>
        <c:axId val="2140842347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txPr>
          <a:bodyPr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346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legend>
      <c:legendPos val="b"/>
      <c:legendEntry>
        <c:idx val="0"/>
        <c:delete val="1"/>
        <c:txPr>
          <a:bodyPr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endParaRPr/>
          </a:p>
        </c:txPr>
      </c:legendEntry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>
              <a:solidFill>
                <a:schemeClr val="tx2"/>
              </a:solidFill>
              <a:latin typeface="Liberation Sans"/>
              <a:ea typeface="Liberation Sans"/>
              <a:cs typeface="Liberation Sans"/>
            </a:defRPr>
          </a:pPr>
          <a:endParaRPr lang="ru-RU"/>
        </a:p>
      </c:txPr>
    </c:legend>
    <c:plotVisOnly val="1"/>
    <c:dispBlanksAs val="gap"/>
    <c:showDLblsOverMax val="0"/>
  </c:chart>
  <c:spPr bwMode="auto">
    <a:xfrm>
      <a:off x="0" y="0"/>
      <a:ext cx="4336598" cy="1752486"/>
    </a:xfrm>
    <a:prstGeom prst="rect">
      <a:avLst/>
    </a:prstGeom>
    <a:solidFill>
      <a:schemeClr val="bg1"/>
    </a:solidFill>
    <a:ln w="9525" cap="flat" cmpd="sng" algn="ctr">
      <a:noFill/>
      <a:prstDash val="solid"/>
      <a:round/>
    </a:ln>
  </c:spPr>
  <c:txPr>
    <a:bodyPr/>
    <a:lstStyle/>
    <a:p>
      <a:pPr>
        <a:defRPr sz="1200">
          <a:solidFill>
            <a:schemeClr val="tx2"/>
          </a:solidFill>
          <a:latin typeface="Liberation Sans"/>
          <a:ea typeface="Liberation Sans"/>
          <a:cs typeface="Liberation Sans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 b="1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rgbClr val="000000"/>
                </a:solidFill>
                <a:latin typeface="Liberation Sans"/>
                <a:cs typeface="Liberation Sans"/>
              </a:rPr>
              <a:t>Динамика изменения объемов потребления электрической энергии, </a:t>
            </a:r>
            <a:r>
              <a:rPr lang="ru-RU" sz="1200" b="1">
                <a:solidFill>
                  <a:srgbClr val="000000"/>
                </a:solidFill>
                <a:latin typeface="Liberation Sans"/>
                <a:cs typeface="Liberation Sans"/>
              </a:rPr>
              <a:t>млн кВт.ч</a:t>
            </a:r>
            <a:endParaRPr sz="1200" b="1">
              <a:solidFill>
                <a:srgbClr val="000000"/>
              </a:solidFill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0567"/>
          <c:y val="0.010630000000000001"/>
        </c:manualLayout>
      </c:layout>
      <c:overlay val="0"/>
      <c:txPr>
        <a:bodyPr/>
        <a:p>
          <a:pPr>
            <a:defRPr b="1">
              <a:solidFill>
                <a:srgbClr val="000000"/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title>
    <c:plotArea>
      <c:layout>
        <c:manualLayout>
          <c:layoutTarget val="inner"/>
          <c:xMode val="edge"/>
          <c:yMode val="edge"/>
          <c:x val="0.21664"/>
          <c:y val="0.18104000000000001"/>
          <c:w val="0.77161999999999997"/>
          <c:h val="0.638979999999999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 xml:space="preserve">Объем потребления электрической энергии, всего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</c:spPr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p>
                <a:pPr>
                  <a:defRPr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'Лист1'!$A$2:$A$4</c:f>
              <c:strCache>
                <c:ptCount val="3"/>
                <c:pt idx="0">
                  <c:v xml:space="preserve">2023 год 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'Лист1'!$B$2:$B$4</c:f>
              <c:numCache>
                <c:formatCode>General</c:formatCode>
                <c:ptCount val="3"/>
                <c:pt idx="0" formatCode="0.0">
                  <c:v>827.803</c:v>
                </c:pt>
                <c:pt idx="1" formatCode="#,##0.0">
                  <c:v>896.395</c:v>
                </c:pt>
                <c:pt idx="2" formatCode="#,##0.0">
                  <c:v>926.131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 xml:space="preserve">в том числе по приборам учета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50196"/>
              </a:schemeClr>
            </a:solidFill>
          </c:spPr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p>
                <a:pPr>
                  <a:defRPr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'Лист1'!$A$2:$A$4</c:f>
              <c:strCache>
                <c:ptCount val="3"/>
                <c:pt idx="0">
                  <c:v xml:space="preserve">2023 год 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'Лист1'!$C$2:$C$4</c:f>
              <c:numCache>
                <c:formatCode>General</c:formatCode>
                <c:ptCount val="3"/>
                <c:pt idx="0" formatCode="0.0">
                  <c:v>821.895</c:v>
                </c:pt>
                <c:pt idx="1" formatCode="#,##0.0">
                  <c:v>889.996</c:v>
                </c:pt>
                <c:pt idx="2" formatCode="#,##0.0">
                  <c:v>916.171</c:v>
                </c:pt>
              </c:numCache>
            </c:numRef>
          </c:val>
        </c:ser>
        <c:dLbls>
          <c:dLblPos val="outEnd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150"/>
        <c:axId val="2140842292"/>
        <c:axId val="2140842293"/>
      </c:barChart>
      <c:catAx>
        <c:axId val="2140842292"/>
        <c:scaling>
          <c:orientation val="minMax"/>
        </c:scaling>
        <c:delete val="0"/>
        <c:axPos val="l"/>
        <c:numFmt formatCode="0" sourceLinked="0"/>
        <c:majorTickMark val="out"/>
        <c:minorTickMark val="none"/>
        <c:tickLblPos val="nextTo"/>
        <c:txPr>
          <a:bodyPr/>
          <a:p>
            <a:pPr>
              <a:defRPr sz="1100" b="0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293"/>
        <c:crosses val="autoZero"/>
        <c:auto val="1"/>
        <c:lblAlgn val="ctr"/>
        <c:lblOffset val="100"/>
        <c:tickMarkSkip val="1"/>
        <c:noMultiLvlLbl val="0"/>
      </c:catAx>
      <c:valAx>
        <c:axId val="2140842293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txPr>
          <a:bodyPr/>
          <a:p>
            <a:pPr>
              <a:defRPr b="1">
                <a:solidFill>
                  <a:srgbClr val="000000"/>
                </a:solidFill>
              </a:defRPr>
            </a:pPr>
            <a:endParaRPr/>
          </a:p>
        </c:txPr>
        <c:crossAx val="21408422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0016299999999999999"/>
          <c:y val="0.82794999999999996"/>
          <c:w val="1"/>
          <c:h val="0.15431"/>
        </c:manualLayout>
      </c:layout>
      <c:overlay val="0"/>
      <c:txPr>
        <a:bodyPr/>
        <a:p>
          <a:pPr>
            <a:defRPr b="0">
              <a:solidFill>
                <a:srgbClr val="000000"/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legend>
    <c:plotVisOnly val="1"/>
    <c:dispBlanksAs val="gap"/>
    <c:showDLblsOverMax val="0"/>
  </c:chart>
  <c:spPr bwMode="auto">
    <a:xfrm rot="0" flipH="0" flipV="0">
      <a:off x="0" y="0"/>
      <a:ext cx="5819772" cy="2686140"/>
    </a:xfrm>
    <a:prstGeom prst="rect">
      <a:avLst/>
    </a:prstGeom>
    <a:noFill/>
    <a:ln w="9525" cap="flat" cmpd="sng" algn="ctr">
      <a:noFill/>
      <a:prstDash val="solid"/>
    </a:ln>
  </c:spPr>
  <c:txPr>
    <a:bodyPr/>
    <a:lstStyle/>
    <a:p>
      <a:pPr>
        <a:defRPr b="1">
          <a:solidFill>
            <a:srgbClr val="000000"/>
          </a:solidFill>
          <a:latin typeface="Liberation Serif"/>
          <a:ea typeface="PT Astra Serif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 b="1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rgbClr val="000000"/>
                </a:solidFill>
                <a:latin typeface="Liberation Sans"/>
                <a:cs typeface="Liberation Sans"/>
              </a:rPr>
              <a:t>Динамика изменения объемов потребления тепловой энергии, </a:t>
            </a:r>
            <a:r>
              <a:rPr lang="ru-RU" sz="1200" b="1">
                <a:solidFill>
                  <a:srgbClr val="000000"/>
                </a:solidFill>
                <a:latin typeface="Liberation Sans"/>
                <a:cs typeface="Liberation Sans"/>
              </a:rPr>
              <a:t>тыс. Гкал</a:t>
            </a:r>
            <a:endParaRPr sz="1200" b="1">
              <a:solidFill>
                <a:srgbClr val="000000"/>
              </a:solidFill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7169999999999999"/>
          <c:y val="0.0080800000000000004"/>
        </c:manualLayout>
      </c:layout>
      <c:overlay val="0"/>
      <c:txPr>
        <a:bodyPr/>
        <a:p>
          <a:pPr>
            <a:defRPr b="1">
              <a:solidFill>
                <a:srgbClr val="000000"/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title>
    <c:plotArea>
      <c:layout>
        <c:manualLayout>
          <c:layoutTarget val="inner"/>
          <c:xMode val="edge"/>
          <c:yMode val="edge"/>
          <c:x val="0.12377000000000001"/>
          <c:y val="0.24546000000000001"/>
          <c:w val="0.83808000000000005"/>
          <c:h val="0.4984700000000000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 xml:space="preserve">Объем потребления тепловой энергии, всего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</c:spPr>
          <c:dLbls>
            <c:dLbl>
              <c:idx val="0"/>
              <c:dLblPos val="outEnd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p>
                    <a:pPr>
                      <a:defRPr b="1">
                        <a:solidFill>
                          <a:srgbClr val="000000"/>
                        </a:solidFill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/>
                      <a:t>1 230.6</a:t>
                    </a:r>
                    <a:endParaRPr/>
                  </a:p>
                </c:rich>
              </c:tx>
              <c:txPr>
                <a:bodyPr/>
                <a:lstStyle/>
                <a:p>
                  <a:pPr>
                    <a:defRPr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dLblPos val="outEnd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p>
                    <a:pPr>
                      <a:defRPr b="1">
                        <a:solidFill>
                          <a:srgbClr val="000000"/>
                        </a:solidFill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/>
                      <a:t>1 294.2</a:t>
                    </a:r>
                    <a:endParaRPr/>
                  </a:p>
                </c:rich>
              </c:tx>
              <c:txPr>
                <a:bodyPr/>
                <a:lstStyle/>
                <a:p>
                  <a:pPr>
                    <a:defRPr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dLblPos val="outEnd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p>
                    <a:pPr>
                      <a:defRPr b="1">
                        <a:solidFill>
                          <a:srgbClr val="000000"/>
                        </a:solidFill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/>
                      <a:t>1 202.4</a:t>
                    </a:r>
                    <a:endParaRPr/>
                  </a:p>
                </c:rich>
              </c:tx>
              <c:txPr>
                <a:bodyPr/>
                <a:lstStyle/>
                <a:p>
                  <a:pPr>
                    <a:defRPr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Pos val="outEnd"/>
            <c:delete val="0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b="1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'Лист1'!$A$2:$A$4</c:f>
              <c:strCache>
                <c:ptCount val="3"/>
                <c:pt idx="0">
                  <c:v xml:space="preserve">2023 год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'Лист1'!$B$2:$B$4</c:f>
              <c:numCache>
                <c:formatCode>General</c:formatCode>
                <c:ptCount val="3"/>
                <c:pt idx="0" formatCode="#,##0.00">
                  <c:v>1230.6</c:v>
                </c:pt>
                <c:pt idx="1" formatCode="#,##0.0">
                  <c:v>1202.4</c:v>
                </c:pt>
                <c:pt idx="2" formatCode="#,##0.0">
                  <c:v>1294.2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 xml:space="preserve">в том числе по приборам учета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50196"/>
              </a:schemeClr>
            </a:solidFill>
          </c:spPr>
          <c:dLbls>
            <c:dLblPos val="outEnd"/>
            <c:delete val="0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p>
                <a:pPr>
                  <a:defRPr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'Лист1'!$A$2:$A$4</c:f>
              <c:strCache>
                <c:ptCount val="3"/>
                <c:pt idx="0">
                  <c:v xml:space="preserve">2023 год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'Лист1'!$C$2:$C$4</c:f>
              <c:numCache>
                <c:formatCode>General</c:formatCode>
                <c:ptCount val="3"/>
                <c:pt idx="0" formatCode="0.0">
                  <c:v>950</c:v>
                </c:pt>
                <c:pt idx="1" formatCode="#,##0.0">
                  <c:v>926.5</c:v>
                </c:pt>
                <c:pt idx="2" formatCode="#,##0.0">
                  <c:v>991.6</c:v>
                </c:pt>
              </c:numCache>
            </c:numRef>
          </c:val>
        </c:ser>
        <c:dLbls>
          <c:dLblPos val="outEnd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txPr>
            <a:bodyPr/>
            <a:p>
              <a:pPr>
                <a:defRPr b="1">
                  <a:solidFill>
                    <a:srgbClr val="000000"/>
                  </a:solidFill>
                </a:defRPr>
              </a:pPr>
              <a:endParaRPr/>
            </a:p>
          </c:txPr>
        </c:dLbls>
        <c:gapWidth val="150"/>
        <c:axId val="2140842294"/>
        <c:axId val="2140842295"/>
      </c:barChart>
      <c:catAx>
        <c:axId val="2140842294"/>
        <c:scaling>
          <c:orientation val="minMax"/>
        </c:scaling>
        <c:delete val="0"/>
        <c:axPos val="l"/>
        <c:numFmt formatCode="0" sourceLinked="0"/>
        <c:majorTickMark val="out"/>
        <c:minorTickMark val="none"/>
        <c:tickLblPos val="nextTo"/>
        <c:txPr>
          <a:bodyPr/>
          <a:p>
            <a:pPr>
              <a:defRPr sz="1100" b="0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295"/>
        <c:crosses val="autoZero"/>
        <c:auto val="1"/>
        <c:lblAlgn val="ctr"/>
        <c:lblOffset val="100"/>
        <c:tickMarkSkip val="1"/>
        <c:noMultiLvlLbl val="0"/>
      </c:catAx>
      <c:valAx>
        <c:axId val="2140842295"/>
        <c:scaling>
          <c:orientation val="minMax"/>
        </c:scaling>
        <c:delete val="1"/>
        <c:axPos val="b"/>
        <c:numFmt formatCode="#,##0.00" sourceLinked="1"/>
        <c:majorTickMark val="out"/>
        <c:minorTickMark val="none"/>
        <c:tickLblPos val="none"/>
        <c:txPr>
          <a:bodyPr/>
          <a:p>
            <a:pPr>
              <a:defRPr b="1">
                <a:solidFill>
                  <a:srgbClr val="000000"/>
                </a:solidFill>
              </a:defRPr>
            </a:pPr>
            <a:endParaRPr/>
          </a:p>
        </c:txPr>
        <c:crossAx val="214084229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81369999999999998"/>
          <c:w val="1"/>
          <c:h val="0.17829"/>
        </c:manualLayout>
      </c:layout>
      <c:overlay val="0"/>
      <c:txPr>
        <a:bodyPr/>
        <a:p>
          <a:pPr>
            <a:defRPr b="0">
              <a:solidFill>
                <a:srgbClr val="000000"/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legend>
    <c:plotVisOnly val="1"/>
    <c:dispBlanksAs val="gap"/>
    <c:showDLblsOverMax val="0"/>
  </c:chart>
  <c:spPr bwMode="auto">
    <a:xfrm rot="0" flipH="0" flipV="0">
      <a:off x="0" y="0"/>
      <a:ext cx="5042242" cy="2302137"/>
    </a:xfrm>
    <a:prstGeom prst="rect">
      <a:avLst/>
    </a:prstGeom>
    <a:noFill/>
    <a:ln w="9525" cap="flat" cmpd="sng" algn="ctr">
      <a:noFill/>
      <a:prstDash val="solid"/>
    </a:ln>
  </c:spPr>
  <c:txPr>
    <a:bodyPr/>
    <a:lstStyle/>
    <a:p>
      <a:pPr>
        <a:defRPr b="1">
          <a:solidFill>
            <a:srgbClr val="000000"/>
          </a:solidFill>
          <a:latin typeface="Liberation Serif"/>
          <a:ea typeface="PT Astra Serif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 b="1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rgbClr val="000000"/>
                </a:solidFill>
                <a:latin typeface="Liberation Sans"/>
                <a:cs typeface="Liberation Sans"/>
              </a:rPr>
              <a:t>Динамика изменения объемов потребления воды, </a:t>
            </a:r>
            <a:r>
              <a:rPr lang="ru-RU" sz="1200" b="1">
                <a:solidFill>
                  <a:srgbClr val="000000"/>
                </a:solidFill>
                <a:latin typeface="Liberation Sans"/>
                <a:cs typeface="Liberation Sans"/>
              </a:rPr>
              <a:t>млн куб. м</a:t>
            </a:r>
            <a:endParaRPr sz="1200" b="1">
              <a:solidFill>
                <a:srgbClr val="000000"/>
              </a:solidFill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4831"/>
          <c:y val="0.0042300000000000003"/>
        </c:manualLayout>
      </c:layout>
      <c:overlay val="0"/>
      <c:txPr>
        <a:bodyPr/>
        <a:p>
          <a:pPr>
            <a:defRPr b="1">
              <a:solidFill>
                <a:srgbClr val="000000"/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title>
    <c:plotArea>
      <c:layout>
        <c:manualLayout>
          <c:layoutTarget val="inner"/>
          <c:xMode val="edge"/>
          <c:yMode val="edge"/>
          <c:x val="0.14111000000000001"/>
          <c:y val="0.15376000000000001"/>
          <c:w val="0.83808000000000005"/>
          <c:h val="0.7071800000000000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 xml:space="preserve">Объем потребления воды, всего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</c:spPr>
          <c:dLbls>
            <c:dLblPos val="outEnd"/>
            <c:delete val="0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b="1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'Лист1'!$A$2:$A$4</c:f>
              <c:strCache>
                <c:ptCount val="3"/>
                <c:pt idx="0">
                  <c:v xml:space="preserve">2023 год 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'Лист1'!$B$2:$B$4</c:f>
              <c:numCache>
                <c:formatCode>#,##0.0</c:formatCode>
                <c:ptCount val="3"/>
                <c:pt idx="0">
                  <c:v>8.726</c:v>
                </c:pt>
                <c:pt idx="1">
                  <c:v>8.897</c:v>
                </c:pt>
                <c:pt idx="2">
                  <c:v>8.92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 xml:space="preserve">в том числе по приборам учета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50196"/>
              </a:schemeClr>
            </a:solidFill>
          </c:spPr>
          <c:dLbls>
            <c:dLblPos val="outEnd"/>
            <c:delete val="0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p>
                <a:pPr>
                  <a:defRPr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'Лист1'!$A$2:$A$4</c:f>
              <c:strCache>
                <c:ptCount val="3"/>
                <c:pt idx="0">
                  <c:v xml:space="preserve">2023 год 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'Лист1'!$C$2:$C$4</c:f>
              <c:numCache>
                <c:formatCode>#,##0.0</c:formatCode>
                <c:ptCount val="3"/>
                <c:pt idx="0">
                  <c:v>8.589</c:v>
                </c:pt>
                <c:pt idx="1">
                  <c:v>8.714</c:v>
                </c:pt>
                <c:pt idx="2">
                  <c:v>8.718</c:v>
                </c:pt>
              </c:numCache>
            </c:numRef>
          </c:val>
        </c:ser>
        <c:dLbls>
          <c:dLblPos val="outEnd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txPr>
            <a:bodyPr/>
            <a:p>
              <a:pPr>
                <a:defRPr b="1">
                  <a:solidFill>
                    <a:srgbClr val="000000"/>
                  </a:solidFill>
                </a:defRPr>
              </a:pPr>
              <a:endParaRPr/>
            </a:p>
          </c:txPr>
        </c:dLbls>
        <c:gapWidth val="150"/>
        <c:axId val="2140842296"/>
        <c:axId val="2140842297"/>
      </c:barChart>
      <c:catAx>
        <c:axId val="2140842296"/>
        <c:scaling>
          <c:orientation val="minMax"/>
        </c:scaling>
        <c:delete val="0"/>
        <c:axPos val="l"/>
        <c:numFmt formatCode="0" sourceLinked="0"/>
        <c:majorTickMark val="out"/>
        <c:minorTickMark val="none"/>
        <c:tickLblPos val="nextTo"/>
        <c:txPr>
          <a:bodyPr/>
          <a:p>
            <a:pPr>
              <a:defRPr sz="1100" b="0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297"/>
        <c:crosses val="autoZero"/>
        <c:auto val="1"/>
        <c:lblAlgn val="ctr"/>
        <c:lblOffset val="100"/>
        <c:tickMarkSkip val="1"/>
        <c:noMultiLvlLbl val="0"/>
      </c:catAx>
      <c:valAx>
        <c:axId val="2140842297"/>
        <c:scaling>
          <c:orientation val="minMax"/>
        </c:scaling>
        <c:delete val="1"/>
        <c:axPos val="b"/>
        <c:numFmt formatCode="#,##0.0" sourceLinked="1"/>
        <c:majorTickMark val="out"/>
        <c:minorTickMark val="none"/>
        <c:tickLblPos val="none"/>
        <c:txPr>
          <a:bodyPr/>
          <a:p>
            <a:pPr>
              <a:defRPr b="1">
                <a:solidFill>
                  <a:srgbClr val="000000"/>
                </a:solidFill>
              </a:defRPr>
            </a:pPr>
            <a:endParaRPr/>
          </a:p>
        </c:txPr>
        <c:crossAx val="214084229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89158000000000004"/>
          <c:w val="1"/>
          <c:h val="0.10841000000000001"/>
        </c:manualLayout>
      </c:layout>
      <c:overlay val="0"/>
      <c:txPr>
        <a:bodyPr/>
        <a:p>
          <a:pPr>
            <a:defRPr b="0">
              <a:solidFill>
                <a:srgbClr val="000000"/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legend>
    <c:plotVisOnly val="1"/>
    <c:dispBlanksAs val="gap"/>
    <c:showDLblsOverMax val="0"/>
  </c:chart>
  <c:spPr bwMode="auto">
    <a:xfrm rot="0" flipH="0" flipV="0">
      <a:off x="0" y="0"/>
      <a:ext cx="4892058" cy="2357053"/>
    </a:xfrm>
    <a:prstGeom prst="rect">
      <a:avLst/>
    </a:prstGeom>
    <a:noFill/>
    <a:ln w="9525" cap="flat" cmpd="sng" algn="ctr">
      <a:noFill/>
      <a:prstDash val="solid"/>
    </a:ln>
  </c:spPr>
  <c:txPr>
    <a:bodyPr/>
    <a:lstStyle/>
    <a:p>
      <a:pPr>
        <a:defRPr b="1">
          <a:solidFill>
            <a:srgbClr val="000000"/>
          </a:solidFill>
          <a:latin typeface="Liberation Serif"/>
          <a:ea typeface="PT Astra Serif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 b="1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rgbClr val="000000"/>
                </a:solidFill>
                <a:latin typeface="Liberation Sans"/>
                <a:cs typeface="Liberation Sans"/>
              </a:rPr>
              <a:t>Динамика изменения объемов потребления природного газа, </a:t>
            </a:r>
            <a:r>
              <a:rPr lang="ru-RU" sz="1200" b="1">
                <a:solidFill>
                  <a:srgbClr val="000000"/>
                </a:solidFill>
                <a:latin typeface="Liberation Sans"/>
                <a:cs typeface="Liberation Sans"/>
              </a:rPr>
              <a:t>млн куб. м</a:t>
            </a:r>
            <a:endParaRPr sz="1200" b="1">
              <a:solidFill>
                <a:srgbClr val="000000"/>
              </a:solidFill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5376000000000001"/>
          <c:y val="-0.00046000000000000001"/>
        </c:manualLayout>
      </c:layout>
      <c:overlay val="0"/>
      <c:txPr>
        <a:bodyPr/>
        <a:p>
          <a:pPr>
            <a:defRPr b="1">
              <a:solidFill>
                <a:srgbClr val="000000"/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title>
    <c:plotArea>
      <c:layout>
        <c:manualLayout>
          <c:layoutTarget val="inner"/>
          <c:xMode val="edge"/>
          <c:yMode val="edge"/>
          <c:x val="0.13228000000000001"/>
          <c:y val="0.25302000000000002"/>
          <c:w val="0.83808000000000005"/>
          <c:h val="0.5085300000000000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 xml:space="preserve">Объем потребления газа, всего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</c:spPr>
          <c:dLbls>
            <c:dLblPos val="outEnd"/>
            <c:delete val="0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b="1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'Лист1'!$A$2:$A$4</c:f>
              <c:strCache>
                <c:ptCount val="3"/>
                <c:pt idx="0">
                  <c:v xml:space="preserve">2023 год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'Лист1'!$B$2:$B$4</c:f>
              <c:numCache>
                <c:formatCode>#,##0.0</c:formatCode>
                <c:ptCount val="3"/>
                <c:pt idx="0">
                  <c:v>313.172</c:v>
                </c:pt>
                <c:pt idx="1">
                  <c:v>309.35</c:v>
                </c:pt>
                <c:pt idx="2">
                  <c:v>349.932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 xml:space="preserve">в том числе по приборам учета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50196"/>
              </a:schemeClr>
            </a:solidFill>
          </c:spPr>
          <c:dLbls>
            <c:dLbl>
              <c:idx val="2"/>
              <c:dLblPos val="outEnd"/>
              <c:layout>
                <c:manualLayout>
                  <c:x val="0"/>
                  <c:y val="-0.01682000000000000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Pos val="outEnd"/>
            <c:delete val="0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p>
                <a:pPr>
                  <a:defRPr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'Лист1'!$A$2:$A$4</c:f>
              <c:strCache>
                <c:ptCount val="3"/>
                <c:pt idx="0">
                  <c:v xml:space="preserve">2023 год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'Лист1'!$C$2:$C$4</c:f>
              <c:numCache>
                <c:formatCode>#,##0.0</c:formatCode>
                <c:ptCount val="3"/>
                <c:pt idx="0">
                  <c:v>302.194</c:v>
                </c:pt>
                <c:pt idx="1">
                  <c:v>298.072</c:v>
                </c:pt>
                <c:pt idx="2">
                  <c:v>338.497</c:v>
                </c:pt>
              </c:numCache>
            </c:numRef>
          </c:val>
        </c:ser>
        <c:dLbls>
          <c:dLblPos val="outEnd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txPr>
            <a:bodyPr/>
            <a:p>
              <a:pPr>
                <a:defRPr b="1">
                  <a:solidFill>
                    <a:srgbClr val="000000"/>
                  </a:solidFill>
                </a:defRPr>
              </a:pPr>
              <a:endParaRPr/>
            </a:p>
          </c:txPr>
        </c:dLbls>
        <c:gapWidth val="150"/>
        <c:axId val="2140842298"/>
        <c:axId val="2140842299"/>
      </c:barChart>
      <c:catAx>
        <c:axId val="2140842298"/>
        <c:scaling>
          <c:orientation val="minMax"/>
        </c:scaling>
        <c:delete val="0"/>
        <c:axPos val="l"/>
        <c:numFmt formatCode="0" sourceLinked="0"/>
        <c:majorTickMark val="out"/>
        <c:minorTickMark val="none"/>
        <c:tickLblPos val="nextTo"/>
        <c:txPr>
          <a:bodyPr/>
          <a:p>
            <a:pPr>
              <a:defRPr sz="1100" b="0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299"/>
        <c:crosses val="autoZero"/>
        <c:auto val="1"/>
        <c:lblAlgn val="ctr"/>
        <c:lblOffset val="100"/>
        <c:tickMarkSkip val="1"/>
        <c:noMultiLvlLbl val="0"/>
      </c:catAx>
      <c:valAx>
        <c:axId val="2140842299"/>
        <c:scaling>
          <c:orientation val="minMax"/>
        </c:scaling>
        <c:delete val="1"/>
        <c:axPos val="b"/>
        <c:numFmt formatCode="#,##0.0" sourceLinked="1"/>
        <c:majorTickMark val="out"/>
        <c:minorTickMark val="none"/>
        <c:tickLblPos val="none"/>
        <c:txPr>
          <a:bodyPr/>
          <a:p>
            <a:pPr>
              <a:defRPr b="1">
                <a:solidFill>
                  <a:srgbClr val="000000"/>
                </a:solidFill>
              </a:defRPr>
            </a:pPr>
            <a:endParaRPr/>
          </a:p>
        </c:txPr>
        <c:crossAx val="214084229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80949000000000004"/>
          <c:w val="1"/>
          <c:h val="0.17829"/>
        </c:manualLayout>
      </c:layout>
      <c:overlay val="0"/>
      <c:txPr>
        <a:bodyPr/>
        <a:p>
          <a:pPr>
            <a:defRPr b="0">
              <a:solidFill>
                <a:srgbClr val="000000"/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legend>
    <c:plotVisOnly val="1"/>
    <c:dispBlanksAs val="gap"/>
    <c:showDLblsOverMax val="0"/>
  </c:chart>
  <c:spPr bwMode="auto">
    <a:xfrm rot="0" flipH="0" flipV="0">
      <a:off x="0" y="0"/>
      <a:ext cx="4933971" cy="2264707"/>
    </a:xfrm>
    <a:prstGeom prst="rect">
      <a:avLst/>
    </a:prstGeom>
    <a:noFill/>
    <a:ln w="9525" cap="flat" cmpd="sng" algn="ctr">
      <a:noFill/>
      <a:prstDash val="solid"/>
    </a:ln>
  </c:spPr>
  <c:txPr>
    <a:bodyPr/>
    <a:lstStyle/>
    <a:p>
      <a:pPr>
        <a:defRPr b="1">
          <a:solidFill>
            <a:srgbClr val="000000"/>
          </a:solidFill>
          <a:latin typeface="Liberation Serif"/>
          <a:ea typeface="PT Astra Serif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en-US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p>
            <a:pPr>
              <a:defRPr lang="ru-RU" sz="1150" b="1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Динамика протяженности </a:t>
            </a: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улично-дорожной сети, км </a:t>
            </a:r>
            <a:endParaRPr lang="ru-RU" sz="1200" b="1">
              <a:solidFill>
                <a:schemeClr val="tx1"/>
              </a:solidFill>
              <a:latin typeface="Liberation Sans"/>
              <a:cs typeface="Liberation Sans"/>
            </a:endParaRPr>
          </a:p>
        </c:rich>
      </c:tx>
      <c:layout>
        <c:manualLayout>
          <c:x val="0.031940000000000003"/>
          <c:y val="0.01349"/>
        </c:manualLayout>
      </c:layout>
      <c:overlay val="0"/>
      <c:spPr bwMode="auto">
        <a:prstGeom prst="rect">
          <a:avLst/>
        </a:prstGeom>
        <a:noFill/>
        <a:ln>
          <a:noFill/>
        </a:ln>
      </c:spPr>
      <c:txPr>
        <a:bodyPr/>
        <a:p>
          <a:pPr>
            <a:defRPr lang="ru-RU" sz="1200" b="1" spc="0">
              <a:solidFill>
                <a:schemeClr val="tx1"/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view3D>
      <c:rotX val="15"/>
      <c:rotY val="20"/>
      <c:rAngAx val="1"/>
    </c:view3D>
    <c:floor>
      <c:thickness val="0"/>
      <c:spPr bwMode="auto">
        <a:prstGeom prst="rect">
          <a:avLst/>
        </a:prstGeom>
        <a:noFill/>
        <a:ln>
          <a:noFill/>
        </a:ln>
      </c:spPr>
    </c:floor>
    <c:sideWall>
      <c:thickness val="0"/>
      <c:spPr bwMode="auto">
        <a:prstGeom prst="rect">
          <a:avLst/>
        </a:prstGeom>
        <a:noFill/>
        <a:ln>
          <a:noFill/>
        </a:ln>
      </c:spPr>
    </c:sideWall>
    <c:backWall>
      <c:thickness val="0"/>
      <c:spPr bwMode="auto">
        <a:prstGeom prst="rect">
          <a:avLst/>
        </a:prstGeom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0.13675999999999999"/>
          <c:y val="0.18773999999999999"/>
          <c:w val="0.82247000000000003"/>
          <c:h val="0.65598000000000001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 xml:space="preserve">Протяженность улично-дорожной сети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  <a:ln>
              <a:noFill/>
            </a:ln>
          </c:spPr>
          <c:invertIfNegative val="0"/>
          <c:dLbls>
            <c:dLbl>
              <c:idx val="2"/>
              <c:dLblPos val="ctr"/>
              <c:layout>
                <c:manualLayout>
                  <c:x val="0.18412000000000001"/>
                  <c:y val="-0.1079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9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dLblPos val="ctr"/>
              <c:layout>
                <c:manualLayout>
                  <c:x val="0.17848"/>
                  <c:y val="-0.098930000000000004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9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0"/>
              <c:dLblPos val="ctr"/>
              <c:layout>
                <c:manualLayout>
                  <c:x val="0.17848"/>
                  <c:y val="-0.1034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9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900" b="1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2023 год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251.305</c:v>
                </c:pt>
                <c:pt idx="1">
                  <c:v>248.321</c:v>
                </c:pt>
                <c:pt idx="2">
                  <c:v>239.714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 xml:space="preserve">в том числе с твердым покрытием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60000"/>
                <a:lumOff val="40000"/>
              </a:schemeClr>
            </a:solidFill>
            <a:ln w="19049">
              <a:solidFill>
                <a:schemeClr val="accent1">
                  <a:lumMod val="74901"/>
                </a:schemeClr>
              </a:solidFill>
              <a:prstDash val="solid"/>
            </a:ln>
          </c:spPr>
          <c:invertIfNegative val="0"/>
          <c:dLbls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900" b="1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2023 год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243.117</c:v>
                </c:pt>
                <c:pt idx="1">
                  <c:v>235.764</c:v>
                </c:pt>
                <c:pt idx="2">
                  <c:v>227.146</c:v>
                </c:pt>
              </c:numCache>
            </c:numRef>
          </c:val>
        </c:ser>
        <c:dLbls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spPr bwMode="auto">
            <a:prstGeom prst="rect">
              <a:avLst/>
            </a:prstGeom>
            <a:noFill/>
            <a:ln>
              <a:noFill/>
            </a:ln>
          </c:spPr>
          <c:txPr>
            <a:bodyPr/>
            <a:p>
              <a:pPr>
                <a:defRPr sz="900" b="0">
                  <a:solidFill>
                    <a:schemeClr val="tx1"/>
                  </a:solidFill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150"/>
        <c:axId val="2140842300"/>
        <c:axId val="2140842301"/>
      </c:bar3DChart>
      <c:catAx>
        <c:axId val="21408423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</c:spPr>
        <c:txPr>
          <a:bodyPr/>
          <a:p>
            <a:pPr>
              <a:defRPr sz="1100" b="0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301"/>
        <c:crosses val="autoZero"/>
        <c:auto val="1"/>
        <c:lblAlgn val="ctr"/>
        <c:lblOffset val="100"/>
        <c:tickMarkSkip val="1"/>
        <c:noMultiLvlLbl val="0"/>
      </c:catAx>
      <c:valAx>
        <c:axId val="2140842301"/>
        <c:scaling>
          <c:orientation val="minMax"/>
        </c:scaling>
        <c:delete val="1"/>
        <c:axPos val="b"/>
        <c:majorGridlines>
          <c:spPr bwMode="auto">
            <a:prstGeom prst="rect">
              <a:avLst/>
            </a:prstGeom>
            <a:noFill/>
            <a:ln w="9525" cap="flat" cmpd="sng" algn="ctr">
              <a:noFill/>
              <a:round/>
            </a:ln>
          </c:spPr>
        </c:majorGridlines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</c:spPr>
        <c:txPr>
          <a:bodyPr/>
          <a:p>
            <a:pPr>
              <a:defRPr sz="900" b="0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300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.0018699999999999999"/>
          <c:y val="0.83126"/>
          <c:w val="1.0615399999999999"/>
          <c:h val="0.16872999999999999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>
              <a:solidFill>
                <a:schemeClr val="tx1"/>
              </a:solidFill>
              <a:latin typeface="Liberation Sans"/>
              <a:ea typeface="Liberation Sans"/>
              <a:cs typeface="Liberation Sans"/>
            </a:defRPr>
          </a:pPr>
          <a:endParaRPr lang="en-US"/>
        </a:p>
      </c:txPr>
    </c:legend>
    <c:plotVisOnly val="1"/>
    <c:dispBlanksAs val="gap"/>
    <c:showDLblsOverMax val="0"/>
  </c:chart>
  <c:spPr bwMode="auto">
    <a:xfrm>
      <a:off x="0" y="0"/>
      <a:ext cx="5314338" cy="2118146"/>
    </a:xfrm>
    <a:prstGeom prst="rect">
      <a:avLst/>
    </a:prstGeom>
    <a:solidFill>
      <a:schemeClr val="bg1"/>
    </a:solidFill>
    <a:ln w="9525" cap="flat" cmpd="sng" algn="ctr">
      <a:noFill/>
      <a:round/>
    </a:ln>
  </c:spPr>
  <c:txPr>
    <a:bodyPr/>
    <a:p>
      <a:pPr>
        <a:defRPr sz="1000" b="0">
          <a:solidFill>
            <a:schemeClr val="tx1"/>
          </a:solidFill>
          <a:latin typeface="Liberation Sans"/>
          <a:ea typeface="Liberation Sans"/>
          <a:cs typeface="Liberation Sans"/>
        </a:defRPr>
      </a:pPr>
      <a:endParaRPr/>
    </a:p>
  </c:txPr>
  <c:externalData r:id="rId3">
    <c:autoUpdate val="0"/>
  </c:externalData>
  <c:printSettings>
    <c:headerFooter/>
    <c:pageMargins l="0.69999999999999996" r="0.69999999999999996" t="0.75" b="0.75" header="0.29999999999999999" footer="0.29999999999999999"/>
    <c:pageSetup/>
  </c:printSettings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cs typeface="Liberation Sans"/>
              </a:rPr>
              <a:t>Площадь отремонтированной </a:t>
            </a:r>
            <a:br>
              <a:rPr lang="ru-RU" sz="1200">
                <a:latin typeface="Liberation Sans"/>
                <a:cs typeface="Liberation Sans"/>
              </a:rPr>
            </a:br>
            <a:r>
              <a:rPr lang="ru-RU" sz="1200">
                <a:latin typeface="Liberation Sans"/>
                <a:cs typeface="Liberation Sans"/>
              </a:rPr>
              <a:t>улично-дорожной сети города, кв. м </a:t>
            </a:r>
            <a:endParaRPr sz="1200"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9753999999999999"/>
          <c:y val="-0.0058900000000000003"/>
        </c:manualLayout>
      </c:layout>
      <c:overlay val="0"/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066280000000000006"/>
          <c:y val="0.32646999999999998"/>
          <c:w val="0.88849"/>
          <c:h val="0.490910000000000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</c:strCache>
            </c:strRef>
          </c:tx>
          <c:invertIfNegative val="1"/>
          <c:dLbls>
            <c:dLbl>
              <c:idx val="0"/>
              <c:dLblPos val="outEnd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p>
                    <a:pPr>
                      <a:defRPr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>
                        <a:latin typeface="Liberation Sans"/>
                        <a:cs typeface="Liberation Sans"/>
                      </a:rPr>
                      <a:t>140 478</a:t>
                    </a:r>
                    <a:endParaRPr>
                      <a:latin typeface="Liberation Sans"/>
                      <a:cs typeface="Liberation Sans"/>
                    </a:endParaRPr>
                  </a:p>
                </c:rich>
              </c:tx>
              <c:txPr>
                <a:bodyPr/>
                <a:p>
                  <a:pPr>
                    <a:defRPr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dLblPos val="outEnd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p>
                    <a:pPr>
                      <a:defRPr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>
                        <a:latin typeface="Liberation Sans"/>
                        <a:cs typeface="Liberation Sans"/>
                      </a:rPr>
                      <a:t>240 095,5</a:t>
                    </a:r>
                    <a:endParaRPr>
                      <a:latin typeface="Liberation Sans"/>
                      <a:cs typeface="Liberation Sans"/>
                    </a:endParaRPr>
                  </a:p>
                </c:rich>
              </c:tx>
              <c:txPr>
                <a:bodyPr/>
                <a:p>
                  <a:pPr>
                    <a:defRPr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"/>
              <c:dLblPos val="outEnd"/>
              <c:layout/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p>
                    <a:pPr>
                      <a:defRPr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>
                        <a:latin typeface="Liberation Sans"/>
                        <a:cs typeface="Liberation Sans"/>
                      </a:rPr>
                      <a:t>302 498</a:t>
                    </a:r>
                    <a:endParaRPr>
                      <a:latin typeface="Liberation Sans"/>
                      <a:cs typeface="Liberation Sans"/>
                    </a:endParaRPr>
                  </a:p>
                </c:rich>
              </c:tx>
              <c:txPr>
                <a:bodyPr/>
                <a:p>
                  <a:pPr>
                    <a:defRPr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Pos val="outEnd"/>
            <c:delete val="0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p>
                <a:pPr>
                  <a:defRPr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'Лист1'!$A$2:$A$4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 </c:v>
                </c:pt>
              </c:strCache>
            </c:strRef>
          </c:cat>
          <c:val>
            <c:numRef>
              <c:f>'Лист1'!$B$2:$B$4</c:f>
              <c:numCache>
                <c:formatCode>General</c:formatCode>
                <c:ptCount val="3"/>
                <c:pt idx="0">
                  <c:v>140478</c:v>
                </c:pt>
                <c:pt idx="1">
                  <c:v>240095.5</c:v>
                </c:pt>
                <c:pt idx="2">
                  <c:v>302498</c:v>
                </c:pt>
              </c:numCache>
            </c:numRef>
          </c:val>
        </c:ser>
        <c:dLbls>
          <c:dLblPos val="outEnd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txPr>
            <a:bodyPr/>
            <a:p>
              <a:pPr>
                <a:defRPr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150"/>
        <c:axId val="2140842302"/>
        <c:axId val="2140842303"/>
      </c:barChart>
      <c:catAx>
        <c:axId val="214084230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p>
            <a:pPr>
              <a:defRPr sz="1100"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303"/>
        <c:crosses val="autoZero"/>
        <c:auto val="1"/>
        <c:lblAlgn val="ctr"/>
        <c:lblOffset val="100"/>
        <c:tickMarkSkip val="1"/>
        <c:noMultiLvlLbl val="0"/>
      </c:catAx>
      <c:valAx>
        <c:axId val="2140842303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txPr>
          <a:bodyPr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302"/>
        <c:crosses val="autoZero"/>
        <c:crossBetween val="between"/>
      </c:valAx>
    </c:plotArea>
    <c:plotVisOnly val="1"/>
    <c:dispBlanksAs val="gap"/>
    <c:showDLblsOverMax val="0"/>
  </c:chart>
  <c:spPr bwMode="auto">
    <a:xfrm rot="0" flipH="0" flipV="0">
      <a:off x="0" y="0"/>
      <a:ext cx="4294524" cy="1614711"/>
    </a:xfrm>
    <a:prstGeom prst="rect">
      <a:avLst/>
    </a:prstGeom>
    <a:ln w="6350" cap="flat" cmpd="sng" algn="ctr">
      <a:noFill/>
    </a:ln>
  </c:spPr>
  <c:txPr>
    <a:bodyPr/>
    <a:lstStyle/>
    <a:p>
      <a:pPr>
        <a:defRPr>
          <a:latin typeface="Liberation Sans"/>
          <a:ea typeface="Liberation Sans"/>
          <a:cs typeface="Liberation Sans"/>
        </a:defRPr>
      </a:pPr>
      <a:endParaRPr lang="ru-RU"/>
    </a:p>
  </c:txPr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ea typeface="PT Astra Serif"/>
                <a:cs typeface="Liberation Sans"/>
              </a:rPr>
              <a:t>Численность обучающихся </a:t>
            </a:r>
            <a:br>
              <a:rPr lang="ru-RU" sz="1200">
                <a:latin typeface="Liberation Sans"/>
                <a:ea typeface="PT Astra Serif"/>
                <a:cs typeface="Liberation Sans"/>
              </a:rPr>
            </a:br>
            <a:r>
              <a:rPr lang="ru-RU" sz="1200">
                <a:latin typeface="Liberation Sans"/>
                <a:ea typeface="PT Astra Serif"/>
                <a:cs typeface="Liberation Sans"/>
              </a:rPr>
              <a:t>в общеобразовательных организациях</a:t>
            </a:r>
            <a:br>
              <a:rPr lang="ru-RU" sz="1200">
                <a:latin typeface="Liberation Sans"/>
                <a:ea typeface="PT Astra Serif"/>
                <a:cs typeface="Liberation Sans"/>
              </a:rPr>
            </a:br>
            <a:r>
              <a:rPr lang="ru-RU" sz="1200">
                <a:latin typeface="Liberation Sans"/>
                <a:ea typeface="PT Astra Serif"/>
                <a:cs typeface="Liberation Sans"/>
              </a:rPr>
              <a:t> на начало учебного года, человек</a:t>
            </a:r>
            <a:endParaRPr lang="ru-RU" sz="1200"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9592000000000001"/>
          <c:y val="-0.0034399999999999999"/>
        </c:manualLayout>
      </c:layout>
      <c:overlay val="0"/>
      <c:txPr>
        <a:bodyPr/>
        <a:p>
          <a:pPr>
            <a:defRPr sz="2000"/>
          </a:pPr>
          <a:endParaRPr/>
        </a:p>
      </c:txPr>
    </c:title>
    <c:autoTitleDeleted val="0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268000000000001"/>
          <c:y val="0.32616000000000001"/>
          <c:w val="0.76324000000000003"/>
          <c:h val="0.4015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Муниципальные</c:v>
                </c:pt>
              </c:strCache>
            </c:strRef>
          </c:tx>
          <c:spPr bwMode="auto">
            <a:prstGeom prst="rect">
              <a:avLst/>
            </a:prstGeom>
            <a:solidFill>
              <a:srgbClr val="95B3D7"/>
            </a:solidFill>
          </c:spPr>
          <c:invertIfNegative val="1"/>
          <c:dLbls>
            <c:dLbl>
              <c:idx val="0"/>
              <c:layout>
                <c:manualLayout>
                  <c:x val="0.0025200000000000001"/>
                  <c:y val="-0.01812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layout>
                <c:manualLayout>
                  <c:x val="-0.00066"/>
                  <c:y val="-0.01812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layout>
                <c:manualLayout>
                  <c:x val="0.00316"/>
                  <c:y val="-0.01584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3"/>
              <c:layout>
                <c:manualLayout>
                  <c:x val="0.017840000000000002"/>
                  <c:y val="-0.02773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layout>
                <c:manualLayout>
                  <c:x val="0.022939999999999999"/>
                  <c:y val="-0.031690000000000003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</c:dLbl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>2021/2022</c:v>
                </c:pt>
                <c:pt idx="1">
                  <c:v>2022/2023</c:v>
                </c:pt>
                <c:pt idx="2">
                  <c:v>2023/2024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0">
                  <c:v>16157</c:v>
                </c:pt>
                <c:pt idx="1" formatCode="0">
                  <c:v>16836</c:v>
                </c:pt>
                <c:pt idx="2" formatCode="General">
                  <c:v>17259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Негосударственные</c:v>
                </c:pt>
              </c:strCache>
            </c:strRef>
          </c:tx>
          <c:spPr bwMode="auto">
            <a:prstGeom prst="rect">
              <a:avLst/>
            </a:prstGeom>
            <a:solidFill>
              <a:srgbClr val="0070C0"/>
            </a:solidFill>
          </c:spPr>
          <c:invertIfNegative val="1"/>
          <c:dLbls>
            <c:dLbl>
              <c:idx val="0"/>
              <c:layout>
                <c:manualLayout>
                  <c:x val="-0.0076800000000000002"/>
                  <c:y val="-0.03792000000000000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layout>
                <c:manualLayout>
                  <c:x val="-0.0076800000000000002"/>
                  <c:y val="-0.03565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layout>
                <c:manualLayout>
                  <c:x val="-0.01342"/>
                  <c:y val="-0.031690000000000003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3"/>
              <c:layout>
                <c:manualLayout>
                  <c:x val="0.01274"/>
                  <c:y val="-0.03565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layout>
                <c:manualLayout>
                  <c:x val="0.017840000000000002"/>
                  <c:y val="-0.01980000000000000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</c:dLbl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>2021/2022</c:v>
                </c:pt>
                <c:pt idx="1">
                  <c:v>2022/2023</c:v>
                </c:pt>
                <c:pt idx="2">
                  <c:v>2023/2024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221</c:v>
                </c:pt>
                <c:pt idx="1">
                  <c:v>230</c:v>
                </c:pt>
                <c:pt idx="2">
                  <c:v>240</c:v>
                </c:pt>
              </c:numCache>
            </c:numRef>
          </c:val>
        </c:ser>
        <c:dLbls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45"/>
        <c:gapDepth val="95"/>
        <c:shape val="box"/>
        <c:axId val="2140842424"/>
        <c:axId val="2140842425"/>
      </c:bar3DChart>
      <c:catAx>
        <c:axId val="21408424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100" b="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2140842425"/>
        <c:crosses val="autoZero"/>
        <c:auto val="1"/>
        <c:lblAlgn val="ctr"/>
        <c:lblOffset val="100"/>
        <c:tickMarkSkip val="1"/>
        <c:noMultiLvlLbl val="0"/>
      </c:catAx>
      <c:valAx>
        <c:axId val="2140842425"/>
        <c:scaling>
          <c:orientation val="minMax"/>
          <c:min val="0"/>
        </c:scaling>
        <c:delete val="1"/>
        <c:axPos val="l"/>
        <c:numFmt formatCode="0" sourceLinked="1"/>
        <c:majorTickMark val="out"/>
        <c:minorTickMark val="none"/>
        <c:tickLblPos val="none"/>
        <c:crossAx val="2140842424"/>
        <c:crosses val="autoZero"/>
        <c:crossBetween val="between"/>
        <c:majorUnit val="5000"/>
      </c:valAx>
    </c:plotArea>
    <c:legend>
      <c:legendPos val="b"/>
      <c:layout>
        <c:manualLayout>
          <c:xMode val="edge"/>
          <c:yMode val="edge"/>
          <c:x val="0.092689999999999995"/>
          <c:y val="0.88732999999999995"/>
          <c:w val="0.83365"/>
          <c:h val="0.07571"/>
        </c:manualLayout>
      </c:layout>
      <c:overlay val="0"/>
      <c:txPr>
        <a:bodyPr/>
        <a:lstStyle/>
        <a:p>
          <a:pPr>
            <a:defRPr sz="1200">
              <a:latin typeface="Liberation Sans"/>
              <a:ea typeface="PT Astra Serif"/>
            </a:defRPr>
          </a:pPr>
          <a:endParaRPr lang="ru-RU"/>
        </a:p>
      </c:txPr>
    </c:legend>
    <c:plotVisOnly val="1"/>
    <c:dispBlanksAs val="gap"/>
    <c:showDLblsOverMax val="0"/>
  </c:chart>
  <c:spPr bwMode="auto">
    <a:xfrm>
      <a:off x="0" y="0"/>
      <a:ext cx="4867272" cy="2190747"/>
    </a:xfrm>
    <a:prstGeom prst="rect">
      <a:avLst/>
    </a:prstGeom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r>
              <a:rPr lang="ru-RU" sz="1200" b="1" i="0">
                <a:latin typeface="Liberation Sans"/>
                <a:cs typeface="Liberation Sans"/>
              </a:rPr>
              <a:t>Объем строительных работ</a:t>
            </a:r>
            <a:r>
              <a:rPr lang="ru-RU" sz="1200" b="1" i="0">
                <a:latin typeface="Liberation Sans"/>
                <a:ea typeface="PT Astra Serif"/>
                <a:cs typeface="Liberation Sans"/>
              </a:rPr>
              <a:t>,</a:t>
            </a:r>
            <a:r>
              <a:rPr lang="ru-RU" sz="1200" b="1" i="0">
                <a:latin typeface="Liberation Sans"/>
                <a:ea typeface="PT Astra Serif"/>
                <a:cs typeface="Liberation Sans"/>
              </a:rPr>
              <a:t> млн руб.</a:t>
            </a:r>
            <a:endParaRPr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22187000000000001"/>
          <c:y val="0.038190000000000002"/>
        </c:manualLayout>
      </c:layout>
      <c:overlay val="0"/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title>
    <c:plotArea>
      <c:layout>
        <c:manualLayout>
          <c:layoutTarget val="inner"/>
          <c:xMode val="edge"/>
          <c:yMode val="edge"/>
          <c:x val="0.10223"/>
          <c:y val="0.35866999999999999"/>
          <c:w val="0.82149000000000005"/>
          <c:h val="0.381130000000000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Выполненный объем работ по виду экономической деятельности «строительство»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60000"/>
                <a:lumOff val="40000"/>
              </a:schemeClr>
            </a:solidFill>
          </c:spPr>
          <c:dLbls>
            <c:dLbl>
              <c:idx val="0"/>
              <c:dLblPos val="outEnd"/>
              <c:layout>
                <c:manualLayout>
                  <c:x val="-0.00115"/>
                  <c:y val="-0.0007900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2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dLblPos val="outEnd"/>
              <c:layout>
                <c:manualLayout>
                  <c:x val="-0.00060999999999999997"/>
                  <c:y val="-0.0069699999999999996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2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dLblPos val="outEnd"/>
              <c:layout>
                <c:manualLayout>
                  <c:x val="0.00232"/>
                  <c:y val="0.0005699999999999999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2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3"/>
              <c:dLblPos val="outEnd"/>
              <c:layout>
                <c:manualLayout>
                  <c:x val="0"/>
                  <c:y val="0.01503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dLblPos val="outEnd"/>
              <c:layout>
                <c:manualLayout>
                  <c:x val="0"/>
                  <c:y val="-0.00296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2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2021 год 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38510.8</c:v>
                </c:pt>
                <c:pt idx="1">
                  <c:v>32351.2</c:v>
                </c:pt>
                <c:pt idx="2">
                  <c:v>57266.7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50"/>
        <c:axId val="2140842114"/>
        <c:axId val="2140842115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 xml:space="preserve">Темп роста к прошлому году,  %</c:v>
                </c:pt>
              </c:strCache>
            </c:strRef>
          </c:tx>
          <c:spPr bwMode="auto">
            <a:prstGeom prst="rect">
              <a:avLst/>
            </a:prstGeom>
            <a:ln>
              <a:solidFill>
                <a:schemeClr val="accent1"/>
              </a:solidFill>
            </a:ln>
          </c:spPr>
          <c:marker>
            <c:symbol val="circle"/>
            <c:size val="7"/>
            <c:spPr bwMode="auto">
              <a:prstGeom prst="rect">
                <a:avLst/>
              </a:prstGeom>
              <a:solidFill>
                <a:schemeClr val="tx2">
                  <a:lumMod val="75000"/>
                </a:schemeClr>
              </a:solidFill>
              <a:ln/>
            </c:spPr>
          </c:marker>
          <c:dLbls>
            <c:dLbl>
              <c:idx val="2"/>
              <c:dLblPos val="r"/>
              <c:layout>
                <c:manualLayout>
                  <c:x val="-0.062570000000000001"/>
                  <c:y val="-0.049680000000000002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Pos val="t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1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2021 год 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196.2743808897655</c:v>
                </c:pt>
                <c:pt idx="1">
                  <c:v>84.00552572265441</c:v>
                </c:pt>
                <c:pt idx="2">
                  <c:v>177</c:v>
                </c:pt>
              </c:numCache>
            </c:numRef>
          </c:val>
          <c:smooth val="0"/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marker val="1"/>
        <c:smooth val="0"/>
        <c:axId val="2140842117"/>
        <c:axId val="2140842116"/>
      </c:lineChart>
      <c:catAx>
        <c:axId val="214084211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2140842115"/>
        <c:crosses val="autoZero"/>
        <c:auto val="1"/>
        <c:lblAlgn val="ctr"/>
        <c:lblOffset val="100"/>
        <c:noMultiLvlLbl val="0"/>
      </c:catAx>
      <c:valAx>
        <c:axId val="2140842115"/>
        <c:scaling>
          <c:orientation val="minMax"/>
          <c:min val="0"/>
        </c:scaling>
        <c:delete val="0"/>
        <c:axPos val="l"/>
        <c:numFmt formatCode="#,##0.0" sourceLinked="1"/>
        <c:majorTickMark val="out"/>
        <c:minorTickMark val="none"/>
        <c:tickLblPos val="none"/>
        <c:crossAx val="2140842114"/>
        <c:crosses val="autoZero"/>
        <c:crossBetween val="between"/>
      </c:valAx>
      <c:valAx>
        <c:axId val="2140842116"/>
        <c:scaling>
          <c:orientation val="minMax"/>
          <c:max val="200"/>
          <c:min val="-1000"/>
        </c:scaling>
        <c:delete val="0"/>
        <c:axPos val="r"/>
        <c:numFmt formatCode="0.0" sourceLinked="1"/>
        <c:majorTickMark val="out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</c:spPr>
        <c:txPr>
          <a:bodyPr/>
          <a:lstStyle/>
          <a:p>
            <a:pPr>
              <a:defRPr>
                <a:solidFill>
                  <a:schemeClr val="bg1"/>
                </a:solidFill>
              </a:defRPr>
            </a:pPr>
            <a:endParaRPr lang="ru-RU"/>
          </a:p>
        </c:txPr>
        <c:crossAx val="2140842117"/>
        <c:crosses val="max"/>
        <c:crossBetween val="between"/>
        <c:majorUnit val="100"/>
        <c:minorUnit val="100"/>
      </c:valAx>
      <c:catAx>
        <c:axId val="2140842117"/>
        <c:scaling>
          <c:orientation val="minMax"/>
        </c:scaling>
        <c:delete val="0"/>
        <c:axPos val="t"/>
        <c:majorTickMark val="none"/>
        <c:minorTickMark val="none"/>
        <c:tickLblPos val="none"/>
        <c:spPr bwMode="auto">
          <a:prstGeom prst="rect">
            <a:avLst/>
          </a:prstGeom>
          <a:ln>
            <a:noFill/>
            <a:round/>
          </a:ln>
        </c:spPr>
        <c:crossAx val="2140842116"/>
        <c:crosses val="max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0.0053800000000000002"/>
          <c:y val="0.85560999999999998"/>
          <c:w val="0.96370999999999996"/>
          <c:h val="0.14374000000000001"/>
        </c:manualLayout>
      </c:layout>
      <c:overlay val="0"/>
      <c:txPr>
        <a:bodyPr/>
        <a:lstStyle/>
        <a:p>
          <a:pPr>
            <a:defRPr sz="1000">
              <a:latin typeface="Liberation Sans"/>
              <a:ea typeface="Liberation Sans"/>
              <a:cs typeface="Liberation Sans"/>
            </a:defRPr>
          </a:pPr>
          <a:endParaRPr lang="ru-RU"/>
        </a:p>
      </c:txPr>
    </c:legend>
    <c:plotVisOnly val="1"/>
    <c:dispBlanksAs val="gap"/>
    <c:showDLblsOverMax val="0"/>
  </c:chart>
  <c:spPr bwMode="auto">
    <a:xfrm>
      <a:off x="0" y="0"/>
      <a:ext cx="5472308" cy="2743366"/>
    </a:xfrm>
    <a:prstGeom prst="rect">
      <a:avLst/>
    </a:prstGeom>
    <a:ln>
      <a:noFill/>
    </a:ln>
  </c:spPr>
  <c:txPr>
    <a:bodyPr/>
    <a:lstStyle/>
    <a:p>
      <a:pPr>
        <a:defRPr>
          <a:latin typeface="PT Astra Serif"/>
          <a:ea typeface="PT Astra Serif"/>
        </a:defRPr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 sz="1800" b="1" i="0" u="none" strike="noStrike">
                <a:solidFill>
                  <a:sysClr val="windowText" lastClr="000000"/>
                </a:solidFill>
                <a:latin typeface="Liberation Serif"/>
                <a:ea typeface="+mn-ea"/>
                <a:cs typeface="+mn-cs"/>
              </a:defRPr>
            </a:pPr>
            <a:r>
              <a:rPr lang="ru-RU" sz="1200" b="1">
                <a:latin typeface="Liberation Sans"/>
                <a:ea typeface="PT Astra Serif"/>
              </a:rPr>
              <a:t>Доля обучающихся во вторую смену </a:t>
            </a:r>
            <a:endParaRPr lang="ru-RU" sz="1200">
              <a:latin typeface="Liberation Sans"/>
            </a:endParaRPr>
          </a:p>
          <a:p>
            <a:pPr marL="0" marR="0" indent="0" algn="ctr" defTabSz="91440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 sz="1800" b="1" i="0" u="none" strike="noStrike">
                <a:solidFill>
                  <a:sysClr val="windowText" lastClr="000000"/>
                </a:solidFill>
                <a:latin typeface="Liberation Serif"/>
                <a:ea typeface="+mn-ea"/>
                <a:cs typeface="+mn-cs"/>
              </a:defRPr>
            </a:pPr>
            <a:r>
              <a:rPr lang="ru-RU" sz="1200" b="1">
                <a:latin typeface="Liberation Sans"/>
                <a:ea typeface="PT Astra Serif"/>
              </a:rPr>
              <a:t>от численности обучающихся в муниципальных общеобразовательных организациях, %</a:t>
            </a:r>
            <a:endParaRPr lang="ru-RU" sz="1200">
              <a:latin typeface="Liberation Sans"/>
              <a:ea typeface="PT Astra Serif"/>
            </a:endParaRPr>
          </a:p>
        </c:rich>
      </c:tx>
      <c:layout>
        <c:manualLayout>
          <c:xMode val="edge"/>
          <c:yMode val="edge"/>
          <c:x val="0.15021999999999999"/>
          <c:y val="0.0059100000000000003"/>
        </c:manualLayout>
      </c:layout>
      <c:overlay val="0"/>
      <c:spPr bwMode="auto">
        <a:prstGeom prst="rect">
          <a:avLst/>
        </a:prstGeom>
        <a:noFill/>
      </c:spPr>
      <c:txPr>
        <a:bodyPr/>
        <a:p>
          <a:pPr>
            <a:defRPr sz="2000"/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10362"/>
          <c:y val="0.3261"/>
          <c:w val="0.82081000000000004"/>
          <c:h val="0.532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1"/>
          <c:dLbls>
            <c:dLbl>
              <c:idx val="0"/>
              <c:layout>
                <c:manualLayout>
                  <c:x val="-0.00215"/>
                  <c:y val="-0.003599999999999999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200" b="1">
                      <a:latin typeface="Liberation Sans"/>
                      <a:ea typeface="PT Astra Serif"/>
                    </a:defRPr>
                  </a:pPr>
                  <a:endParaRPr lang="ru-RU"/>
                </a:p>
              </c:txPr>
            </c:dLbl>
            <c:dLbl>
              <c:idx val="1"/>
              <c:layout>
                <c:manualLayout>
                  <c:x val="0.0032299999999999998"/>
                  <c:y val="-0.0107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200" b="1">
                      <a:latin typeface="Liberation Sans"/>
                      <a:ea typeface="PT Astra Serif"/>
                    </a:defRPr>
                  </a:pPr>
                  <a:endParaRPr lang="ru-RU"/>
                </a:p>
              </c:txPr>
            </c:dLbl>
            <c:dLbl>
              <c:idx val="2"/>
              <c:layout>
                <c:manualLayout>
                  <c:x val="0.00020000000000000001"/>
                  <c:y val="0.00173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200" b="1">
                      <a:latin typeface="Liberation Sans"/>
                      <a:ea typeface="PT Astra Serif"/>
                    </a:defRPr>
                  </a:pPr>
                  <a:endParaRPr lang="ru-RU"/>
                </a:p>
              </c:txPr>
            </c:dLbl>
            <c:dLbl>
              <c:idx val="3"/>
              <c:layout>
                <c:manualLayout>
                  <c:x val="0.011560000000000001"/>
                  <c:y val="-0.01964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layout>
                <c:manualLayout>
                  <c:x val="0.0092499999999999995"/>
                  <c:y val="-0.01964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Liberation Sans"/>
                    <a:ea typeface="PT Astra Serif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>2021/2022</c:v>
                </c:pt>
                <c:pt idx="1">
                  <c:v>2022/2023</c:v>
                </c:pt>
                <c:pt idx="2">
                  <c:v>2023/2024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0.0">
                  <c:v>35.300000000000004</c:v>
                </c:pt>
                <c:pt idx="1">
                  <c:v>29.6</c:v>
                </c:pt>
                <c:pt idx="2">
                  <c:v>29.8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50"/>
        <c:axId val="359622785"/>
        <c:axId val="359622786"/>
      </c:barChart>
      <c:catAx>
        <c:axId val="359622785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359622786"/>
        <c:crosses val="autoZero"/>
        <c:auto val="1"/>
        <c:lblAlgn val="ctr"/>
        <c:lblOffset val="100"/>
        <c:noMultiLvlLbl val="0"/>
      </c:catAx>
      <c:valAx>
        <c:axId val="359622786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one"/>
        <c:crossAx val="359622785"/>
        <c:crosses val="autoZero"/>
        <c:crossBetween val="between"/>
      </c:valAx>
    </c:plotArea>
    <c:plotVisOnly val="1"/>
    <c:dispBlanksAs val="gap"/>
    <c:showDLblsOverMax val="0"/>
  </c:chart>
  <c:spPr bwMode="auto">
    <a:xfrm>
      <a:off x="0" y="0"/>
      <a:ext cx="0" cy="0"/>
    </a:xfrm>
    <a:prstGeom prst="rect">
      <a:avLst/>
    </a:prstGeom>
    <a:noFill/>
    <a:ln>
      <a:noFill/>
      <a:miter/>
    </a:ln>
  </c:sp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1">
                <a:latin typeface="Liberation Sans"/>
                <a:cs typeface="Liberation Sans"/>
              </a:rPr>
              <a:t>Средний балл ЕГЭ</a:t>
            </a:r>
            <a:endParaRPr lang="ru-RU" sz="2200"/>
          </a:p>
        </c:rich>
      </c:tx>
      <c:layout/>
      <c:overlay val="0"/>
      <c:spPr bwMode="auto">
        <a:prstGeom prst="rect">
          <a:avLst/>
        </a:prstGeom>
        <a:noFill/>
        <a:ln>
          <a:noFill/>
          <a:round/>
        </a:ln>
      </c:spPr>
      <c:txPr>
        <a:bodyPr/>
        <a:p>
          <a:pPr>
            <a:defRPr sz="2000"/>
          </a:pPr>
          <a:endParaRPr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  <a:ln>
              <a:noFill/>
              <a:bevel/>
            </a:ln>
          </c:spPr>
          <c:invertIfNegative val="0"/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  <a:miter/>
              </a:ln>
            </c:spPr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Sheet1!$A$2:$A$4</c:f>
              <c:strCache>
                <c:ptCount val="3"/>
                <c:pt idx="0">
                  <c:v>2022/2023</c:v>
                </c:pt>
                <c:pt idx="1">
                  <c:v>2021/2022</c:v>
                </c:pt>
                <c:pt idx="2">
                  <c:v>2020/2021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 formatCode="0.0">
                  <c:v>63</c:v>
                </c:pt>
                <c:pt idx="1" formatCode="General">
                  <c:v>62.6</c:v>
                </c:pt>
                <c:pt idx="2" formatCode="General">
                  <c:v>62.1</c:v>
                </c:pt>
              </c:numCache>
            </c:numRef>
          </c:val>
        </c:ser>
        <c:dLbls>
          <c:dLblPos val="outEnd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150"/>
        <c:overlap val="-23"/>
        <c:axId val="359622787"/>
        <c:axId val="359622788"/>
      </c:barChart>
      <c:catAx>
        <c:axId val="3596227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</c:spPr>
        <c:txPr>
          <a:bodyPr/>
          <a:lstStyle/>
          <a:p>
            <a:pPr>
              <a:defRPr sz="1200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359622788"/>
        <c:crosses val="autoZero"/>
        <c:auto val="1"/>
        <c:lblAlgn val="ctr"/>
        <c:lblOffset val="100"/>
        <c:tickMarkSkip val="1"/>
        <c:noMultiLvlLbl val="0"/>
      </c:catAx>
      <c:valAx>
        <c:axId val="3596227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59622787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plotVisOnly val="1"/>
    <c:dispBlanksAs val="gap"/>
    <c:showDLblsOverMax val="0"/>
  </c:chart>
  <c:spPr bwMode="auto">
    <a:xfrm>
      <a:off x="0" y="0"/>
      <a:ext cx="4959684" cy="1855920"/>
    </a:xfrm>
    <a:prstGeom prst="rect">
      <a:avLst/>
    </a:prstGeom>
    <a:solidFill>
      <a:schemeClr val="bg1"/>
    </a:solidFill>
    <a:ln w="9525" cap="flat" cmpd="sng" algn="ctr">
      <a:noFill/>
      <a:round/>
    </a:ln>
  </c:spPr>
  <c:txPr>
    <a:bodyPr/>
    <a:lstStyle/>
    <a:p>
      <a:pPr>
        <a:defRPr sz="1000">
          <a:solidFill>
            <a:schemeClr val="tx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 algn="ctr">
              <a:defRPr sz="1200">
                <a:solidFill>
                  <a:schemeClr val="tx1"/>
                </a:solidFill>
              </a:defRPr>
            </a:pPr>
            <a:r>
              <a:rPr lang="ru-RU" sz="1200">
                <a:latin typeface="Liberation Sans"/>
                <a:cs typeface="Liberation Sans"/>
              </a:rPr>
              <a:t>Численность детей, посещающих дошкольные образовательные организации, человек</a:t>
            </a:r>
            <a:r>
              <a:rPr lang="ru-RU" sz="1100" b="1">
                <a:solidFill>
                  <a:schemeClr val="tx1"/>
                </a:solidFill>
                <a:highlight>
                  <a:srgbClr val="D3D3D3"/>
                </a:highlight>
                <a:latin typeface="Liberation Sans"/>
                <a:cs typeface="Liberation Sans"/>
              </a:rPr>
              <a:t> </a:t>
            </a:r>
            <a:r>
              <a:rPr lang="ru-RU" sz="1100" b="1">
                <a:solidFill>
                  <a:schemeClr val="tx1"/>
                </a:solidFill>
                <a:latin typeface="Liberation Sans"/>
                <a:cs typeface="Liberation Sans"/>
              </a:rPr>
              <a:t> </a:t>
            </a:r>
            <a:endParaRPr lang="ru-RU">
              <a:solidFill>
                <a:schemeClr val="tx1"/>
              </a:solidFill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4161000000000001"/>
          <c:y val="0.0063200000000000001"/>
        </c:manualLayout>
      </c:layout>
      <c:overlay val="0"/>
      <c:spPr bwMode="auto">
        <a:prstGeom prst="rect">
          <a:avLst/>
        </a:prstGeom>
        <a:noFill/>
      </c:spPr>
    </c:title>
    <c:autoTitleDeleted val="0"/>
    <c:plotArea>
      <c:layout>
        <c:manualLayout>
          <c:layoutTarget val="inner"/>
          <c:xMode val="edge"/>
          <c:yMode val="edge"/>
          <c:x val="0.032500000000000001"/>
          <c:y val="0.40666999999999998"/>
          <c:w val="0.77554000000000001"/>
          <c:h val="0.415920000000000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2021 год</c:v>
                </c:pt>
              </c:strCache>
            </c:strRef>
          </c:tx>
          <c:invertIfNegative val="1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  <a:miter/>
              </a:ln>
              <a:effectLst/>
            </c:spPr>
            <c:txPr>
              <a:bodyPr/>
              <a:lstStyle/>
              <a:p>
                <a:pPr>
                  <a:defRPr sz="12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>Муниципальные*</c:v>
                </c:pt>
                <c:pt idx="1">
                  <c:v xml:space="preserve">Ведомственные и частные **</c:v>
                </c:pt>
              </c:strCache>
            </c:strRef>
          </c:cat>
          <c:val>
            <c:numRef>
              <c:f>Лист1!$B$2:$B$3</c:f>
              <c:numCache>
                <c:formatCode>0</c:formatCode>
                <c:ptCount val="2"/>
                <c:pt idx="0">
                  <c:v>8345</c:v>
                </c:pt>
                <c:pt idx="1">
                  <c:v>1331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 xml:space="preserve">2022 год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40000"/>
                <a:lumOff val="60000"/>
              </a:schemeClr>
            </a:solidFill>
          </c:spPr>
          <c:invertIfNegative val="1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>Муниципальные*</c:v>
                </c:pt>
                <c:pt idx="1">
                  <c:v xml:space="preserve">Ведомственные и частные **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7682</c:v>
                </c:pt>
                <c:pt idx="1">
                  <c:v>1204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 xml:space="preserve">2023 год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50196"/>
              </a:schemeClr>
            </a:solidFill>
          </c:spPr>
          <c:invertIfNegative val="1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Лист1!$A$2:$A$3</c:f>
              <c:strCache>
                <c:ptCount val="2"/>
                <c:pt idx="0">
                  <c:v>Муниципальные*</c:v>
                </c:pt>
                <c:pt idx="1">
                  <c:v xml:space="preserve">Ведомственные и частные **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7530</c:v>
                </c:pt>
                <c:pt idx="1">
                  <c:v>1056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00"/>
        <c:overlap val="-15"/>
        <c:axId val="359622789"/>
        <c:axId val="359622790"/>
      </c:barChart>
      <c:catAx>
        <c:axId val="35962278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110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359622790"/>
        <c:crosses val="autoZero"/>
        <c:auto val="1"/>
        <c:lblAlgn val="ctr"/>
        <c:lblOffset val="100"/>
        <c:noMultiLvlLbl val="0"/>
      </c:catAx>
      <c:valAx>
        <c:axId val="35962279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one"/>
        <c:crossAx val="359622789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853000000000005"/>
          <c:y val="0.23718"/>
          <c:w val="0.20526"/>
          <c:h val="0.42946000000000001"/>
        </c:manualLayout>
      </c:layout>
      <c:overlay val="0"/>
      <c:txPr>
        <a:bodyPr rot="0" vert="horz"/>
        <a:lstStyle/>
        <a:p>
          <a:pPr>
            <a:defRPr sz="1100">
              <a:latin typeface="Liberation Sans"/>
              <a:ea typeface="Liberation Sans"/>
              <a:cs typeface="Liberation Sans"/>
            </a:defRPr>
          </a:pPr>
          <a:endParaRPr lang="ru-RU"/>
        </a:p>
      </c:txPr>
    </c:legend>
    <c:plotVisOnly val="1"/>
    <c:dispBlanksAs val="gap"/>
    <c:showDLblsOverMax val="0"/>
  </c:chart>
  <c:spPr bwMode="auto">
    <a:xfrm>
      <a:off x="0" y="0"/>
      <a:ext cx="5123200" cy="1944096"/>
    </a:xfrm>
    <a:prstGeom prst="rect">
      <a:avLst/>
    </a:prstGeom>
    <a:ln w="57150" cap="flat" cmpd="sng" algn="ctr">
      <a:solidFill>
        <a:schemeClr val="bg1"/>
      </a:solidFill>
      <a:prstDash val="solid"/>
      <a:round/>
    </a:ln>
  </c:spPr>
  <c:txPr>
    <a:bodyPr/>
    <a:lstStyle/>
    <a:p>
      <a:pPr>
        <a:defRPr>
          <a:latin typeface="Liberation Serif"/>
          <a:ea typeface="PT Astra Serif"/>
        </a:defRPr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>
                <a:latin typeface="Liberation Sans"/>
                <a:cs typeface="Liberation Sans"/>
              </a:rPr>
              <a:t>Численность детей в возрасте до 3 лет, состоящих </a:t>
            </a:r>
            <a:br>
              <a:rPr lang="ru-RU" sz="1200">
                <a:latin typeface="Liberation Sans"/>
                <a:cs typeface="Liberation Sans"/>
              </a:rPr>
            </a:br>
            <a:r>
              <a:rPr lang="ru-RU" sz="1200">
                <a:latin typeface="Liberation Sans"/>
                <a:cs typeface="Liberation Sans"/>
              </a:rPr>
              <a:t>на учете для получения места в дошкольных образовательных организациях, человек</a:t>
            </a:r>
            <a:r>
              <a:rPr lang="ru-RU" sz="1200">
                <a:highlight>
                  <a:srgbClr val="D3D3D3"/>
                </a:highlight>
                <a:latin typeface="Liberation Sans"/>
                <a:cs typeface="Liberation Sans"/>
              </a:rPr>
              <a:t>  </a:t>
            </a:r>
            <a:endParaRPr lang="ru-RU"/>
          </a:p>
        </c:rich>
      </c:tx>
      <c:layout>
        <c:manualLayout>
          <c:xMode val="edge"/>
          <c:yMode val="edge"/>
          <c:x val="0.11959"/>
          <c:y val="0"/>
        </c:manualLayout>
      </c:layout>
      <c:overlay val="0"/>
      <c:spPr bwMode="auto">
        <a:prstGeom prst="rect">
          <a:avLst/>
        </a:prstGeom>
        <a:noFill/>
        <a:ln>
          <a:noFill/>
          <a:round/>
        </a:ln>
      </c:spPr>
    </c:title>
    <c:autoTitleDeleted val="0"/>
    <c:plotArea>
      <c:layout>
        <c:manualLayout>
          <c:layoutTarget val="inner"/>
          <c:xMode val="edge"/>
          <c:yMode val="edge"/>
          <c:x val="0.17448"/>
          <c:y val="0.46506999999999998"/>
          <c:w val="0.67398999999999998"/>
          <c:h val="0.319139999999999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Ряд 1</c:v>
                </c:pt>
              </c:strCache>
            </c:strRef>
          </c:tx>
          <c:invertIfNegative val="1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 </c:v>
                </c:pt>
                <c:pt idx="2">
                  <c:v xml:space="preserve">2023 год </c:v>
                </c:pt>
              </c:strCache>
            </c:strRef>
          </c:cat>
          <c:val>
            <c:numRef>
              <c:f>Лист1!$B$2:$B$4</c:f>
              <c:numCache>
                <c:formatCode>0</c:formatCode>
                <c:ptCount val="3"/>
                <c:pt idx="0">
                  <c:v>1760</c:v>
                </c:pt>
                <c:pt idx="1">
                  <c:v>1894</c:v>
                </c:pt>
                <c:pt idx="2" formatCode="General">
                  <c:v>1934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50"/>
        <c:axId val="359622791"/>
        <c:axId val="359622792"/>
      </c:barChart>
      <c:catAx>
        <c:axId val="359622791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 bwMode="auto">
          <a:prstGeom prst="rect">
            <a:avLst/>
          </a:prstGeom>
          <a:noFill/>
        </c:spPr>
        <c:txPr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359622792"/>
        <c:crosses val="autoZero"/>
        <c:auto val="1"/>
        <c:lblAlgn val="ctr"/>
        <c:lblOffset val="100"/>
        <c:noMultiLvlLbl val="0"/>
      </c:catAx>
      <c:valAx>
        <c:axId val="359622792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one"/>
        <c:crossAx val="359622791"/>
        <c:crosses val="autoZero"/>
        <c:crossBetween val="between"/>
      </c:valAx>
    </c:plotArea>
    <c:plotVisOnly val="1"/>
    <c:dispBlanksAs val="gap"/>
    <c:showDLblsOverMax val="0"/>
  </c:chart>
  <c:spPr bwMode="auto">
    <a:xfrm>
      <a:off x="0" y="0"/>
      <a:ext cx="5352759" cy="1474954"/>
    </a:xfrm>
    <a:prstGeom prst="rect">
      <a:avLst/>
    </a:prstGeom>
    <a:noFill/>
    <a:ln>
      <a:noFill/>
    </a:ln>
  </c:spPr>
  <c:txPr>
    <a:bodyPr/>
    <a:lstStyle/>
    <a:p>
      <a:pPr>
        <a:defRPr>
          <a:latin typeface="Liberation Serif"/>
        </a:defRPr>
      </a:pPr>
      <a:endParaRPr lang="ru-RU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 b="1">
                <a:latin typeface="Liberation Sans"/>
              </a:rPr>
              <a:t>Численность участников и победителей фестивалей </a:t>
            </a:r>
            <a:br>
              <a:rPr lang="ru-RU" sz="1200" b="1">
                <a:latin typeface="Liberation Sans"/>
              </a:rPr>
            </a:br>
            <a:r>
              <a:rPr lang="ru-RU" sz="1200" b="1">
                <a:latin typeface="Liberation Sans"/>
              </a:rPr>
              <a:t>и конкурсов различных уровней, человек</a:t>
            </a:r>
            <a:endParaRPr b="1">
              <a:latin typeface="Liberation Sans"/>
            </a:endParaRPr>
          </a:p>
        </c:rich>
      </c:tx>
      <c:layout>
        <c:manualLayout>
          <c:xMode val="edge"/>
          <c:yMode val="edge"/>
          <c:x val="0.10579"/>
          <c:y val="0.0066499999999999997"/>
        </c:manualLayout>
      </c:layout>
      <c:overlay val="0"/>
    </c:title>
    <c:plotArea>
      <c:layout>
        <c:manualLayout>
          <c:layoutTarget val="inner"/>
          <c:xMode val="edge"/>
          <c:yMode val="edge"/>
          <c:x val="0.053359999999999998"/>
          <c:y val="0.29873"/>
          <c:w val="0.84304999999999997"/>
          <c:h val="0.416920000000000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>Участники</c:v>
                </c:pt>
              </c:strCache>
            </c:strRef>
          </c:tx>
          <c:spPr bwMode="auto">
            <a:prstGeom prst="rect">
              <a:avLst/>
            </a:prstGeom>
            <a:solidFill>
              <a:srgbClr val="2E75B6"/>
            </a:solidFill>
          </c:spPr>
          <c:invertIfNegative val="1"/>
          <c:dLbls>
            <c:dLblPos val="outEnd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  <a:miter/>
              </a:ln>
              <a:effectLst/>
            </c:spPr>
            <c:txPr>
              <a:bodyPr/>
              <a:lstStyle/>
              <a:p>
                <a:pPr>
                  <a:defRPr sz="11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'Лист1'!$A$4:$A$6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'Лист1'!$B$4:$B$6</c:f>
              <c:numCache>
                <c:formatCode>General</c:formatCode>
                <c:ptCount val="3"/>
                <c:pt idx="0" formatCode="0">
                  <c:v>1861</c:v>
                </c:pt>
                <c:pt idx="1">
                  <c:v>1979</c:v>
                </c:pt>
                <c:pt idx="2">
                  <c:v>2027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Победители</c:v>
                </c:pt>
              </c:strCache>
            </c:strRef>
          </c:tx>
          <c:spPr bwMode="auto">
            <a:prstGeom prst="rect">
              <a:avLst/>
            </a:prstGeom>
            <a:solidFill>
              <a:srgbClr val="BDD7EE"/>
            </a:solidFill>
          </c:spPr>
          <c:invertIfNegative val="1"/>
          <c:dLbls>
            <c:dLbl>
              <c:idx val="1"/>
              <c:layout>
                <c:manualLayout>
                  <c:x val="0.021850000000000001"/>
                  <c:y val="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layout>
                <c:manualLayout>
                  <c:x val="0.027320000000000001"/>
                  <c:y val="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3"/>
              <c:layout>
                <c:manualLayout>
                  <c:x val="0.03005"/>
                  <c:y val="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0"/>
              <c:dLblPos val="outEnd"/>
              <c:layout>
                <c:manualLayout>
                  <c:x val="0.01738"/>
                  <c:y val="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lstStyle/>
                <a:p>
                  <a:pPr>
                    <a:defRPr sz="11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'Лист1'!$A$4:$A$6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'Лист1'!$C$4:$C$6</c:f>
              <c:numCache>
                <c:formatCode>General</c:formatCode>
                <c:ptCount val="3"/>
                <c:pt idx="0" formatCode="0">
                  <c:v>1652</c:v>
                </c:pt>
                <c:pt idx="1">
                  <c:v>1710</c:v>
                </c:pt>
                <c:pt idx="2">
                  <c:v>1931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98"/>
        <c:overlap val="38"/>
        <c:axId val="1866169493"/>
        <c:axId val="1866169494"/>
      </c:barChart>
      <c:catAx>
        <c:axId val="1866169493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1866169494"/>
        <c:crosses val="autoZero"/>
        <c:auto val="1"/>
        <c:lblAlgn val="ctr"/>
        <c:lblOffset val="100"/>
        <c:noMultiLvlLbl val="0"/>
      </c:catAx>
      <c:valAx>
        <c:axId val="1866169494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one"/>
        <c:crossAx val="1866169493"/>
        <c:crosses val="autoZero"/>
        <c:crossBetween val="between"/>
      </c:valAx>
      <c:spPr bwMode="auto">
        <a:prstGeom prst="rect">
          <a:avLst/>
        </a:prstGeom>
        <a:noFill/>
        <a:ln w="25400">
          <a:noFill/>
        </a:ln>
      </c:spPr>
    </c:plotArea>
    <c:legend>
      <c:legendPos val="b"/>
      <c:layout/>
      <c:overlay val="0"/>
      <c:txPr>
        <a:bodyPr/>
        <a:lstStyle/>
        <a:p>
          <a:pPr>
            <a:defRPr sz="1200">
              <a:latin typeface="Liberation Sans"/>
            </a:defRPr>
          </a:pPr>
          <a:endParaRPr lang="ru-RU"/>
        </a:p>
      </c:txPr>
    </c:legend>
    <c:plotVisOnly val="1"/>
    <c:dispBlanksAs val="zero"/>
    <c:showDLblsOverMax val="0"/>
  </c:chart>
  <c:spPr bwMode="auto">
    <a:xfrm>
      <a:off x="0" y="0"/>
      <a:ext cx="5480239" cy="2349787"/>
    </a:xfrm>
    <a:prstGeom prst="rect">
      <a:avLst/>
    </a:prstGeom>
    <a:ln w="28575" cap="flat" cmpd="sng" algn="ctr">
      <a:solidFill>
        <a:schemeClr val="bg1"/>
      </a:solidFill>
      <a:prstDash val="solid"/>
    </a:ln>
  </c:spPr>
  <c:txPr>
    <a:bodyPr/>
    <a:lstStyle/>
    <a:p>
      <a:pPr>
        <a:defRPr>
          <a:ln>
            <a:noFill/>
          </a:ln>
          <a:latin typeface="Liberation Serif"/>
        </a:defRPr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200"/>
            </a:pPr>
            <a:r>
              <a:rPr lang="ru-RU" sz="1200"/>
              <a:t>Количество культурно-досуговых мероприятий         (с учетом киносеансов), ед.</a:t>
            </a:r>
            <a:endParaRPr sz="1200"/>
          </a:p>
          <a:p>
            <a:pPr algn="ctr">
              <a:defRPr sz="1200"/>
            </a:pPr>
            <a:endParaRPr sz="1200"/>
          </a:p>
        </c:rich>
      </c:tx>
      <c:layout>
        <c:manualLayout>
          <c:xMode val="edge"/>
          <c:yMode val="edge"/>
          <c:x val="0.13594000000000001"/>
          <c:y val="0.0038899999999999998"/>
        </c:manualLayout>
      </c:layout>
      <c:overlay val="0"/>
      <c:txPr>
        <a:bodyPr/>
        <a:p>
          <a:pPr>
            <a:defRPr sz="1200"/>
          </a:pPr>
          <a:endParaRPr/>
        </a:p>
      </c:txPr>
    </c:title>
    <c:plotArea>
      <c:layout>
        <c:manualLayout>
          <c:layoutTarget val="inner"/>
          <c:xMode val="edge"/>
          <c:yMode val="edge"/>
          <c:x val="0.00114"/>
          <c:y val="0.40586"/>
          <c:w val="0.99885000000000002"/>
          <c:h val="0.408889999999999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>Столбец1</c:v>
                </c:pt>
              </c:strCache>
            </c:strRef>
          </c:tx>
          <c:spPr bwMode="auto">
            <a:prstGeom prst="rect">
              <a:avLst/>
            </a:prstGeom>
            <a:solidFill>
              <a:srgbClr val="9DC3E6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1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  <a:bevel/>
              </a:ln>
              <a:effectLst/>
            </c:spPr>
            <c:txPr>
              <a:bodyPr/>
              <a:p>
                <a:pPr>
                  <a:defRPr b="1"/>
                </a:pPr>
                <a:endParaRPr/>
              </a:p>
            </c:txPr>
          </c:dLbls>
          <c:cat>
            <c:strRef>
              <c:f>'Лист1'!$A$4:$A$6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'Лист1'!$B$4:$B$6</c:f>
              <c:numCache>
                <c:formatCode>0</c:formatCode>
                <c:ptCount val="3"/>
                <c:pt idx="0">
                  <c:v>2664</c:v>
                </c:pt>
                <c:pt idx="1">
                  <c:v>2423</c:v>
                </c:pt>
                <c:pt idx="2" formatCode="General">
                  <c:v>2703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85"/>
        <c:overlap val="43"/>
        <c:axId val="1866169481"/>
        <c:axId val="1866169482"/>
      </c:barChart>
      <c:catAx>
        <c:axId val="186616948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866169482"/>
        <c:crosses val="autoZero"/>
        <c:auto val="1"/>
        <c:lblAlgn val="ctr"/>
        <c:lblOffset val="100"/>
        <c:noMultiLvlLbl val="0"/>
      </c:catAx>
      <c:valAx>
        <c:axId val="1866169482"/>
        <c:scaling>
          <c:orientation val="minMax"/>
          <c:min val="0"/>
        </c:scaling>
        <c:delete val="1"/>
        <c:axPos val="l"/>
        <c:numFmt formatCode="0" sourceLinked="1"/>
        <c:majorTickMark val="none"/>
        <c:minorTickMark val="none"/>
        <c:tickLblPos val="none"/>
        <c:crossAx val="1866169481"/>
        <c:crosses val="autoZero"/>
        <c:crossBetween val="between"/>
      </c:valAx>
    </c:plotArea>
    <c:plotVisOnly val="1"/>
    <c:dispBlanksAs val="zero"/>
    <c:showDLblsOverMax val="0"/>
  </c:chart>
  <c:spPr bwMode="auto">
    <a:xfrm>
      <a:off x="0" y="0"/>
      <a:ext cx="2789334" cy="2313987"/>
    </a:xfrm>
    <a:prstGeom prst="rect">
      <a:avLst/>
    </a:prstGeom>
    <a:ln>
      <a:noFill/>
    </a:ln>
  </c:spPr>
  <c:txPr>
    <a:bodyPr/>
    <a:lstStyle/>
    <a:p>
      <a:pPr>
        <a:defRPr>
          <a:latin typeface="Liberation Sans"/>
        </a:defRPr>
      </a:pPr>
      <a:endParaRPr lang="ru-RU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200"/>
            </a:pPr>
            <a:r>
              <a:rPr lang="ru-RU" sz="1200"/>
              <a:t>Численность посетителей культурно-досуговых мероприятий </a:t>
            </a:r>
            <a:endParaRPr sz="1200"/>
          </a:p>
          <a:p>
            <a:pPr algn="ctr">
              <a:defRPr sz="1200"/>
            </a:pPr>
            <a:r>
              <a:rPr lang="ru-RU" sz="1200"/>
              <a:t>(с учетом киносеансов), человек</a:t>
            </a:r>
            <a:endParaRPr sz="1200"/>
          </a:p>
          <a:p>
            <a:pPr algn="ctr">
              <a:defRPr sz="1200"/>
            </a:pPr>
            <a:endParaRPr sz="1200"/>
          </a:p>
        </c:rich>
      </c:tx>
      <c:layout>
        <c:manualLayout>
          <c:xMode val="edge"/>
          <c:yMode val="edge"/>
          <c:x val="0.15049999999999999"/>
          <c:y val="0"/>
        </c:manualLayout>
      </c:layout>
      <c:overlay val="0"/>
      <c:txPr>
        <a:bodyPr/>
        <a:p>
          <a:pPr>
            <a:defRPr sz="1200"/>
          </a:pPr>
          <a:endParaRPr/>
        </a:p>
      </c:txPr>
    </c:title>
    <c:plotArea>
      <c:layout>
        <c:manualLayout>
          <c:layoutTarget val="inner"/>
          <c:xMode val="edge"/>
          <c:yMode val="edge"/>
          <c:x val="0.12374"/>
          <c:y val="0.5"/>
          <c:w val="0.87402000000000002"/>
          <c:h val="0.313489999999999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>Столбец1</c:v>
                </c:pt>
              </c:strCache>
            </c:strRef>
          </c:tx>
          <c:spPr bwMode="auto">
            <a:prstGeom prst="rect">
              <a:avLst/>
            </a:prstGeom>
            <a:solidFill>
              <a:srgbClr val="9DC3E6"/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1"/>
          <c:dLbls>
            <c:dLbl>
              <c:idx val="0"/>
              <c:layout>
                <c:manualLayout>
                  <c:x val="-0.0019400000000000001"/>
                  <c:y val="-0.0042300000000000003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b="1"/>
                  </a:pPr>
                  <a:endParaRPr/>
                </a:p>
              </c:txPr>
            </c:dLbl>
            <c:dLbl>
              <c:idx val="1"/>
              <c:layout>
                <c:manualLayout>
                  <c:x val="-0.0061700000000000001"/>
                  <c:y val="-0.0097599999999999996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b="1"/>
                  </a:pPr>
                  <a:endParaRPr/>
                </a:p>
              </c:txPr>
            </c:dLbl>
            <c:dLbl>
              <c:idx val="2"/>
              <c:layout>
                <c:manualLayout>
                  <c:x val="0.00197"/>
                  <c:y val="-0.01798999999999999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b="1"/>
                  </a:pPr>
                  <a:endParaRPr/>
                </a:p>
              </c:txPr>
            </c:dLbl>
            <c:dLbl>
              <c:idx val="3"/>
              <c:layout>
                <c:manualLayout>
                  <c:x val="0.019939999999999999"/>
                  <c:y val="-0.01944999999999999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layout>
                <c:manualLayout>
                  <c:x val="0.03082"/>
                  <c:y val="-0.02228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p>
                <a:pPr>
                  <a:defRPr b="1"/>
                </a:pPr>
                <a:endParaRPr/>
              </a:p>
            </c:txPr>
          </c:dLbls>
          <c:cat>
            <c:strRef>
              <c:f>'Лист1'!$A$4:$A$6</c:f>
              <c:strCache>
                <c:ptCount val="3"/>
                <c:pt idx="0">
                  <c:v xml:space="preserve">2021 год 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'Лист1'!$B$4:$B$6</c:f>
              <c:numCache>
                <c:formatCode>0</c:formatCode>
                <c:ptCount val="3"/>
                <c:pt idx="0">
                  <c:v>474163</c:v>
                </c:pt>
                <c:pt idx="1">
                  <c:v>665331</c:v>
                </c:pt>
                <c:pt idx="2" formatCode="General">
                  <c:v>732882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85"/>
        <c:axId val="1866169483"/>
        <c:axId val="1866169484"/>
      </c:barChart>
      <c:catAx>
        <c:axId val="18661694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866169484"/>
        <c:crosses val="autoZero"/>
        <c:auto val="1"/>
        <c:lblAlgn val="ctr"/>
        <c:lblOffset val="100"/>
        <c:noMultiLvlLbl val="0"/>
      </c:catAx>
      <c:valAx>
        <c:axId val="1866169484"/>
        <c:scaling>
          <c:orientation val="minMax"/>
          <c:min val="0"/>
        </c:scaling>
        <c:delete val="1"/>
        <c:axPos val="l"/>
        <c:numFmt formatCode="0" sourceLinked="1"/>
        <c:majorTickMark val="none"/>
        <c:minorTickMark val="none"/>
        <c:tickLblPos val="none"/>
        <c:crossAx val="1866169483"/>
        <c:crosses val="autoZero"/>
        <c:crossBetween val="between"/>
      </c:valAx>
    </c:plotArea>
    <c:plotVisOnly val="1"/>
    <c:dispBlanksAs val="zero"/>
    <c:showDLblsOverMax val="0"/>
  </c:chart>
  <c:spPr bwMode="auto">
    <a:xfrm>
      <a:off x="0" y="0"/>
      <a:ext cx="0" cy="0"/>
    </a:xfrm>
    <a:prstGeom prst="rect">
      <a:avLst/>
    </a:prstGeom>
    <a:ln>
      <a:noFill/>
    </a:ln>
  </c:spPr>
  <c:txPr>
    <a:bodyPr/>
    <a:lstStyle/>
    <a:p>
      <a:pPr>
        <a:defRPr sz="1000">
          <a:latin typeface="Liberation Sans"/>
        </a:defRPr>
      </a:pPr>
      <a:endParaRPr lang="ru-RU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200"/>
              <a:t>Численность участников клубных формирований, человек</a:t>
            </a:r>
            <a:endParaRPr sz="1200"/>
          </a:p>
        </c:rich>
      </c:tx>
      <c:layout>
        <c:manualLayout>
          <c:xMode val="edge"/>
          <c:yMode val="edge"/>
          <c:x val="0.16023999999999999"/>
          <c:y val="0"/>
        </c:manualLayout>
      </c:layout>
      <c:overlay val="0"/>
      <c:spPr bwMode="auto">
        <a:prstGeom prst="rect">
          <a:avLst/>
        </a:prstGeom>
        <a:noFill/>
      </c:spPr>
    </c:title>
    <c:plotArea>
      <c:layout>
        <c:manualLayout>
          <c:layoutTarget val="inner"/>
          <c:xMode val="edge"/>
          <c:yMode val="edge"/>
          <c:x val="0.097420000000000007"/>
          <c:y val="0.37102000000000002"/>
          <c:w val="0.86180000000000001"/>
          <c:h val="0.271950000000000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>всего</c:v>
                </c:pt>
              </c:strCache>
            </c:strRef>
          </c:tx>
          <c:spPr bwMode="auto">
            <a:prstGeom prst="rect">
              <a:avLst/>
            </a:prstGeom>
            <a:solidFill>
              <a:srgbClr val="ADB9CA"/>
            </a:solidFill>
            <a:ln>
              <a:noFill/>
              <a:miter/>
            </a:ln>
          </c:spPr>
          <c:invertIfNegative val="1"/>
          <c:dPt>
            <c:idx val="0"/>
            <c:invertIfNegative val="1"/>
            <c:spPr bwMode="auto">
              <a:prstGeom prst="rect">
                <a:avLst/>
              </a:prstGeom>
              <a:solidFill>
                <a:schemeClr val="tx2">
                  <a:lumMod val="40000"/>
                  <a:lumOff val="60000"/>
                </a:schemeClr>
              </a:solidFill>
              <a:ln w="9525" cap="flat" cmpd="sng" algn="ctr">
                <a:noFill/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invertIfNegative val="1"/>
            <c:spPr bwMode="auto">
              <a:prstGeom prst="rect">
                <a:avLst/>
              </a:prstGeom>
              <a:solidFill>
                <a:schemeClr val="tx2">
                  <a:lumMod val="40000"/>
                  <a:lumOff val="60000"/>
                </a:schemeClr>
              </a:solidFill>
              <a:ln w="9525" cap="flat" cmpd="sng" algn="ctr">
                <a:noFill/>
                <a:prstDash val="solid"/>
                <a:bevel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invertIfNegative val="1"/>
            <c:spPr bwMode="auto">
              <a:prstGeom prst="rect">
                <a:avLst/>
              </a:prstGeom>
              <a:solidFill>
                <a:schemeClr val="tx2">
                  <a:lumMod val="40000"/>
                  <a:lumOff val="60000"/>
                </a:schemeClr>
              </a:solidFill>
              <a:ln w="9525" cap="flat" cmpd="sng" algn="ctr">
                <a:noFill/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p>
                <a:pPr>
                  <a:defRPr sz="1100" b="1"/>
                </a:pPr>
                <a:endParaRPr/>
              </a:p>
            </c:txPr>
          </c:dLbls>
          <c:cat>
            <c:strRef>
              <c:f>'Лист1'!$A$4:$A$6</c:f>
              <c:strCache>
                <c:ptCount val="3"/>
                <c:pt idx="0">
                  <c:v xml:space="preserve">2021 год 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'Лист1'!$B$4:$B$6</c:f>
              <c:numCache>
                <c:formatCode>0</c:formatCode>
                <c:ptCount val="3"/>
                <c:pt idx="0">
                  <c:v>1421</c:v>
                </c:pt>
                <c:pt idx="1">
                  <c:v>1360</c:v>
                </c:pt>
                <c:pt idx="2" formatCode="General">
                  <c:v>1414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 xml:space="preserve">в т.ч. детей</c:v>
                </c:pt>
              </c:strCache>
            </c:strRef>
          </c:tx>
          <c:spPr bwMode="auto">
            <a:prstGeom prst="rect">
              <a:avLst/>
            </a:prstGeom>
            <a:solidFill>
              <a:srgbClr val="2E75B6"/>
            </a:solidFill>
          </c:spPr>
          <c:invertIfNegative val="1"/>
          <c:dLbls>
            <c:dLbl>
              <c:idx val="0"/>
              <c:layout>
                <c:manualLayout>
                  <c:x val="0.01384"/>
                  <c:y val="-0.0062700000000000004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1100" b="1"/>
                  </a:pPr>
                  <a:endParaRPr/>
                </a:p>
              </c:txPr>
            </c:dLbl>
            <c:dLbl>
              <c:idx val="1"/>
              <c:layout>
                <c:manualLayout>
                  <c:x val="0.01461"/>
                  <c:y val="-0.0062700000000000004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1100" b="1"/>
                  </a:pPr>
                  <a:endParaRPr/>
                </a:p>
              </c:txPr>
            </c:dLbl>
            <c:dLbl>
              <c:idx val="2"/>
              <c:layout>
                <c:manualLayout>
                  <c:x val="0.01538"/>
                  <c:y val="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1100" b="1"/>
                  </a:pPr>
                  <a:endParaRPr/>
                </a:p>
              </c:txPr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p>
                <a:pPr>
                  <a:defRPr sz="1100" b="1"/>
                </a:pPr>
                <a:endParaRPr/>
              </a:p>
            </c:txPr>
          </c:dLbls>
          <c:cat>
            <c:strRef>
              <c:f>'Лист1'!$A$4:$A$6</c:f>
              <c:strCache>
                <c:ptCount val="3"/>
                <c:pt idx="0">
                  <c:v xml:space="preserve">2021 год 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'Лист1'!$C$4:$C$6</c:f>
              <c:numCache>
                <c:formatCode>General</c:formatCode>
                <c:ptCount val="3"/>
                <c:pt idx="0">
                  <c:v>671</c:v>
                </c:pt>
                <c:pt idx="1">
                  <c:v>653</c:v>
                </c:pt>
                <c:pt idx="2">
                  <c:v>642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97"/>
        <c:overlap val="28"/>
        <c:axId val="1866169485"/>
        <c:axId val="1866169486"/>
      </c:barChart>
      <c:catAx>
        <c:axId val="186616948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p>
            <a:pPr>
              <a:defRPr sz="1200"/>
            </a:pPr>
            <a:endParaRPr/>
          </a:p>
        </c:txPr>
        <c:crossAx val="1866169486"/>
        <c:crosses val="autoZero"/>
        <c:auto val="1"/>
        <c:lblAlgn val="ctr"/>
        <c:lblOffset val="100"/>
        <c:noMultiLvlLbl val="0"/>
      </c:catAx>
      <c:valAx>
        <c:axId val="1866169486"/>
        <c:scaling>
          <c:orientation val="minMax"/>
          <c:min val="0"/>
        </c:scaling>
        <c:delete val="1"/>
        <c:axPos val="l"/>
        <c:numFmt formatCode="0" sourceLinked="1"/>
        <c:majorTickMark val="out"/>
        <c:minorTickMark val="none"/>
        <c:tickLblPos val="none"/>
        <c:crossAx val="1866169485"/>
        <c:crosses val="autoZero"/>
        <c:crossBetween val="between"/>
      </c:valAx>
      <c:spPr bwMode="auto">
        <a:prstGeom prst="rect">
          <a:avLst/>
        </a:prstGeom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23286999999999999"/>
          <c:y val="0.86765000000000003"/>
          <c:w val="0.56191999999999998"/>
          <c:h val="0.13089000000000001"/>
        </c:manualLayout>
      </c:layout>
      <c:overlay val="0"/>
      <c:txPr>
        <a:bodyPr/>
        <a:p>
          <a:pPr>
            <a:defRPr sz="1200"/>
          </a:pPr>
          <a:endParaRPr/>
        </a:p>
      </c:txPr>
    </c:legend>
    <c:plotVisOnly val="1"/>
    <c:dispBlanksAs val="gap"/>
    <c:showDLblsOverMax val="0"/>
  </c:chart>
  <c:spPr bwMode="auto">
    <a:xfrm>
      <a:off x="0" y="0"/>
      <a:ext cx="5530847" cy="1698890"/>
    </a:xfrm>
    <a:prstGeom prst="rect">
      <a:avLst/>
    </a:prstGeom>
    <a:noFill/>
    <a:ln w="19050">
      <a:noFill/>
    </a:ln>
  </c:spPr>
  <c:txPr>
    <a:bodyPr/>
    <a:lstStyle/>
    <a:p>
      <a:pPr>
        <a:defRPr sz="1000">
          <a:latin typeface="Liberation Sans"/>
        </a:defRPr>
      </a:pPr>
      <a:endParaRPr lang="ru-RU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Численность участников фестивалей</a:t>
            </a:r>
            <a:br>
              <a:rPr lang="ru-RU" sz="1200"/>
            </a:br>
            <a:r>
              <a:rPr lang="ru-RU" sz="1200"/>
              <a:t>и конкурсов различного уровня, человек</a:t>
            </a:r>
            <a:endParaRPr sz="1200"/>
          </a:p>
        </c:rich>
      </c:tx>
      <c:layout>
        <c:manualLayout>
          <c:x val="0.0021700000000000001"/>
          <c:y val="-0.037830000000000003"/>
        </c:manualLayout>
      </c:layout>
      <c:overlay val="0"/>
      <c:spPr bwMode="auto">
        <a:prstGeom prst="rect">
          <a:avLst/>
        </a:prstGeom>
        <a:noFill/>
      </c:spPr>
      <c:txPr>
        <a:bodyPr/>
        <a:p>
          <a:pPr>
            <a:defRPr sz="1200"/>
          </a:pPr>
          <a:endParaRPr/>
        </a:p>
      </c:txPr>
    </c:title>
    <c:plotArea>
      <c:layout>
        <c:manualLayout>
          <c:layoutTarget val="inner"/>
          <c:xMode val="edge"/>
          <c:yMode val="edge"/>
          <c:x val="0.090499999999999997"/>
          <c:y val="0.25280000000000002"/>
          <c:w val="0.86180000000000001"/>
          <c:h val="0.421559999999999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>участники</c:v>
                </c:pt>
              </c:strCache>
            </c:strRef>
          </c:tx>
          <c:spPr bwMode="auto">
            <a:prstGeom prst="rect">
              <a:avLst/>
            </a:prstGeom>
            <a:solidFill>
              <a:srgbClr val="ADB9CA"/>
            </a:solidFill>
            <a:ln>
              <a:noFill/>
              <a:miter/>
            </a:ln>
          </c:spPr>
          <c:invertIfNegative val="1"/>
          <c:dPt>
            <c:idx val="0"/>
            <c:invertIfNegative val="1"/>
            <c:spPr bwMode="auto">
              <a:prstGeom prst="rect">
                <a:avLst/>
              </a:prstGeom>
              <a:solidFill>
                <a:schemeClr val="tx2">
                  <a:lumMod val="40000"/>
                  <a:lumOff val="60000"/>
                </a:schemeClr>
              </a:solidFill>
              <a:ln w="9525" cap="flat" cmpd="sng" algn="ctr">
                <a:noFill/>
                <a:prstDash val="solid"/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invertIfNegative val="1"/>
            <c:spPr bwMode="auto">
              <a:prstGeom prst="rect">
                <a:avLst/>
              </a:prstGeom>
              <a:solidFill>
                <a:schemeClr val="tx2">
                  <a:lumMod val="40000"/>
                  <a:lumOff val="60000"/>
                </a:schemeClr>
              </a:solidFill>
              <a:ln w="9525" cap="flat" cmpd="sng" algn="ctr">
                <a:noFill/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invertIfNegative val="1"/>
            <c:spPr bwMode="auto">
              <a:prstGeom prst="rect">
                <a:avLst/>
              </a:prstGeom>
              <a:solidFill>
                <a:schemeClr val="tx2">
                  <a:lumMod val="40000"/>
                  <a:lumOff val="60000"/>
                </a:schemeClr>
              </a:solidFill>
              <a:ln w="9525" cap="flat" cmpd="sng" algn="ctr">
                <a:noFill/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dLbl>
              <c:idx val="4"/>
              <c:layout>
                <c:manualLayout>
                  <c:x val="0"/>
                  <c:y val="-0.04322999999999999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p>
                <a:pPr>
                  <a:defRPr sz="1100" b="1"/>
                </a:pPr>
                <a:endParaRPr/>
              </a:p>
            </c:txPr>
          </c:dLbls>
          <c:cat>
            <c:strRef>
              <c:f>'Лист1'!$A$4:$A$6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 </c:v>
                </c:pt>
              </c:strCache>
            </c:strRef>
          </c:cat>
          <c:val>
            <c:numRef>
              <c:f>'Лист1'!$B$4:$B$6</c:f>
              <c:numCache>
                <c:formatCode>General</c:formatCode>
                <c:ptCount val="3"/>
                <c:pt idx="0" formatCode="0">
                  <c:v>1134</c:v>
                </c:pt>
                <c:pt idx="1">
                  <c:v>1052</c:v>
                </c:pt>
                <c:pt idx="2">
                  <c:v>1042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 xml:space="preserve">призеры и победители</c:v>
                </c:pt>
              </c:strCache>
            </c:strRef>
          </c:tx>
          <c:spPr bwMode="auto">
            <a:prstGeom prst="rect">
              <a:avLst/>
            </a:prstGeom>
            <a:solidFill>
              <a:srgbClr val="2E75B6"/>
            </a:solidFill>
          </c:spPr>
          <c:invertIfNegative val="1"/>
          <c:dLbls>
            <c:dLbl>
              <c:idx val="0"/>
              <c:layout>
                <c:manualLayout>
                  <c:x val="0.011270000000000001"/>
                  <c:y val="0.008349999999999999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1100" b="1"/>
                  </a:pPr>
                  <a:endParaRPr/>
                </a:p>
              </c:txPr>
            </c:dLbl>
            <c:dLbl>
              <c:idx val="1"/>
              <c:layout>
                <c:manualLayout>
                  <c:x val="0.01409"/>
                  <c:y val="0.008349999999999999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1100" b="1"/>
                  </a:pPr>
                  <a:endParaRPr/>
                </a:p>
              </c:txPr>
            </c:dLbl>
            <c:dLbl>
              <c:idx val="2"/>
              <c:layout>
                <c:manualLayout>
                  <c:x val="0.01307"/>
                  <c:y val="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1100" b="1"/>
                  </a:pPr>
                  <a:endParaRPr/>
                </a:p>
              </c:txPr>
            </c:dLbl>
            <c:dLbl>
              <c:idx val="4"/>
              <c:layout>
                <c:manualLayout>
                  <c:x val="0"/>
                  <c:y val="0.02881999999999999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p>
                <a:pPr>
                  <a:defRPr sz="1100" b="1"/>
                </a:pPr>
                <a:endParaRPr/>
              </a:p>
            </c:txPr>
          </c:dLbls>
          <c:cat>
            <c:strRef>
              <c:f>'Лист1'!$A$4:$A$6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 </c:v>
                </c:pt>
              </c:strCache>
            </c:strRef>
          </c:cat>
          <c:val>
            <c:numRef>
              <c:f>'Лист1'!$C$4:$C$6</c:f>
              <c:numCache>
                <c:formatCode>General</c:formatCode>
                <c:ptCount val="3"/>
                <c:pt idx="0">
                  <c:v>901</c:v>
                </c:pt>
                <c:pt idx="1">
                  <c:v>920</c:v>
                </c:pt>
                <c:pt idx="2">
                  <c:v>1002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97"/>
        <c:overlap val="28"/>
        <c:axId val="2140842190"/>
        <c:axId val="2140842191"/>
      </c:barChart>
      <c:catAx>
        <c:axId val="214084219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p>
            <a:pPr>
              <a:defRPr sz="1200"/>
            </a:pPr>
            <a:endParaRPr/>
          </a:p>
        </c:txPr>
        <c:crossAx val="2140842191"/>
        <c:crosses val="autoZero"/>
        <c:auto val="1"/>
        <c:lblAlgn val="ctr"/>
        <c:lblOffset val="100"/>
        <c:noMultiLvlLbl val="0"/>
      </c:catAx>
      <c:valAx>
        <c:axId val="2140842191"/>
        <c:scaling>
          <c:orientation val="minMax"/>
          <c:min val="0"/>
        </c:scaling>
        <c:delete val="1"/>
        <c:axPos val="l"/>
        <c:numFmt formatCode="0" sourceLinked="1"/>
        <c:majorTickMark val="out"/>
        <c:minorTickMark val="none"/>
        <c:tickLblPos val="none"/>
        <c:crossAx val="2140842190"/>
        <c:crosses val="autoZero"/>
        <c:crossBetween val="between"/>
      </c:valAx>
      <c:spPr bwMode="auto">
        <a:prstGeom prst="rect">
          <a:avLst/>
        </a:prstGeom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23288"/>
          <c:y val="0.86665999999999999"/>
          <c:w val="0.56191999999999998"/>
          <c:h val="0.13089000000000001"/>
        </c:manualLayout>
      </c:layout>
      <c:overlay val="0"/>
      <c:txPr>
        <a:bodyPr/>
        <a:p>
          <a:pPr>
            <a:defRPr sz="1200"/>
          </a:pPr>
          <a:endParaRPr/>
        </a:p>
      </c:txPr>
    </c:legend>
    <c:plotVisOnly val="1"/>
    <c:dispBlanksAs val="gap"/>
    <c:showDLblsOverMax val="0"/>
  </c:chart>
  <c:spPr bwMode="auto">
    <a:xfrm>
      <a:off x="0" y="0"/>
      <a:ext cx="5301648" cy="1935025"/>
    </a:xfrm>
    <a:prstGeom prst="rect">
      <a:avLst/>
    </a:prstGeom>
    <a:noFill/>
    <a:ln w="19050">
      <a:noFill/>
    </a:ln>
  </c:spPr>
  <c:txPr>
    <a:bodyPr/>
    <a:lstStyle/>
    <a:p>
      <a:pPr>
        <a:defRPr>
          <a:latin typeface="Liberation Sans"/>
        </a:defRPr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Численность зарегистрированных пользователей </a:t>
            </a:r>
            <a:endParaRPr lang="ru-RU"/>
          </a:p>
          <a:p>
            <a:pPr>
              <a:defRPr/>
            </a:pPr>
            <a:r>
              <a:rPr lang="ru-RU"/>
              <a:t>в общедоступных библиотеках, человек</a:t>
            </a:r>
            <a:endParaRPr/>
          </a:p>
          <a:p>
            <a:pPr>
              <a:defRPr/>
            </a:pPr>
            <a:endParaRPr lang="ru-RU"/>
          </a:p>
        </c:rich>
      </c:tx>
      <c:layout>
        <c:manualLayout>
          <c:x val="0"/>
          <c:y val="-0.033500000000000002"/>
        </c:manualLayout>
      </c:layout>
      <c:overlay val="0"/>
      <c:spPr bwMode="auto">
        <a:prstGeom prst="rect">
          <a:avLst/>
        </a:prstGeom>
        <a:noFill/>
      </c:spPr>
    </c:title>
    <c:plotArea>
      <c:layout>
        <c:manualLayout>
          <c:layoutTarget val="inner"/>
          <c:xMode val="edge"/>
          <c:yMode val="edge"/>
          <c:x val="0.088749999999999996"/>
          <c:y val="0.23924000000000001"/>
          <c:w val="0.86180000000000001"/>
          <c:h val="0.436369999999999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>всего</c:v>
                </c:pt>
              </c:strCache>
            </c:strRef>
          </c:tx>
          <c:spPr bwMode="auto">
            <a:prstGeom prst="rect">
              <a:avLst/>
            </a:prstGeom>
            <a:solidFill>
              <a:srgbClr val="ADB9CA"/>
            </a:solidFill>
            <a:ln>
              <a:noFill/>
            </a:ln>
          </c:spPr>
          <c:invertIfNegative val="1"/>
          <c:dPt>
            <c:idx val="0"/>
            <c:invertIfNegative val="1"/>
            <c:spPr bwMode="auto">
              <a:prstGeom prst="rect">
                <a:avLst/>
              </a:prstGeom>
              <a:solidFill>
                <a:schemeClr val="tx2">
                  <a:lumMod val="40000"/>
                  <a:lumOff val="60000"/>
                </a:schemeClr>
              </a:solidFill>
              <a:ln w="9525" cap="flat" cmpd="sng" algn="ctr">
                <a:noFill/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invertIfNegative val="1"/>
            <c:spPr bwMode="auto">
              <a:prstGeom prst="rect">
                <a:avLst/>
              </a:prstGeom>
              <a:solidFill>
                <a:schemeClr val="tx2">
                  <a:lumMod val="40000"/>
                  <a:lumOff val="60000"/>
                </a:schemeClr>
              </a:solidFill>
              <a:ln w="9525" cap="flat" cmpd="sng" algn="ctr">
                <a:noFill/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invertIfNegative val="1"/>
            <c:spPr bwMode="auto">
              <a:prstGeom prst="rect">
                <a:avLst/>
              </a:prstGeom>
              <a:solidFill>
                <a:srgbClr val="8BB4E2"/>
              </a:solidFill>
              <a:ln w="9525" cap="flat" cmpd="sng" algn="ctr">
                <a:noFill/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invertIfNegative val="1"/>
            <c:spPr bwMode="auto">
              <a:prstGeom prst="rect">
                <a:avLst/>
              </a:prstGeom>
              <a:solidFill>
                <a:srgbClr val="8BB4E2"/>
              </a:solidFill>
            </c:spPr>
          </c:dPt>
          <c:dPt>
            <c:idx val="4"/>
            <c:invertIfNegative val="1"/>
            <c:spPr bwMode="auto">
              <a:prstGeom prst="rect">
                <a:avLst/>
              </a:prstGeom>
              <a:solidFill>
                <a:srgbClr val="8BB4E2"/>
              </a:solidFill>
            </c:spPr>
          </c:dPt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p>
                <a:pPr>
                  <a:defRPr b="1"/>
                </a:pPr>
                <a:endParaRPr/>
              </a:p>
            </c:txPr>
          </c:dLbls>
          <c:cat>
            <c:strRef>
              <c:f>'Лист1'!$A$4:$A$6</c:f>
              <c:strCache>
                <c:ptCount val="3"/>
                <c:pt idx="0">
                  <c:v xml:space="preserve">2021 год 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'Лист1'!$B$4:$B$6</c:f>
              <c:numCache>
                <c:formatCode>0</c:formatCode>
                <c:ptCount val="3"/>
                <c:pt idx="0">
                  <c:v>51092</c:v>
                </c:pt>
                <c:pt idx="1">
                  <c:v>103663</c:v>
                </c:pt>
                <c:pt idx="2" formatCode="General">
                  <c:v>66335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 xml:space="preserve">в т.ч. дети</c:v>
                </c:pt>
              </c:strCache>
            </c:strRef>
          </c:tx>
          <c:spPr bwMode="auto">
            <a:prstGeom prst="rect">
              <a:avLst/>
            </a:prstGeom>
            <a:solidFill>
              <a:srgbClr val="2E75B6"/>
            </a:solidFill>
          </c:spPr>
          <c:invertIfNegative val="1"/>
          <c:dLbls>
            <c:dLbl>
              <c:idx val="0"/>
              <c:layout>
                <c:manualLayout>
                  <c:x val="0.016150000000000001"/>
                  <c:y val="0.01271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b="1"/>
                  </a:pPr>
                  <a:endParaRPr/>
                </a:p>
              </c:txPr>
            </c:dLbl>
            <c:dLbl>
              <c:idx val="1"/>
              <c:layout>
                <c:manualLayout>
                  <c:x val="0.019220000000000001"/>
                  <c:y val="0.01271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b="1"/>
                  </a:pPr>
                  <a:endParaRPr/>
                </a:p>
              </c:txPr>
            </c:dLbl>
            <c:dLbl>
              <c:idx val="2"/>
              <c:layout>
                <c:manualLayout>
                  <c:x val="0.01307"/>
                  <c:y val="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b="1"/>
                  </a:pPr>
                  <a:endParaRPr/>
                </a:p>
              </c:txPr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p>
                <a:pPr>
                  <a:defRPr b="1"/>
                </a:pPr>
                <a:endParaRPr/>
              </a:p>
            </c:txPr>
          </c:dLbls>
          <c:cat>
            <c:strRef>
              <c:f>'Лист1'!$A$4:$A$6</c:f>
              <c:strCache>
                <c:ptCount val="3"/>
                <c:pt idx="0">
                  <c:v xml:space="preserve">2021 год 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'Лист1'!$C$4:$C$6</c:f>
              <c:numCache>
                <c:formatCode>General</c:formatCode>
                <c:ptCount val="3"/>
                <c:pt idx="0">
                  <c:v>20761</c:v>
                </c:pt>
                <c:pt idx="1">
                  <c:v>22108</c:v>
                </c:pt>
                <c:pt idx="2">
                  <c:v>20799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97"/>
        <c:overlap val="28"/>
        <c:axId val="1866169481"/>
        <c:axId val="1866169482"/>
      </c:barChart>
      <c:catAx>
        <c:axId val="1866169481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p>
            <a:pPr>
              <a:defRPr sz="1100"/>
            </a:pPr>
            <a:endParaRPr/>
          </a:p>
        </c:txPr>
        <c:crossAx val="1866169482"/>
        <c:crosses val="autoZero"/>
        <c:auto val="1"/>
        <c:lblAlgn val="ctr"/>
        <c:lblOffset val="100"/>
        <c:noMultiLvlLbl val="0"/>
      </c:catAx>
      <c:valAx>
        <c:axId val="1866169482"/>
        <c:scaling>
          <c:orientation val="minMax"/>
          <c:min val="0"/>
        </c:scaling>
        <c:delete val="1"/>
        <c:axPos val="l"/>
        <c:numFmt formatCode="0" sourceLinked="1"/>
        <c:majorTickMark val="out"/>
        <c:minorTickMark val="none"/>
        <c:tickLblPos val="none"/>
        <c:crossAx val="1866169481"/>
        <c:crosses val="autoZero"/>
        <c:crossBetween val="between"/>
      </c:valAx>
      <c:spPr bwMode="auto">
        <a:prstGeom prst="rect">
          <a:avLst/>
        </a:prstGeom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23288"/>
          <c:y val="0.88875999999999999"/>
          <c:w val="0.56191999999999998"/>
          <c:h val="0.13089000000000001"/>
        </c:manualLayout>
      </c:layout>
      <c:overlay val="0"/>
      <c:txPr>
        <a:bodyPr/>
        <a:p>
          <a:pPr>
            <a:defRPr sz="1100"/>
          </a:pPr>
          <a:endParaRPr/>
        </a:p>
      </c:txPr>
    </c:legend>
    <c:plotVisOnly val="1"/>
    <c:dispBlanksAs val="gap"/>
    <c:showDLblsOverMax val="0"/>
  </c:chart>
  <c:spPr bwMode="auto">
    <a:xfrm>
      <a:off x="0" y="0"/>
      <a:ext cx="5484086" cy="1990089"/>
    </a:xfrm>
    <a:prstGeom prst="rect">
      <a:avLst/>
    </a:prstGeom>
    <a:noFill/>
    <a:ln w="19050">
      <a:noFill/>
    </a:ln>
  </c:spPr>
  <c:txPr>
    <a:bodyPr/>
    <a:lstStyle/>
    <a:p>
      <a:pPr>
        <a:defRPr sz="1000">
          <a:latin typeface="Liberation Sans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en-US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p>
            <a:pPr>
              <a:defRPr lang="ru-RU" sz="1200" b="1" spc="0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/>
              <a:t>Оборот розничной торговли </a:t>
            </a:r>
            <a:r>
              <a:rPr lang="ru-RU"/>
              <a:t>(без субъектов малого предпринимательства), млн руб.</a:t>
            </a:r>
            <a:endParaRPr lang="ru-RU"/>
          </a:p>
        </c:rich>
      </c:tx>
      <c:layout/>
      <c:overlay val="0"/>
      <c:spPr bwMode="auto">
        <a:prstGeom prst="rect">
          <a:avLst/>
        </a:prstGeom>
        <a:noFill/>
        <a:ln>
          <a:noFill/>
        </a:ln>
      </c:spPr>
      <c:txPr>
        <a:bodyPr/>
        <a:p>
          <a:pPr>
            <a:defRPr lang="ru-RU" sz="1200" b="1" spc="0">
              <a:solidFill>
                <a:schemeClr val="tx1"/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034270000000000002"/>
          <c:y val="0.39359"/>
          <c:w val="0.93145"/>
          <c:h val="0.45014999999999999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 xml:space="preserve">Оборот розничной торговли (без субъектов малого предпринимательства), млн рублей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  <a:ln w="38099" cap="rnd" cmpd="sng" algn="ctr">
              <a:solidFill>
                <a:schemeClr val="accent1"/>
              </a:solidFill>
              <a:prstDash val="solid"/>
              <a:round/>
            </a:ln>
          </c:spPr>
          <c:marker>
            <c:symbol val="circle"/>
            <c:size val="5"/>
            <c:spPr bwMode="auto">
              <a:prstGeom prst="rect">
                <a:avLst/>
              </a:prstGeom>
              <a:solidFill>
                <a:schemeClr val="accent1"/>
              </a:solidFill>
              <a:ln w="9525">
                <a:solidFill>
                  <a:schemeClr val="accent1"/>
                </a:solidFill>
                <a:bevel/>
              </a:ln>
            </c:spPr>
          </c:marker>
          <c:dLbls>
            <c:dLblPos val="t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100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Sheet1!$B$2:$B$4</c:f>
              <c:numCache>
                <c:formatCode>0.0</c:formatCode>
                <c:ptCount val="3"/>
                <c:pt idx="0">
                  <c:v>18254.816</c:v>
                </c:pt>
                <c:pt idx="1">
                  <c:v>20361.617</c:v>
                </c:pt>
                <c:pt idx="2">
                  <c:v>24700.76</c:v>
                </c:pt>
              </c:numCache>
            </c:numRef>
          </c:val>
          <c:smooth val="0"/>
        </c:ser>
        <c:dLbls>
          <c:dLblPos val="t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spPr bwMode="auto">
            <a:prstGeom prst="rect">
              <a:avLst/>
            </a:prstGeom>
            <a:noFill/>
            <a:ln>
              <a:noFill/>
            </a:ln>
          </c:spPr>
          <c:txPr>
            <a:bodyPr/>
            <a:p>
              <a:pPr>
                <a:defRPr sz="900">
                  <a:solidFill>
                    <a:schemeClr val="tx1"/>
                  </a:solidFill>
                  <a:latin typeface="Liberation Serif"/>
                  <a:ea typeface="Liberation Serif"/>
                  <a:cs typeface="Liberation Serif"/>
                </a:defRPr>
              </a:pPr>
              <a:endParaRPr/>
            </a:p>
          </c:txPr>
        </c:dLbls>
        <c:marker val="1"/>
        <c:smooth val="0"/>
        <c:axId val="2140842188"/>
        <c:axId val="2140842189"/>
      </c:lineChart>
      <c:catAx>
        <c:axId val="2140842188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</c:spPr>
        <c:txPr>
          <a:bodyPr/>
          <a:p>
            <a:pPr>
              <a:defRPr sz="1100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189"/>
        <c:crosses val="autoZero"/>
        <c:auto val="1"/>
        <c:lblAlgn val="ctr"/>
        <c:lblOffset val="100"/>
        <c:tickMarkSkip val="1"/>
        <c:noMultiLvlLbl val="0"/>
      </c:catAx>
      <c:valAx>
        <c:axId val="2140842189"/>
        <c:scaling>
          <c:orientation val="minMax"/>
        </c:scaling>
        <c:delete val="1"/>
        <c:axPos val="l"/>
        <c:majorGridlines>
          <c:spPr bwMode="auto">
            <a:prstGeom prst="rect">
              <a:avLst/>
            </a:prstGeom>
            <a:noFill/>
            <a:ln w="9525" cap="flat" cmpd="sng" algn="ctr">
              <a:noFill/>
              <a:round/>
            </a:ln>
          </c:spPr>
        </c:majorGridlines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</c:spPr>
        <c:txPr>
          <a:bodyPr/>
          <a:p>
            <a:pPr>
              <a:defRPr sz="900">
                <a:solidFill>
                  <a:schemeClr val="tx1"/>
                </a:solidFill>
                <a:latin typeface="Liberation Serif"/>
                <a:ea typeface="Liberation Serif"/>
                <a:cs typeface="Liberation Serif"/>
              </a:defRPr>
            </a:pPr>
            <a:endParaRPr/>
          </a:p>
        </c:txPr>
        <c:crossAx val="2140842188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plotVisOnly val="1"/>
    <c:dispBlanksAs val="gap"/>
    <c:showDLblsOverMax val="0"/>
  </c:chart>
  <c:spPr bwMode="auto">
    <a:xfrm>
      <a:off x="0" y="0"/>
      <a:ext cx="4724420" cy="1856513"/>
    </a:xfrm>
    <a:prstGeom prst="rect">
      <a:avLst/>
    </a:prstGeom>
    <a:solidFill>
      <a:schemeClr val="bg1"/>
    </a:solidFill>
    <a:ln w="9525" cap="flat" cmpd="sng" algn="ctr">
      <a:noFill/>
      <a:round/>
    </a:ln>
  </c:spPr>
  <c:txPr>
    <a:bodyPr/>
    <a:p>
      <a:pPr>
        <a:defRPr sz="1000">
          <a:solidFill>
            <a:schemeClr val="tx1"/>
          </a:solidFill>
          <a:latin typeface="Liberation Serif"/>
          <a:ea typeface="Liberation Serif"/>
          <a:cs typeface="Liberation Serif"/>
        </a:defRPr>
      </a:pPr>
      <a:endParaRPr/>
    </a:p>
  </c:txPr>
  <c:externalData r:id="rId3">
    <c:autoUpdate val="0"/>
  </c:externalData>
  <c:printSettings>
    <c:headerFooter/>
    <c:pageMargins l="0.69999999999999996" r="0.69999999999999996" t="0.75" b="0.75" header="0.29999999999999999" footer="0.29999999999999999"/>
    <c:pageSetup/>
  </c:printSettings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>
                <a:latin typeface="PT Astra Serif"/>
                <a:ea typeface="PT Astra Serif"/>
              </a:defRPr>
            </a:pPr>
            <a:r>
              <a:rPr lang="ru-RU" sz="1200">
                <a:latin typeface="Liberation Sans"/>
                <a:ea typeface="PT Astra Serif"/>
                <a:cs typeface="Liberation Sans"/>
              </a:rPr>
              <a:t>Количество посещений библиотек, ед.</a:t>
            </a:r>
            <a:endParaRPr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20208999999999999"/>
          <c:y val="0.0051999999999999998"/>
        </c:manualLayout>
      </c:layout>
      <c:overlay val="0"/>
    </c:title>
    <c:plotArea>
      <c:layout>
        <c:manualLayout>
          <c:layoutTarget val="inner"/>
          <c:xMode val="edge"/>
          <c:yMode val="edge"/>
          <c:x val="0.14802000000000001"/>
          <c:y val="0.29654000000000003"/>
          <c:w val="0.77012000000000003"/>
          <c:h val="0.541549999999999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 xml:space="preserve">Ряд 1</c:v>
                </c:pt>
              </c:strCache>
            </c:strRef>
          </c:tx>
          <c:invertIfNegative val="1"/>
          <c:dLbls>
            <c:dLbl>
              <c:idx val="0"/>
              <c:layout>
                <c:manualLayout>
                  <c:x val="0.00021000000000000001"/>
                  <c:y val="-0.004429999999999999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spPr bwMode="auto"/>
              <c:txPr>
                <a:bodyPr/>
                <a:lstStyle/>
                <a:p>
                  <a:pPr>
                    <a:defRPr sz="1100" b="1">
                      <a:solidFill>
                        <a:sysClr val="windowText" lastClr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layout>
                <c:manualLayout>
                  <c:x val="-0.0018500000000000001"/>
                  <c:y val="-0.01930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spPr bwMode="auto"/>
              <c:txPr>
                <a:bodyPr/>
                <a:lstStyle/>
                <a:p>
                  <a:pPr>
                    <a:defRPr sz="1100" b="1">
                      <a:solidFill>
                        <a:sysClr val="windowText" lastClr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layout>
                <c:manualLayout>
                  <c:x val="0.00036000000000000002"/>
                  <c:y val="-0.01642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spPr bwMode="auto"/>
              <c:txPr>
                <a:bodyPr/>
                <a:lstStyle/>
                <a:p>
                  <a:pPr>
                    <a:defRPr sz="11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3"/>
              <c:layout>
                <c:manualLayout>
                  <c:x val="-0.0058500000000000002"/>
                  <c:y val="0.002840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layout>
                <c:manualLayout>
                  <c:x val="-0.0087799999999999996"/>
                  <c:y val="-0.009329999999999999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ysClr val="windowText" lastClr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'Лист1'!$A$4:$A$6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'Лист1'!$B$4:$B$6</c:f>
              <c:numCache>
                <c:formatCode>0</c:formatCode>
                <c:ptCount val="3"/>
                <c:pt idx="0">
                  <c:v>254096</c:v>
                </c:pt>
                <c:pt idx="1">
                  <c:v>348463</c:v>
                </c:pt>
                <c:pt idx="2" formatCode="General">
                  <c:v>310803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157"/>
        <c:axId val="1866169483"/>
        <c:axId val="1866169484"/>
      </c:barChart>
      <c:catAx>
        <c:axId val="1866169483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1866169484"/>
        <c:crosses val="autoZero"/>
        <c:auto val="1"/>
        <c:lblAlgn val="ctr"/>
        <c:lblOffset val="100"/>
        <c:noMultiLvlLbl val="0"/>
      </c:catAx>
      <c:valAx>
        <c:axId val="1866169484"/>
        <c:scaling>
          <c:orientation val="minMax"/>
          <c:min val="0"/>
        </c:scaling>
        <c:delete val="1"/>
        <c:axPos val="l"/>
        <c:numFmt formatCode="0" sourceLinked="1"/>
        <c:majorTickMark val="out"/>
        <c:minorTickMark val="none"/>
        <c:tickLblPos val="none"/>
        <c:crossAx val="1866169483"/>
        <c:crosses val="autoZero"/>
        <c:crossBetween val="between"/>
      </c:valAx>
    </c:plotArea>
    <c:plotVisOnly val="1"/>
    <c:dispBlanksAs val="zero"/>
    <c:showDLblsOverMax val="0"/>
  </c:chart>
  <c:spPr bwMode="auto">
    <a:xfrm>
      <a:off x="0" y="0"/>
      <a:ext cx="2764175" cy="2021627"/>
    </a:xfrm>
    <a:prstGeom prst="rect">
      <a:avLst/>
    </a:prstGeom>
    <a:ln>
      <a:noFill/>
    </a:ln>
  </c:sp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>
                <a:latin typeface="PT Astra Serif"/>
                <a:ea typeface="PT Astra Serif"/>
              </a:defRPr>
            </a:pPr>
            <a:r>
              <a:rPr lang="ru-RU" sz="1200">
                <a:latin typeface="Liberation Sans"/>
                <a:ea typeface="PT Astra Serif"/>
                <a:cs typeface="Liberation Sans"/>
              </a:rPr>
              <a:t>Книговыдача, ед.</a:t>
            </a:r>
            <a:endParaRPr lang="ru-RU"/>
          </a:p>
        </c:rich>
      </c:tx>
      <c:layout>
        <c:manualLayout>
          <c:x val="0"/>
          <c:y val="-0.036450000000000003"/>
        </c:manualLayout>
      </c:layout>
      <c:overlay val="0"/>
    </c:title>
    <c:plotArea>
      <c:layout>
        <c:manualLayout>
          <c:layoutTarget val="inner"/>
          <c:xMode val="edge"/>
          <c:yMode val="edge"/>
          <c:x val="0.14802000000000001"/>
          <c:y val="0.29654000000000003"/>
          <c:w val="0.77012000000000003"/>
          <c:h val="0.541549999999999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 xml:space="preserve">Ряд 1</c:v>
                </c:pt>
              </c:strCache>
            </c:strRef>
          </c:tx>
          <c:invertIfNegative val="1"/>
          <c:dLbls>
            <c:dLbl>
              <c:idx val="0"/>
              <c:layout>
                <c:manualLayout>
                  <c:x val="0.00021000000000000001"/>
                  <c:y val="-0.004429999999999999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spPr bwMode="auto"/>
              <c:txPr>
                <a:bodyPr/>
                <a:lstStyle/>
                <a:p>
                  <a:pPr>
                    <a:defRPr sz="11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layout>
                <c:manualLayout>
                  <c:x val="-0.0018500000000000001"/>
                  <c:y val="-0.01930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spPr bwMode="auto"/>
              <c:txPr>
                <a:bodyPr/>
                <a:lstStyle/>
                <a:p>
                  <a:pPr>
                    <a:defRPr sz="11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layout>
                <c:manualLayout>
                  <c:x val="0.00036000000000000002"/>
                  <c:y val="-0.01642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1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3"/>
              <c:layout>
                <c:manualLayout>
                  <c:x val="-0.0058500000000000002"/>
                  <c:y val="0.002840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layout>
                <c:manualLayout>
                  <c:x val="-0.0087799999999999996"/>
                  <c:y val="-0.009329999999999999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'Лист1'!$A$4:$A$6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'Лист1'!$B$4:$B$6</c:f>
              <c:numCache>
                <c:formatCode>0</c:formatCode>
                <c:ptCount val="3"/>
                <c:pt idx="0">
                  <c:v>798522</c:v>
                </c:pt>
                <c:pt idx="1">
                  <c:v>877101</c:v>
                </c:pt>
                <c:pt idx="2" formatCode="General">
                  <c:v>882855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157"/>
        <c:axId val="1866169485"/>
        <c:axId val="1866169486"/>
      </c:barChart>
      <c:catAx>
        <c:axId val="186616948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1866169486"/>
        <c:crosses val="autoZero"/>
        <c:auto val="1"/>
        <c:lblAlgn val="ctr"/>
        <c:lblOffset val="100"/>
        <c:noMultiLvlLbl val="0"/>
      </c:catAx>
      <c:valAx>
        <c:axId val="1866169486"/>
        <c:scaling>
          <c:orientation val="minMax"/>
          <c:min val="0"/>
        </c:scaling>
        <c:delete val="1"/>
        <c:axPos val="l"/>
        <c:numFmt formatCode="0" sourceLinked="1"/>
        <c:majorTickMark val="out"/>
        <c:minorTickMark val="none"/>
        <c:tickLblPos val="none"/>
        <c:crossAx val="1866169485"/>
        <c:crosses val="autoZero"/>
        <c:crossBetween val="between"/>
      </c:valAx>
    </c:plotArea>
    <c:plotVisOnly val="1"/>
    <c:dispBlanksAs val="zero"/>
    <c:showDLblsOverMax val="0"/>
  </c:chart>
  <c:spPr bwMode="auto">
    <a:xfrm>
      <a:off x="0" y="0"/>
      <a:ext cx="3078499" cy="2009770"/>
    </a:xfrm>
    <a:prstGeom prst="rect">
      <a:avLst/>
    </a:prstGeom>
    <a:ln>
      <a:noFill/>
    </a:ln>
  </c:sp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Охват жителей музейно-выставочной деятельностью, человек</a:t>
            </a:r>
            <a:endParaRPr/>
          </a:p>
          <a:p>
            <a:pPr>
              <a:defRPr/>
            </a:pPr>
            <a:r>
              <a:rPr lang="ru-RU"/>
              <a:t> </a:t>
            </a:r>
            <a:endParaRPr/>
          </a:p>
        </c:rich>
      </c:tx>
      <c:layout>
        <c:manualLayout>
          <c:xMode val="edge"/>
          <c:yMode val="edge"/>
          <c:x val="0.13295000000000001"/>
          <c:y val="-0.053530000000000001"/>
        </c:manualLayout>
      </c:layout>
      <c:overlay val="0"/>
    </c:title>
    <c:plotArea>
      <c:layout>
        <c:manualLayout>
          <c:layoutTarget val="inner"/>
          <c:xMode val="edge"/>
          <c:yMode val="edge"/>
          <c:x val="0.0124"/>
          <c:y val="0.30041000000000001"/>
          <c:w val="0.94535999999999998"/>
          <c:h val="0.388699999999999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посетителей выставок</c:v>
                </c:pt>
              </c:strCache>
            </c:strRef>
          </c:tx>
          <c:invertIfNegative val="1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p>
                <a:pPr>
                  <a:defRPr sz="1100" b="1"/>
                </a:pPr>
                <a:endParaRPr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126267</c:v>
                </c:pt>
                <c:pt idx="1">
                  <c:v>128238</c:v>
                </c:pt>
                <c:pt idx="2">
                  <c:v>137085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 xml:space="preserve">посетителей виртуальных выставок</c:v>
                </c:pt>
              </c:strCache>
            </c:strRef>
          </c:tx>
          <c:spPr bwMode="auto">
            <a:prstGeom prst="rect">
              <a:avLst/>
            </a:prstGeom>
            <a:solidFill>
              <a:srgbClr val="98B9E0"/>
            </a:solidFill>
          </c:spPr>
          <c:invertIfNegative val="1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p>
                <a:pPr>
                  <a:defRPr sz="1100" b="1"/>
                </a:pPr>
                <a:endParaRPr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41268</c:v>
                </c:pt>
                <c:pt idx="1">
                  <c:v>21886</c:v>
                </c:pt>
                <c:pt idx="2">
                  <c:v>15750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50"/>
        <c:axId val="1866169487"/>
        <c:axId val="1866169488"/>
      </c:barChart>
      <c:catAx>
        <c:axId val="18661694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p>
            <a:pPr>
              <a:defRPr sz="1200"/>
            </a:pPr>
            <a:endParaRPr/>
          </a:p>
        </c:txPr>
        <c:crossAx val="1866169488"/>
        <c:crosses val="autoZero"/>
        <c:auto val="1"/>
        <c:lblAlgn val="ctr"/>
        <c:lblOffset val="100"/>
        <c:noMultiLvlLbl val="0"/>
      </c:catAx>
      <c:valAx>
        <c:axId val="18661694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866169487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051679999999999997"/>
          <c:y val="0.86012999999999995"/>
          <c:w val="0.89998999999999996"/>
          <c:h val="0.1346"/>
        </c:manualLayout>
      </c:layout>
      <c:overlay val="0"/>
      <c:txPr>
        <a:bodyPr/>
        <a:p>
          <a:pPr>
            <a:defRPr sz="1200"/>
          </a:pPr>
          <a:endParaRPr/>
        </a:p>
      </c:txPr>
    </c:legend>
    <c:plotVisOnly val="1"/>
    <c:dispBlanksAs val="zero"/>
    <c:showDLblsOverMax val="0"/>
  </c:chart>
  <c:spPr bwMode="auto">
    <a:xfrm>
      <a:off x="0" y="0"/>
      <a:ext cx="5643266" cy="2210412"/>
    </a:xfrm>
    <a:prstGeom prst="rect">
      <a:avLst/>
    </a:prstGeom>
    <a:ln>
      <a:noFill/>
    </a:ln>
  </c:spPr>
  <c:txPr>
    <a:bodyPr/>
    <a:lstStyle/>
    <a:p>
      <a:pPr>
        <a:defRPr sz="1000">
          <a:latin typeface="Liberation Sans"/>
        </a:defRPr>
      </a:pPr>
      <a:endParaRPr lang="ru-RU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экспонатов </a:t>
            </a:r>
            <a:br>
              <a:rPr lang="ru-RU"/>
            </a:br>
            <a:r>
              <a:rPr lang="ru-RU"/>
              <a:t>совокупного фонда музея, ед. хранения</a:t>
            </a:r>
            <a:endParaRPr/>
          </a:p>
        </c:rich>
      </c:tx>
      <c:layout/>
      <c:overlay val="0"/>
    </c:title>
    <c:plotArea>
      <c:layout>
        <c:manualLayout>
          <c:layoutTarget val="inner"/>
          <c:xMode val="edge"/>
          <c:yMode val="edge"/>
          <c:x val="0.05271"/>
          <c:y val="0.38152999999999998"/>
          <c:w val="0.85123000000000004"/>
          <c:h val="0.423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 xml:space="preserve">Ряд 1</c:v>
                </c:pt>
              </c:strCache>
            </c:strRef>
          </c:tx>
          <c:spPr bwMode="auto">
            <a:prstGeom prst="rect">
              <a:avLst/>
            </a:prstGeom>
            <a:solidFill>
              <a:srgbClr val="ADB9CA"/>
            </a:solidFill>
          </c:spPr>
          <c:invertIfNegative val="1"/>
          <c:dLbls>
            <c:dLbl>
              <c:idx val="0"/>
              <c:layout>
                <c:manualLayout>
                  <c:x val="-0.00068000000000000005"/>
                  <c:y val="-0.01288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1200" b="1"/>
                  </a:pPr>
                  <a:endParaRPr/>
                </a:p>
              </c:txPr>
            </c:dLbl>
            <c:dLbl>
              <c:idx val="1"/>
              <c:layout>
                <c:manualLayout>
                  <c:x val="0.0013699999999999999"/>
                  <c:y val="-0.00156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1200" b="1"/>
                  </a:pPr>
                  <a:endParaRPr/>
                </a:p>
              </c:txPr>
            </c:dLbl>
            <c:dLbl>
              <c:idx val="2"/>
              <c:layout>
                <c:manualLayout>
                  <c:x val="0.0013600000000000001"/>
                  <c:y val="-0.00594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1200" b="1"/>
                  </a:pPr>
                  <a:endParaRPr/>
                </a:p>
              </c:txPr>
            </c:dLbl>
            <c:dLbl>
              <c:idx val="3"/>
              <c:layout>
                <c:manualLayout>
                  <c:x val="0"/>
                  <c:y val="-0.00156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layout>
                <c:manualLayout>
                  <c:x val="0"/>
                  <c:y val="0.005369999999999999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p>
                <a:pPr>
                  <a:defRPr sz="1200" b="1"/>
                </a:pPr>
                <a:endParaRPr/>
              </a:p>
            </c:txPr>
          </c:dLbls>
          <c:cat>
            <c:strRef>
              <c:f>'Лист1'!$A$4:$A$6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'Лист1'!$B$4:$B$6</c:f>
              <c:numCache>
                <c:formatCode>0</c:formatCode>
                <c:ptCount val="3"/>
                <c:pt idx="0">
                  <c:v>3229</c:v>
                </c:pt>
                <c:pt idx="1">
                  <c:v>3292</c:v>
                </c:pt>
                <c:pt idx="2" formatCode="General">
                  <c:v>3302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75"/>
        <c:overlap val="-22"/>
        <c:axId val="1866169489"/>
        <c:axId val="1866169490"/>
      </c:barChart>
      <c:catAx>
        <c:axId val="186616948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p>
            <a:pPr>
              <a:defRPr sz="1200"/>
            </a:pPr>
            <a:endParaRPr/>
          </a:p>
        </c:txPr>
        <c:crossAx val="1866169490"/>
        <c:crosses val="autoZero"/>
        <c:auto val="1"/>
        <c:lblAlgn val="ctr"/>
        <c:lblOffset val="100"/>
        <c:noMultiLvlLbl val="0"/>
      </c:catAx>
      <c:valAx>
        <c:axId val="1866169490"/>
        <c:scaling>
          <c:orientation val="minMax"/>
          <c:min val="0"/>
        </c:scaling>
        <c:delete val="0"/>
        <c:axPos val="l"/>
        <c:numFmt formatCode="0" sourceLinked="1"/>
        <c:majorTickMark val="none"/>
        <c:minorTickMark val="none"/>
        <c:tickLblPos val="none"/>
        <c:spPr bwMode="auto">
          <a:prstGeom prst="rect">
            <a:avLst/>
          </a:prstGeom>
          <a:ln w="9525">
            <a:noFill/>
          </a:ln>
        </c:spPr>
        <c:crossAx val="1866169489"/>
        <c:crosses val="autoZero"/>
        <c:crossBetween val="between"/>
      </c:valAx>
      <c:spPr bwMode="auto">
        <a:prstGeom prst="rect">
          <a:avLst/>
        </a:prstGeom>
        <a:noFill/>
        <a:ln w="25400">
          <a:noFill/>
        </a:ln>
      </c:spPr>
    </c:plotArea>
    <c:plotVisOnly val="1"/>
    <c:dispBlanksAs val="gap"/>
    <c:showDLblsOverMax val="0"/>
  </c:chart>
  <c:spPr bwMode="auto">
    <a:xfrm>
      <a:off x="0" y="0"/>
      <a:ext cx="0" cy="0"/>
    </a:xfrm>
    <a:prstGeom prst="rect">
      <a:avLst/>
    </a:prstGeom>
    <a:noFill/>
    <a:ln>
      <a:noFill/>
    </a:ln>
  </c:spPr>
  <c:txPr>
    <a:bodyPr/>
    <a:lstStyle/>
    <a:p>
      <a:pPr>
        <a:defRPr sz="1000">
          <a:latin typeface="Liberation Sans"/>
        </a:defRPr>
      </a:pPr>
      <a:endParaRPr lang="ru-RU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ea typeface="Liberation Sans"/>
                <a:cs typeface="Liberation Sans"/>
              </a:rPr>
              <a:t>Количество спортивных сооружений, ед.</a:t>
            </a:r>
            <a:endParaRPr lang="ru-RU">
              <a:latin typeface="Liberation Sans"/>
              <a:ea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6023000000000001"/>
          <c:y val="0.0019400000000000001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082439999999999999"/>
          <c:y val="0.25379000000000002"/>
          <c:w val="0.89563000000000004"/>
          <c:h val="0.518669999999999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Ряд 1</c:v>
                </c:pt>
              </c:strCache>
            </c:strRef>
          </c:tx>
          <c:spPr bwMode="auto">
            <a:prstGeom prst="rect">
              <a:avLst/>
            </a:prstGeom>
            <a:solidFill>
              <a:srgbClr val="8EB4E3"/>
            </a:solidFill>
          </c:spPr>
          <c:invertIfNegative val="1"/>
          <c:dLbls>
            <c:dLbl>
              <c:idx val="0"/>
              <c:layout>
                <c:manualLayout>
                  <c:x val="-0.00108"/>
                  <c:y val="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spPr bwMode="auto"/>
              <c:txPr>
                <a:bodyPr anchor="t" anchorCtr="0"/>
                <a:lstStyle/>
                <a:p>
                  <a:pPr>
                    <a:defRPr sz="10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layout>
                <c:manualLayout>
                  <c:x val="0.0040200000000000001"/>
                  <c:y val="-0.01598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spPr bwMode="auto"/>
              <c:txPr>
                <a:bodyPr anchor="t" anchorCtr="0"/>
                <a:lstStyle/>
                <a:p>
                  <a:pPr>
                    <a:defRPr sz="10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layout>
                <c:manualLayout>
                  <c:x val="-0.00181"/>
                  <c:y val="-0.01065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spPr bwMode="auto"/>
              <c:txPr>
                <a:bodyPr anchor="t" anchorCtr="0"/>
                <a:lstStyle/>
                <a:p>
                  <a:pPr>
                    <a:defRPr sz="10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3"/>
              <c:layout>
                <c:manualLayout>
                  <c:x val="0.013690000000000001"/>
                  <c:y val="-0.01065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layout>
                <c:manualLayout>
                  <c:x val="0.01095"/>
                  <c:y val="-0.02129999999999999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sz="1000" b="0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Лист1!$A$4:$A$6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Лист1!$B$4:$B$6</c:f>
              <c:numCache>
                <c:formatCode>#,##0</c:formatCode>
                <c:ptCount val="3"/>
                <c:pt idx="0">
                  <c:v>321</c:v>
                </c:pt>
                <c:pt idx="1">
                  <c:v>331</c:v>
                </c:pt>
                <c:pt idx="2" formatCode="General">
                  <c:v>340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1"/>
        </c:dLbls>
        <c:gapWidth val="201"/>
        <c:axId val="1866169477"/>
        <c:axId val="1866169478"/>
      </c:barChart>
      <c:catAx>
        <c:axId val="186616947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1866169478"/>
        <c:crosses val="autoZero"/>
        <c:auto val="1"/>
        <c:lblAlgn val="ctr"/>
        <c:lblOffset val="100"/>
        <c:noMultiLvlLbl val="0"/>
      </c:catAx>
      <c:valAx>
        <c:axId val="1866169478"/>
        <c:scaling>
          <c:orientation val="minMax"/>
          <c:min val="0"/>
        </c:scaling>
        <c:delete val="1"/>
        <c:axPos val="l"/>
        <c:numFmt formatCode="#,##0" sourceLinked="1"/>
        <c:majorTickMark val="out"/>
        <c:minorTickMark val="none"/>
        <c:tickLblPos val="none"/>
        <c:crossAx val="1866169477"/>
        <c:crosses val="autoZero"/>
        <c:crossBetween val="between"/>
      </c:valAx>
      <c:spPr bwMode="auto">
        <a:prstGeom prst="rect">
          <a:avLst/>
        </a:prstGeom>
        <a:noFill/>
        <a:ln w="25400">
          <a:noFill/>
        </a:ln>
      </c:spPr>
    </c:plotArea>
    <c:plotVisOnly val="1"/>
    <c:dispBlanksAs val="gap"/>
    <c:showDLblsOverMax val="0"/>
  </c:chart>
  <c:spPr bwMode="auto">
    <a:xfrm>
      <a:off x="0" y="0"/>
      <a:ext cx="4095747" cy="1419222"/>
    </a:xfrm>
    <a:prstGeom prst="rect">
      <a:avLst/>
    </a:prstGeom>
    <a:noFill/>
    <a:ln>
      <a:noFill/>
    </a:ln>
  </c:sp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100"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ea typeface="Liberation Sans"/>
                <a:cs typeface="Liberation Sans"/>
              </a:rPr>
              <a:t>Численность занимающихся физической культурой </a:t>
            </a:r>
            <a:br>
              <a:rPr lang="ru-RU" sz="1200">
                <a:latin typeface="Liberation Sans"/>
                <a:ea typeface="Liberation Sans"/>
                <a:cs typeface="Liberation Sans"/>
              </a:rPr>
            </a:br>
            <a:r>
              <a:rPr lang="ru-RU" sz="1200">
                <a:latin typeface="Liberation Sans"/>
                <a:ea typeface="Liberation Sans"/>
                <a:cs typeface="Liberation Sans"/>
              </a:rPr>
              <a:t>и спортом, человек</a:t>
            </a:r>
            <a:endParaRPr lang="ru-RU">
              <a:latin typeface="Liberation Sans"/>
              <a:ea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8071999999999999"/>
          <c:y val="0.016320000000000001"/>
        </c:manualLayout>
      </c:layout>
      <c:overlay val="0"/>
      <c:spPr bwMode="auto">
        <a:prstGeom prst="rect">
          <a:avLst/>
        </a:prstGeom>
        <a:solidFill>
          <a:schemeClr val="bg1"/>
        </a:solidFill>
      </c:spPr>
    </c:title>
    <c:autoTitleDeleted val="0"/>
    <c:plotArea>
      <c:layout>
        <c:manualLayout>
          <c:layoutTarget val="inner"/>
          <c:xMode val="edge"/>
          <c:yMode val="edge"/>
          <c:x val="0.025180000000000001"/>
          <c:y val="0.28625"/>
          <c:w val="0.96991000000000005"/>
          <c:h val="0.284380000000000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 xml:space="preserve">Численность занимающихся физической культурой и спортом (всего), из них:</c:v>
                </c:pt>
              </c:strCache>
            </c:strRef>
          </c:tx>
          <c:invertIfNegative val="1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  <a:beve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Лист1!$A$5:$A$7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Лист1!$B$5:$B$7</c:f>
              <c:numCache>
                <c:formatCode>0</c:formatCode>
                <c:ptCount val="3"/>
                <c:pt idx="0">
                  <c:v>71640</c:v>
                </c:pt>
                <c:pt idx="1">
                  <c:v>72420</c:v>
                </c:pt>
                <c:pt idx="2">
                  <c:v>70108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 xml:space="preserve">дети и молодежь </c:v>
                </c:pt>
              </c:strCache>
            </c:strRef>
          </c:tx>
          <c:invertIfNegative val="1"/>
          <c:dLbls>
            <c:dLbl>
              <c:idx val="0"/>
              <c:layout>
                <c:manualLayout>
                  <c:x val="0.00087000000000000001"/>
                  <c:y val="-0.003850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0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layout>
                <c:manualLayout>
                  <c:x val="-0.0028700000000000002"/>
                  <c:y val="-0.002180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0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layout>
                <c:manualLayout>
                  <c:x val="-0.00158"/>
                  <c:y val="-0.0082299999999999995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900"/>
                      <a:t>34873</a:t>
                    </a:r>
                    <a:endParaRPr sz="900"/>
                  </a:p>
                </c:rich>
              </c:tx>
              <c:txPr>
                <a:bodyPr/>
                <a:lstStyle/>
                <a:p>
                  <a:pPr>
                    <a:defRPr sz="10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3"/>
              <c:layout>
                <c:manualLayout>
                  <c:x val="0.01516"/>
                  <c:y val="-0.04637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layout>
                <c:manualLayout>
                  <c:x val="0.0101"/>
                  <c:y val="-0.03606999999999999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Лист1!$A$5:$A$7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Лист1!$C$5:$C$7</c:f>
              <c:numCache>
                <c:formatCode>0</c:formatCode>
                <c:ptCount val="3"/>
                <c:pt idx="0">
                  <c:v>40150</c:v>
                </c:pt>
                <c:pt idx="1">
                  <c:v>40907</c:v>
                </c:pt>
                <c:pt idx="2">
                  <c:v>34874</c:v>
                </c:pt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 xml:space="preserve">граждане среднего возраста </c:v>
                </c:pt>
              </c:strCache>
            </c:strRef>
          </c:tx>
          <c:invertIfNegative val="1"/>
          <c:dLbls>
            <c:dLbl>
              <c:idx val="0"/>
              <c:layout>
                <c:manualLayout>
                  <c:x val="0.00315"/>
                  <c:y val="0.006219999999999999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 wrap="square" lIns="38096" tIns="19045" rIns="38096" bIns="19045" anchor="ctr">
                  <a:spAutoFit/>
                </a:bodyPr>
                <a:lstStyle/>
                <a:p>
                  <a:pPr>
                    <a:defRPr sz="10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layout>
                <c:manualLayout>
                  <c:x val="0.00036999999999999999"/>
                  <c:y val="0.004729999999999999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 wrap="square" lIns="38096" tIns="19045" rIns="38096" bIns="19045" anchor="ctr">
                  <a:spAutoFit/>
                </a:bodyPr>
                <a:lstStyle/>
                <a:p>
                  <a:pPr>
                    <a:defRPr sz="10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layout>
                <c:manualLayout>
                  <c:x val="0.001"/>
                  <c:y val="0.001379999999999999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 wrap="square" lIns="38096" tIns="19045" rIns="38096" bIns="19045" anchor="ctr">
                  <a:spAutoFit/>
                </a:bodyPr>
                <a:lstStyle/>
                <a:p>
                  <a:pPr>
                    <a:defRPr sz="10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3"/>
              <c:layout>
                <c:manualLayout>
                  <c:x val="0.01311"/>
                  <c:y val="0.01545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layout>
                <c:manualLayout>
                  <c:x val="0.01093"/>
                  <c:y val="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wrap="square" lIns="38097" tIns="19047" rIns="38097" bIns="19047" anchor="ctr">
                <a:spAutoFit/>
              </a:bodyPr>
              <a:lstStyle/>
              <a:p>
                <a:pPr>
                  <a:defRPr sz="9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Лист1!$A$5:$A$7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Лист1!$D$5:$D$7</c:f>
              <c:numCache>
                <c:formatCode>0</c:formatCode>
                <c:ptCount val="3"/>
                <c:pt idx="0">
                  <c:v>28954</c:v>
                </c:pt>
                <c:pt idx="1">
                  <c:v>28807</c:v>
                </c:pt>
                <c:pt idx="2">
                  <c:v>32615</c:v>
                </c:pt>
              </c:numCache>
            </c:numRef>
          </c:val>
        </c:ser>
        <c:ser>
          <c:idx val="3"/>
          <c:order val="3"/>
          <c:tx>
            <c:strRef>
              <c:f>Лист1!$E$2</c:f>
              <c:strCache>
                <c:ptCount val="1"/>
                <c:pt idx="0">
                  <c:v xml:space="preserve">граждане старшего возраста </c:v>
                </c:pt>
              </c:strCache>
            </c:strRef>
          </c:tx>
          <c:invertIfNegative val="1"/>
          <c:dLbls>
            <c:dLbl>
              <c:idx val="0"/>
              <c:layout>
                <c:manualLayout>
                  <c:x val="0"/>
                  <c:y val="0.01246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 wrap="square" lIns="38096" tIns="19045" rIns="38096" bIns="19045" anchor="ctr">
                  <a:spAutoFit/>
                </a:bodyPr>
                <a:lstStyle/>
                <a:p>
                  <a:pPr>
                    <a:defRPr sz="10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layout>
                <c:manualLayout>
                  <c:x val="0.00214"/>
                  <c:y val="0.0062300000000000003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 wrap="square" lIns="38096" tIns="19045" rIns="38096" bIns="19045" anchor="ctr">
                  <a:spAutoFit/>
                </a:bodyPr>
                <a:lstStyle/>
                <a:p>
                  <a:pPr>
                    <a:defRPr sz="10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layout>
                <c:manualLayout>
                  <c:x val="-0.00214"/>
                  <c:y val="0.01866999999999999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 wrap="square" lIns="38096" tIns="19045" rIns="38096" bIns="19045" anchor="ctr">
                  <a:spAutoFit/>
                </a:bodyPr>
                <a:lstStyle/>
                <a:p>
                  <a:pPr>
                    <a:defRPr sz="10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wrap="square" lIns="38097" tIns="19047" rIns="38097" bIns="19047" anchor="ctr">
                <a:spAutoFit/>
              </a:bodyPr>
              <a:lstStyle/>
              <a:p>
                <a:pPr>
                  <a:defRPr sz="9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Лист1!$A$5:$A$7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Лист1!$E$5:$E$7</c:f>
              <c:numCache>
                <c:formatCode>0</c:formatCode>
                <c:ptCount val="3"/>
                <c:pt idx="0">
                  <c:v>2536</c:v>
                </c:pt>
                <c:pt idx="1">
                  <c:v>2706</c:v>
                </c:pt>
                <c:pt idx="2">
                  <c:v>2620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63"/>
        <c:axId val="1866169479"/>
        <c:axId val="1866169480"/>
      </c:barChart>
      <c:catAx>
        <c:axId val="1866169479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1866169480"/>
        <c:crosses val="autoZero"/>
        <c:auto val="1"/>
        <c:lblAlgn val="ctr"/>
        <c:lblOffset val="100"/>
        <c:noMultiLvlLbl val="0"/>
      </c:catAx>
      <c:valAx>
        <c:axId val="1866169480"/>
        <c:scaling>
          <c:orientation val="minMax"/>
          <c:max val="80000"/>
          <c:min val="0"/>
        </c:scaling>
        <c:delete val="1"/>
        <c:axPos val="l"/>
        <c:numFmt formatCode="0" sourceLinked="1"/>
        <c:majorTickMark val="out"/>
        <c:minorTickMark val="none"/>
        <c:tickLblPos val="none"/>
        <c:crossAx val="1866169479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3024"/>
          <c:w val="1"/>
          <c:h val="0.26974999999999999"/>
        </c:manualLayout>
      </c:layout>
      <c:overlay val="0"/>
      <c:txPr>
        <a:bodyPr/>
        <a:lstStyle/>
        <a:p>
          <a:pPr>
            <a:defRPr sz="1100">
              <a:latin typeface="Liberation Sans"/>
              <a:ea typeface="Liberation Sans"/>
              <a:cs typeface="Liberation Sans"/>
            </a:defRPr>
          </a:pPr>
          <a:endParaRPr lang="ru-RU"/>
        </a:p>
      </c:txPr>
    </c:legend>
    <c:plotVisOnly val="1"/>
    <c:dispBlanksAs val="gap"/>
    <c:showDLblsOverMax val="0"/>
  </c:chart>
  <c:spPr bwMode="auto">
    <a:xfrm>
      <a:off x="0" y="0"/>
      <a:ext cx="5808612" cy="2464672"/>
    </a:xfrm>
    <a:prstGeom prst="rect">
      <a:avLst/>
    </a:prstGeom>
    <a:solidFill>
      <a:schemeClr val="bg1"/>
    </a:solidFill>
    <a:ln w="19049" cap="flat" cmpd="sng" algn="ctr">
      <a:solidFill>
        <a:schemeClr val="bg1"/>
      </a:solidFill>
      <a:prstDash val="solid"/>
    </a:ln>
  </c:sp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 algn="ctr">
              <a:defRPr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ea typeface="Liberation Sans"/>
                <a:cs typeface="Liberation Sans"/>
              </a:rPr>
              <a:t>Количество спортивных мероприятий </a:t>
            </a:r>
            <a:br>
              <a:rPr lang="ru-RU" sz="1200">
                <a:latin typeface="Liberation Sans"/>
                <a:ea typeface="Liberation Sans"/>
                <a:cs typeface="Liberation Sans"/>
              </a:rPr>
            </a:br>
            <a:r>
              <a:rPr lang="ru-RU" sz="1200">
                <a:latin typeface="Liberation Sans"/>
                <a:ea typeface="Liberation Sans"/>
                <a:cs typeface="Liberation Sans"/>
              </a:rPr>
              <a:t>и численность участников </a:t>
            </a:r>
            <a:br>
              <a:rPr lang="ru-RU" sz="1200">
                <a:latin typeface="Liberation Sans"/>
                <a:ea typeface="Liberation Sans"/>
                <a:cs typeface="Liberation Sans"/>
              </a:rPr>
            </a:br>
            <a:r>
              <a:rPr lang="ru-RU" sz="1200">
                <a:latin typeface="Liberation Sans"/>
                <a:ea typeface="Liberation Sans"/>
                <a:cs typeface="Liberation Sans"/>
              </a:rPr>
              <a:t>(без учета участников выездных соревнований) </a:t>
            </a:r>
            <a:endParaRPr lang="ru-RU" sz="1200">
              <a:latin typeface="Liberation Sans"/>
              <a:ea typeface="Liberation Sans"/>
              <a:cs typeface="Liberation Sans"/>
            </a:endParaRPr>
          </a:p>
          <a:p>
            <a:pPr algn="ctr">
              <a:defRPr>
                <a:latin typeface="Liberation Sans"/>
                <a:ea typeface="Liberation Sans"/>
                <a:cs typeface="Liberation Sans"/>
              </a:defRPr>
            </a:pPr>
            <a:endParaRPr lang="ru-RU">
              <a:latin typeface="Liberation Sans"/>
              <a:ea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1846"/>
          <c:y val="0.0056600000000000001"/>
        </c:manualLayout>
      </c:layout>
      <c:overlay val="0"/>
    </c:title>
    <c:autoTitleDeleted val="0"/>
    <c:view3D>
      <c:rotX val="10"/>
      <c:rotY val="0"/>
      <c:rAngAx val="1"/>
    </c:view3D>
    <c:floor>
      <c:thickness val="0"/>
      <c:spPr bwMode="auto">
        <a:prstGeom prst="rect">
          <a:avLst/>
        </a:prstGeom>
        <a:noFill/>
        <a:ln w="9525">
          <a:noFill/>
          <a:miter/>
        </a:ln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086279999999999996"/>
          <c:y val="0.29691000000000001"/>
          <c:w val="0.83306999999999998"/>
          <c:h val="0.4275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 xml:space="preserve">Мероприятия, ед.</c:v>
                </c:pt>
              </c:strCache>
            </c:strRef>
          </c:tx>
          <c:invertIfNegative val="1"/>
          <c:dLbls>
            <c:dLbl>
              <c:idx val="0"/>
              <c:layout>
                <c:manualLayout>
                  <c:x val="0.0072199999999999999"/>
                  <c:y val="-0.046129999999999997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"/>
              <c:layout>
                <c:manualLayout>
                  <c:x val="0.0036099999999999999"/>
                  <c:y val="-0.04707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layout>
                <c:manualLayout>
                  <c:x val="-0.01444"/>
                  <c:y val="-0.04707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'Лист1'!$A$4:$A$6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'Лист1'!$B$4:$B$6</c:f>
              <c:numCache>
                <c:formatCode>0</c:formatCode>
                <c:ptCount val="3"/>
                <c:pt idx="0">
                  <c:v>998</c:v>
                </c:pt>
                <c:pt idx="1">
                  <c:v>1028</c:v>
                </c:pt>
                <c:pt idx="2">
                  <c:v>1033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 xml:space="preserve">Участники, чел.</c:v>
                </c:pt>
              </c:strCache>
            </c:strRef>
          </c:tx>
          <c:invertIfNegative val="1"/>
          <c:dLbls>
            <c:dLbl>
              <c:idx val="0"/>
              <c:layout>
                <c:manualLayout>
                  <c:x val="0"/>
                  <c:y val="-0.0258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"/>
              <c:layout>
                <c:manualLayout>
                  <c:x val="0"/>
                  <c:y val="-0.0258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layout>
                <c:manualLayout>
                  <c:x val="-0.00481"/>
                  <c:y val="-0.0207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'Лист1'!$A$4:$A$6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'Лист1'!$C$4:$C$6</c:f>
              <c:numCache>
                <c:formatCode>0</c:formatCode>
                <c:ptCount val="3"/>
                <c:pt idx="0">
                  <c:v>46329</c:v>
                </c:pt>
                <c:pt idx="1">
                  <c:v>54357</c:v>
                </c:pt>
                <c:pt idx="2">
                  <c:v>56595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75"/>
        <c:shape val="box"/>
        <c:axId val="1866169481"/>
        <c:axId val="1866169482"/>
      </c:bar3DChart>
      <c:catAx>
        <c:axId val="1866169481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1866169482"/>
        <c:crosses val="autoZero"/>
        <c:auto val="1"/>
        <c:lblAlgn val="ctr"/>
        <c:lblOffset val="100"/>
        <c:noMultiLvlLbl val="0"/>
      </c:catAx>
      <c:valAx>
        <c:axId val="1866169482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one"/>
        <c:crossAx val="1866169481"/>
        <c:crosses val="autoZero"/>
        <c:crossBetween val="between"/>
      </c:valAx>
      <c:spPr bwMode="auto">
        <a:prstGeom prst="rect">
          <a:avLst/>
        </a:prstGeom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5508"/>
          <c:y val="0.92137999999999998"/>
          <c:w val="0.70957999999999999"/>
          <c:h val="0.071739999999999998"/>
        </c:manualLayout>
      </c:layout>
      <c:overlay val="0"/>
      <c:txPr>
        <a:bodyPr/>
        <a:lstStyle/>
        <a:p>
          <a:pPr>
            <a:defRPr sz="1200" b="0">
              <a:latin typeface="Liberation Sans"/>
              <a:ea typeface="Liberation Sans"/>
              <a:cs typeface="Liberation Sans"/>
            </a:defRPr>
          </a:pPr>
          <a:endParaRPr lang="ru-RU"/>
        </a:p>
      </c:txPr>
    </c:legend>
    <c:plotVisOnly val="1"/>
    <c:dispBlanksAs val="gap"/>
    <c:showDLblsOverMax val="0"/>
  </c:chart>
  <c:spPr bwMode="auto">
    <a:xfrm>
      <a:off x="0" y="0"/>
      <a:ext cx="5273915" cy="2555910"/>
    </a:xfrm>
    <a:prstGeom prst="rect">
      <a:avLst/>
    </a:prstGeom>
    <a:ln>
      <a:noFill/>
    </a:ln>
  </c:sp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solidFill>
                  <a:sysClr val="windowText" lastClr="000000"/>
                </a:solidFill>
                <a:latin typeface="Liberation Sans"/>
                <a:ea typeface="Liberation Sans"/>
                <a:cs typeface="Liberation Sans"/>
              </a:rPr>
              <a:t>Численность выполнивших нормативы </a:t>
            </a:r>
            <a:r>
              <a:rPr lang="ru-RU" sz="1200">
                <a:solidFill>
                  <a:sysClr val="windowText" lastClr="000000"/>
                </a:solidFill>
                <a:latin typeface="Liberation Sans"/>
                <a:ea typeface="Liberation Sans"/>
                <a:cs typeface="Liberation Sans"/>
              </a:rPr>
              <a:t>ГТО, человек</a:t>
            </a:r>
            <a:endParaRPr lang="ru-RU">
              <a:latin typeface="Liberation Sans"/>
              <a:ea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8536"/>
          <c:y val="0.0116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082140000000000005"/>
          <c:y val="0.25368000000000002"/>
          <c:w val="0.86109000000000002"/>
          <c:h val="0.384079999999999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>золото</c:v>
                </c:pt>
              </c:strCache>
            </c:strRef>
          </c:tx>
          <c:spPr bwMode="auto">
            <a:prstGeom prst="rect">
              <a:avLst/>
            </a:prstGeom>
            <a:solidFill>
              <a:srgbClr val="FFFF99"/>
            </a:solidFill>
          </c:spPr>
          <c:invertIfNegative val="1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'Лист1'!$A$4:$A$6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'Лист1'!$B$4:$B$6</c:f>
              <c:numCache>
                <c:formatCode>General</c:formatCode>
                <c:ptCount val="3"/>
                <c:pt idx="0">
                  <c:v>249</c:v>
                </c:pt>
                <c:pt idx="1">
                  <c:v>644</c:v>
                </c:pt>
                <c:pt idx="2">
                  <c:v>1729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серебро</c:v>
                </c:pt>
              </c:strCache>
            </c:strRef>
          </c:tx>
          <c:spPr bwMode="auto">
            <a:prstGeom prst="rect">
              <a:avLst/>
            </a:prstGeom>
            <a:solidFill>
              <a:srgbClr val="A6A6A6"/>
            </a:solidFill>
          </c:spPr>
          <c:invertIfNegative val="1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'Лист1'!$A$4:$A$6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'Лист1'!$C$4:$C$6</c:f>
              <c:numCache>
                <c:formatCode>General</c:formatCode>
                <c:ptCount val="3"/>
                <c:pt idx="0">
                  <c:v>338</c:v>
                </c:pt>
                <c:pt idx="1">
                  <c:v>481</c:v>
                </c:pt>
                <c:pt idx="2">
                  <c:v>1196</c:v>
                </c:pt>
              </c:numCache>
            </c:numRef>
          </c:val>
        </c:ser>
        <c:ser>
          <c:idx val="2"/>
          <c:order val="2"/>
          <c:tx>
            <c:strRef>
              <c:f>'Лист1'!$D$1</c:f>
              <c:strCache>
                <c:ptCount val="1"/>
                <c:pt idx="0">
                  <c:v>бронза</c:v>
                </c:pt>
              </c:strCache>
            </c:strRef>
          </c:tx>
          <c:spPr bwMode="auto">
            <a:prstGeom prst="rect">
              <a:avLst/>
            </a:prstGeom>
            <a:solidFill>
              <a:srgbClr val="F9BB8E"/>
            </a:solidFill>
          </c:spPr>
          <c:invertIfNegative val="1"/>
          <c:dLbls>
            <c:dLbl>
              <c:idx val="4"/>
              <c:layout>
                <c:manualLayout>
                  <c:x val="0.030040000000000001"/>
                  <c:y val="0.005810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'Лист1'!$A$4:$A$6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'Лист1'!$D$4:$D$6</c:f>
              <c:numCache>
                <c:formatCode>General</c:formatCode>
                <c:ptCount val="3"/>
                <c:pt idx="0">
                  <c:v>176</c:v>
                </c:pt>
                <c:pt idx="1">
                  <c:v>368</c:v>
                </c:pt>
                <c:pt idx="2">
                  <c:v>1219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50"/>
        <c:axId val="1866169483"/>
        <c:axId val="1866169484"/>
      </c:barChart>
      <c:catAx>
        <c:axId val="1866169483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1866169484"/>
        <c:crosses val="autoZero"/>
        <c:auto val="1"/>
        <c:lblAlgn val="ctr"/>
        <c:lblOffset val="100"/>
        <c:noMultiLvlLbl val="0"/>
      </c:catAx>
      <c:valAx>
        <c:axId val="1866169484"/>
        <c:scaling>
          <c:orientation val="minMax"/>
        </c:scaling>
        <c:delete val="1"/>
        <c:axPos val="l"/>
        <c:majorGridlines>
          <c:spPr bwMode="auto">
            <a:prstGeom prst="rect">
              <a:avLst/>
            </a:prstGeom>
            <a:ln w="3175">
              <a:noFill/>
            </a:ln>
          </c:spPr>
        </c:majorGridlines>
        <c:numFmt formatCode="General" sourceLinked="1"/>
        <c:majorTickMark val="out"/>
        <c:minorTickMark val="none"/>
        <c:tickLblPos val="none"/>
        <c:crossAx val="1866169483"/>
        <c:crosses val="autoZero"/>
        <c:crossBetween val="between"/>
      </c:valAx>
      <c:spPr bwMode="auto">
        <a:prstGeom prst="rect">
          <a:avLst/>
        </a:prstGeom>
        <a:ln>
          <a:noFill/>
        </a:ln>
      </c:spPr>
    </c:plotArea>
    <c:legend>
      <c:legendPos val="b"/>
      <c:layout>
        <c:manualLayout>
          <c:xMode val="edge"/>
          <c:yMode val="edge"/>
          <c:x val="0.13908999999999999"/>
          <c:y val="0.77902000000000005"/>
          <c:w val="0.76127999999999996"/>
          <c:h val="0.14283000000000001"/>
        </c:manualLayout>
      </c:layout>
      <c:overlay val="0"/>
      <c:txPr>
        <a:bodyPr/>
        <a:lstStyle/>
        <a:p>
          <a:pPr>
            <a:defRPr sz="1200" b="0">
              <a:latin typeface="Liberation Sans"/>
              <a:ea typeface="Liberation Sans"/>
              <a:cs typeface="Liberation Sans"/>
            </a:defRPr>
          </a:pPr>
          <a:endParaRPr lang="ru-RU"/>
        </a:p>
      </c:txPr>
    </c:legend>
    <c:plotVisOnly val="1"/>
    <c:dispBlanksAs val="gap"/>
    <c:showDLblsOverMax val="0"/>
  </c:chart>
  <c:spPr bwMode="auto">
    <a:xfrm>
      <a:off x="0" y="0"/>
      <a:ext cx="5918832" cy="2185668"/>
    </a:xfrm>
    <a:prstGeom prst="rect">
      <a:avLst/>
    </a:prstGeom>
    <a:ln w="44449" cap="flat" cmpd="sng" algn="ctr">
      <a:solidFill>
        <a:schemeClr val="bg1"/>
      </a:solidFill>
      <a:prstDash val="solid"/>
    </a:ln>
  </c:spPr>
  <c:txPr>
    <a:bodyPr/>
    <a:lstStyle/>
    <a:p>
      <a:pPr>
        <a:defRPr>
          <a:ln>
            <a:noFill/>
          </a:ln>
        </a:defRPr>
      </a:pPr>
      <a:endParaRPr lang="ru-RU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 algn="ctr">
              <a:defRPr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Количество мероприятий, проведенных учреждениями </a:t>
            </a:r>
            <a:b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</a:b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в сфере молодежной политики, и численность участников </a:t>
            </a:r>
            <a:endParaRPr sz="1200" b="1">
              <a:solidFill>
                <a:schemeClr val="tx1"/>
              </a:solidFill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2748999999999999"/>
          <c:y val="0.0063699999999999998"/>
        </c:manualLayout>
      </c:layout>
      <c:overlay val="0"/>
      <c:spPr bwMode="auto">
        <a:prstGeom prst="rect">
          <a:avLst/>
        </a:prstGeom>
        <a:noFill/>
        <a:ln>
          <a:noFill/>
        </a:ln>
      </c:spPr>
      <c:txPr>
        <a:bodyPr/>
        <a:p>
          <a:pPr>
            <a:defRPr sz="1400" b="0" spc="0">
              <a:solidFill>
                <a:schemeClr val="tx1">
                  <a:lumMod val="65000"/>
                  <a:lumOff val="35000"/>
                </a:schemeClr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 bwMode="auto">
        <a:prstGeom prst="rect">
          <a:avLst/>
        </a:prstGeom>
        <a:noFill/>
        <a:ln>
          <a:noFill/>
        </a:ln>
      </c:spPr>
    </c:floor>
    <c:sideWall>
      <c:thickness val="0"/>
      <c:spPr bwMode="auto">
        <a:prstGeom prst="rect">
          <a:avLst/>
        </a:prstGeom>
        <a:noFill/>
        <a:ln>
          <a:noFill/>
        </a:ln>
      </c:spPr>
    </c:sideWall>
    <c:backWall>
      <c:thickness val="0"/>
      <c:spPr bwMode="auto">
        <a:prstGeom prst="rect">
          <a:avLst/>
        </a:prstGeom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0.087819999999999995"/>
          <c:y val="0.26935999999999999"/>
          <c:w val="0.83306000000000002"/>
          <c:h val="0.4275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 xml:space="preserve">Мероприятия, ед.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  <a:ln>
              <a:noFill/>
            </a:ln>
          </c:spPr>
          <c:invertIfNegative val="1"/>
          <c:dLbls>
            <c:dLbl>
              <c:idx val="0"/>
              <c:dLblPos val="outEnd"/>
              <c:layout>
                <c:manualLayout>
                  <c:x val="-0.0032100000000000002"/>
                  <c:y val="-0.02972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0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dLblPos val="outEnd"/>
              <c:layout>
                <c:manualLayout>
                  <c:x val="0"/>
                  <c:y val="-0.02477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0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"/>
              <c:dLblPos val="outEnd"/>
              <c:layout>
                <c:manualLayout>
                  <c:x val="0"/>
                  <c:y val="-0.02972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0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000" b="1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'Лист1'!$A$2:$A$4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'Лист1'!$B$2:$B$4</c:f>
              <c:numCache>
                <c:formatCode>0</c:formatCode>
                <c:ptCount val="3"/>
                <c:pt idx="0">
                  <c:v>588</c:v>
                </c:pt>
                <c:pt idx="1">
                  <c:v>588</c:v>
                </c:pt>
                <c:pt idx="2">
                  <c:v>600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 xml:space="preserve">Участники, чел.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</c:spPr>
          <c:invertIfNegative val="1"/>
          <c:dLbls>
            <c:dLbl>
              <c:idx val="0"/>
              <c:dLblPos val="outEnd"/>
              <c:layout>
                <c:manualLayout>
                  <c:x val="0.014449999999999999"/>
                  <c:y val="-0.049549999999999997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0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dLblPos val="outEnd"/>
              <c:layout>
                <c:manualLayout>
                  <c:x val="0"/>
                  <c:y val="-0.02972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0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"/>
              <c:dLblPos val="outEnd"/>
              <c:layout>
                <c:manualLayout>
                  <c:x val="0.00481"/>
                  <c:y val="-0.029729999999999999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0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000" b="1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'Лист1'!$A$2:$A$4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'Лист1'!$C$2:$C$4</c:f>
              <c:numCache>
                <c:formatCode>0</c:formatCode>
                <c:ptCount val="3"/>
                <c:pt idx="0">
                  <c:v>21555</c:v>
                </c:pt>
                <c:pt idx="1">
                  <c:v>23731</c:v>
                </c:pt>
                <c:pt idx="2">
                  <c:v>37979</c:v>
                </c:pt>
              </c:numCache>
            </c:numRef>
          </c:val>
        </c:ser>
        <c:dLbls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spPr bwMode="auto">
            <a:prstGeom prst="rect">
              <a:avLst/>
            </a:prstGeom>
            <a:noFill/>
            <a:ln>
              <a:noFill/>
            </a:ln>
          </c:spPr>
          <c:txPr>
            <a:bodyPr/>
            <a:p>
              <a:pPr>
                <a:defRPr sz="90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/>
            </a:p>
          </c:txPr>
        </c:dLbls>
        <c:gapWidth val="150"/>
        <c:shape val="box"/>
        <c:axId val="2140842392"/>
        <c:axId val="2140842393"/>
      </c:bar3DChart>
      <c:catAx>
        <c:axId val="21408423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</c:spPr>
        <c:txPr>
          <a:bodyPr/>
          <a:lstStyle/>
          <a:p>
            <a:pPr>
              <a:defRPr sz="1100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2140842393"/>
        <c:crosses val="autoZero"/>
        <c:auto val="1"/>
        <c:lblAlgn val="ctr"/>
        <c:lblOffset val="100"/>
        <c:tickMarkSkip val="1"/>
        <c:noMultiLvlLbl val="0"/>
      </c:catAx>
      <c:valAx>
        <c:axId val="2140842393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</c:spPr>
        <c:txPr>
          <a:bodyPr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/>
          </a:p>
        </c:txPr>
        <c:crossAx val="2140842392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legend>
      <c:legendPos val="b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>
              <a:solidFill>
                <a:schemeClr val="tx1"/>
              </a:solidFill>
              <a:latin typeface="Liberation Sans"/>
              <a:ea typeface="Liberation Sans"/>
              <a:cs typeface="Liberation Sans"/>
            </a:defRPr>
          </a:pPr>
          <a:endParaRPr lang="en-US"/>
        </a:p>
      </c:txPr>
    </c:legend>
    <c:plotVisOnly val="1"/>
    <c:dispBlanksAs val="gap"/>
    <c:showDLblsOverMax val="0"/>
  </c:chart>
  <c:spPr bwMode="auto">
    <a:xfrm>
      <a:off x="0" y="0"/>
      <a:ext cx="5931237" cy="1922262"/>
    </a:xfrm>
    <a:prstGeom prst="rect">
      <a:avLst/>
    </a:prstGeom>
    <a:solidFill>
      <a:schemeClr val="bg1"/>
    </a:solidFill>
    <a:ln w="9525" cap="flat" cmpd="sng" algn="ctr">
      <a:noFill/>
      <a:round/>
    </a:ln>
  </c:spPr>
  <c:txPr>
    <a:bodyPr/>
    <a:lstStyle/>
    <a:p>
      <a:pPr>
        <a:defRPr sz="1000">
          <a:solidFill>
            <a:schemeClr val="tx1"/>
          </a:solidFill>
          <a:latin typeface="+mn-lt"/>
          <a:ea typeface="+mn-ea"/>
          <a:cs typeface="+mn-cs"/>
        </a:defRPr>
      </a:pPr>
      <a:endParaRPr lang="ru-RU"/>
    </a:p>
  </c:txPr>
  <c:externalData r:id="rId3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>
                <a:solidFill>
                  <a:schemeClr val="tx1"/>
                </a:solidFill>
              </a:defRPr>
            </a:pP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Участие молодежи в мероприятиях </a:t>
            </a:r>
            <a:endParaRPr sz="1200" b="1">
              <a:solidFill>
                <a:schemeClr val="tx1"/>
              </a:solidFill>
              <a:latin typeface="Liberation Sans"/>
              <a:cs typeface="Liberation Sans"/>
            </a:endParaRPr>
          </a:p>
          <a:p>
            <a:pPr>
              <a:defRPr>
                <a:solidFill>
                  <a:schemeClr val="tx1"/>
                </a:solidFill>
              </a:defRPr>
            </a:pP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Всероссийской форумной кампании всех уровней</a:t>
            </a: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 </a:t>
            </a:r>
            <a:endParaRPr sz="1200" b="1">
              <a:solidFill>
                <a:schemeClr val="tx1"/>
              </a:solidFill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6868"/>
          <c:y val="0.0056600000000000001"/>
        </c:manualLayout>
      </c:layout>
      <c:overlay val="0"/>
      <c:spPr bwMode="auto">
        <a:prstGeom prst="rect">
          <a:avLst/>
        </a:prstGeom>
        <a:noFill/>
        <a:ln>
          <a:noFill/>
        </a:ln>
      </c:spPr>
      <c:txPr>
        <a:bodyPr/>
        <a:p>
          <a:pPr>
            <a:defRPr sz="1400" b="0" spc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 bwMode="auto">
        <a:prstGeom prst="rect">
          <a:avLst/>
        </a:prstGeom>
        <a:noFill/>
        <a:ln>
          <a:noFill/>
        </a:ln>
      </c:spPr>
    </c:floor>
    <c:sideWall>
      <c:thickness val="0"/>
      <c:spPr bwMode="auto">
        <a:prstGeom prst="rect">
          <a:avLst/>
        </a:prstGeom>
        <a:noFill/>
        <a:ln>
          <a:noFill/>
        </a:ln>
      </c:spPr>
    </c:sideWall>
    <c:backWall>
      <c:thickness val="0"/>
      <c:spPr bwMode="auto">
        <a:prstGeom prst="rect">
          <a:avLst/>
        </a:prstGeom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0.0079100000000000004"/>
          <c:y val="0.27173000000000003"/>
          <c:w val="0.98172999999999999"/>
          <c:h val="0.3602500000000000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 xml:space="preserve">Мероприятия, ед.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  <a:ln>
              <a:noFill/>
            </a:ln>
          </c:spPr>
          <c:invertIfNegative val="1"/>
          <c:dLbls>
            <c:dLbl>
              <c:idx val="0"/>
              <c:dLblPos val="outEnd"/>
              <c:layout>
                <c:manualLayout>
                  <c:x val="0.016199999999999999"/>
                  <c:y val="-0.03115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1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dLblPos val="outEnd"/>
              <c:layout>
                <c:manualLayout>
                  <c:x val="0.0029399999999999999"/>
                  <c:y val="-0.03461000000000000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1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"/>
              <c:dLblPos val="outEnd"/>
              <c:layout>
                <c:manualLayout>
                  <c:x val="0.0029399999999999999"/>
                  <c:y val="-0.03115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1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100" b="1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'Лист1'!$A$2:$A$4</c:f>
              <c:strCache>
                <c:ptCount val="3"/>
                <c:pt idx="0">
                  <c:v xml:space="preserve">Международный уровень</c:v>
                </c:pt>
                <c:pt idx="1">
                  <c:v xml:space="preserve">Всероссийский уровень</c:v>
                </c:pt>
                <c:pt idx="2">
                  <c:v xml:space="preserve">Окружной уровень</c:v>
                </c:pt>
              </c:strCache>
            </c:strRef>
          </c:cat>
          <c:val>
            <c:numRef>
              <c:f>'Лист1'!$B$2:$B$4</c:f>
              <c:numCache>
                <c:formatCode>0</c:formatCode>
                <c:ptCount val="3"/>
                <c:pt idx="0">
                  <c:v>3</c:v>
                </c:pt>
                <c:pt idx="1">
                  <c:v>13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 xml:space="preserve">Участники, чел.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</c:spPr>
          <c:invertIfNegative val="1"/>
          <c:dLbls>
            <c:dLbl>
              <c:idx val="0"/>
              <c:dLblPos val="outEnd"/>
              <c:layout>
                <c:manualLayout>
                  <c:x val="0.0073600000000000002"/>
                  <c:y val="-0.03115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1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dLblPos val="outEnd"/>
              <c:layout>
                <c:manualLayout>
                  <c:x val="0.00147"/>
                  <c:y val="-0.03461000000000000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1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"/>
              <c:dLblPos val="outEnd"/>
              <c:layout>
                <c:manualLayout>
                  <c:x val="0.0029399999999999999"/>
                  <c:y val="-0.03115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100" b="1">
                      <a:solidFill>
                        <a:schemeClr val="tx1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100" b="1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'Лист1'!$A$2:$A$4</c:f>
              <c:strCache>
                <c:ptCount val="3"/>
                <c:pt idx="0">
                  <c:v xml:space="preserve">Международный уровень</c:v>
                </c:pt>
                <c:pt idx="1">
                  <c:v xml:space="preserve">Всероссийский уровень</c:v>
                </c:pt>
                <c:pt idx="2">
                  <c:v xml:space="preserve">Окружной уровень</c:v>
                </c:pt>
              </c:strCache>
            </c:strRef>
          </c:cat>
          <c:val>
            <c:numRef>
              <c:f>'Лист1'!$C$2:$C$4</c:f>
              <c:numCache>
                <c:formatCode>0</c:formatCode>
                <c:ptCount val="3"/>
                <c:pt idx="0">
                  <c:v>5</c:v>
                </c:pt>
                <c:pt idx="1">
                  <c:v>63</c:v>
                </c:pt>
                <c:pt idx="2">
                  <c:v>92</c:v>
                </c:pt>
              </c:numCache>
            </c:numRef>
          </c:val>
        </c:ser>
        <c:dLbls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spPr bwMode="auto">
            <a:prstGeom prst="rect">
              <a:avLst/>
            </a:prstGeom>
            <a:noFill/>
            <a:ln>
              <a:noFill/>
            </a:ln>
          </c:spPr>
          <c:txPr>
            <a:bodyPr/>
            <a:p>
              <a:pPr>
                <a:defRPr sz="90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/>
            </a:p>
          </c:txPr>
        </c:dLbls>
        <c:gapWidth val="150"/>
        <c:shape val="box"/>
        <c:axId val="2140842396"/>
        <c:axId val="2140842397"/>
      </c:bar3DChart>
      <c:catAx>
        <c:axId val="21408423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</c:spPr>
        <c:txPr>
          <a:bodyPr/>
          <a:lstStyle/>
          <a:p>
            <a:pPr>
              <a:defRPr sz="1000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2140842397"/>
        <c:crosses val="autoZero"/>
        <c:auto val="1"/>
        <c:lblAlgn val="ctr"/>
        <c:lblOffset val="100"/>
        <c:tickMarkSkip val="1"/>
        <c:noMultiLvlLbl val="0"/>
      </c:catAx>
      <c:valAx>
        <c:axId val="2140842397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</c:spPr>
        <c:txPr>
          <a:bodyPr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/>
          </a:p>
        </c:txPr>
        <c:crossAx val="2140842396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legend>
      <c:legendPos val="b"/>
      <c:layout>
        <c:manualLayout>
          <c:x val="0"/>
          <c:y val="-0.065759999999999999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>
              <a:solidFill>
                <a:schemeClr val="tx1"/>
              </a:solidFill>
              <a:latin typeface="Liberation Sans"/>
              <a:ea typeface="Liberation Sans"/>
              <a:cs typeface="Liberation Sans"/>
            </a:defRPr>
          </a:pPr>
          <a:endParaRPr lang="en-US"/>
        </a:p>
      </c:txPr>
    </c:legend>
    <c:plotVisOnly val="1"/>
    <c:dispBlanksAs val="gap"/>
    <c:showDLblsOverMax val="0"/>
  </c:chart>
  <c:spPr bwMode="auto">
    <a:xfrm>
      <a:off x="0" y="0"/>
      <a:ext cx="6463674" cy="2751883"/>
    </a:xfrm>
    <a:prstGeom prst="rect">
      <a:avLst/>
    </a:prstGeom>
    <a:solidFill>
      <a:schemeClr val="bg1"/>
    </a:solidFill>
    <a:ln w="9525" cap="flat" cmpd="sng" algn="ctr">
      <a:noFill/>
      <a:round/>
    </a:ln>
  </c:spPr>
  <c:txPr>
    <a:bodyPr/>
    <a:lstStyle/>
    <a:p>
      <a:pPr>
        <a:defRPr sz="1000">
          <a:solidFill>
            <a:schemeClr val="tx1"/>
          </a:solidFill>
          <a:latin typeface="+mn-lt"/>
          <a:ea typeface="+mn-ea"/>
          <a:cs typeface="+mn-cs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cs typeface="Liberation Sans"/>
              </a:rPr>
              <a:t>Количество общедоступных организаций</a:t>
            </a:r>
            <a:endParaRPr>
              <a:latin typeface="Liberation Sans"/>
              <a:cs typeface="Liberation Sans"/>
            </a:endParaRPr>
          </a:p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cs typeface="Liberation Sans"/>
              </a:rPr>
              <a:t> общественного питания, ед.</a:t>
            </a:r>
            <a:endParaRPr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9397"/>
          <c:y val="-0.01417"/>
        </c:manualLayout>
      </c:layout>
      <c:overlay val="0"/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title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Ряд 1</c:v>
                </c:pt>
              </c:strCache>
            </c:strRef>
          </c:tx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2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185</c:v>
                </c:pt>
                <c:pt idx="1">
                  <c:v>192</c:v>
                </c:pt>
                <c:pt idx="2">
                  <c:v>217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50"/>
        <c:axId val="2140841512"/>
        <c:axId val="2140841513"/>
      </c:barChart>
      <c:catAx>
        <c:axId val="21408415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1513"/>
        <c:crosses val="autoZero"/>
        <c:auto val="1"/>
        <c:lblAlgn val="ctr"/>
        <c:lblOffset val="100"/>
        <c:noMultiLvlLbl val="0"/>
      </c:catAx>
      <c:valAx>
        <c:axId val="2140841513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140841512"/>
        <c:crosses val="autoZero"/>
        <c:crossBetween val="between"/>
      </c:valAx>
    </c:plotArea>
    <c:plotVisOnly val="1"/>
    <c:showDLblsOverMax val="0"/>
  </c:chart>
  <c:spPr bwMode="auto">
    <a:xfrm>
      <a:off x="0" y="0"/>
      <a:ext cx="4861264" cy="1648183"/>
    </a:xfrm>
    <a:prstGeom prst="rect">
      <a:avLst/>
    </a:prstGeom>
    <a:ln>
      <a:noFill/>
    </a:ln>
  </c:spPr>
  <c:txPr>
    <a:bodyPr/>
    <a:lstStyle/>
    <a:p>
      <a:pPr>
        <a:defRPr>
          <a:latin typeface="Liberation Serif"/>
          <a:ea typeface="PT Astra Serif"/>
        </a:defRPr>
      </a:pPr>
      <a:endParaRPr lang="ru-RU"/>
    </a:p>
  </c:tx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ea typeface="PT Astra Serif"/>
                <a:cs typeface="Liberation Sans"/>
              </a:rPr>
              <a:t>Количество патриотических мероприятий, ед.</a:t>
            </a:r>
            <a:endParaRPr lang="ru-RU" sz="1200"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5187"/>
          <c:y val="0.01686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759"/>
          <c:y val="0.31157000000000001"/>
          <c:w val="0.78003999999999996"/>
          <c:h val="0.449749999999999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Мероприятия, ед.</c:v>
                </c:pt>
              </c:strCache>
            </c:strRef>
          </c:tx>
          <c:invertIfNegative val="1"/>
          <c:dLbls>
            <c:dLbl>
              <c:idx val="2"/>
              <c:layout>
                <c:manualLayout>
                  <c:x val="0"/>
                  <c:y val="0.0071399999999999996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200" b="0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>
                  <c:v>601</c:v>
                </c:pt>
                <c:pt idx="1">
                  <c:v>699</c:v>
                </c:pt>
                <c:pt idx="2" formatCode="General">
                  <c:v>785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270"/>
        <c:axId val="2140842356"/>
        <c:axId val="2140842357"/>
      </c:barChart>
      <c:catAx>
        <c:axId val="214084235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2140842357"/>
        <c:crosses val="autoZero"/>
        <c:auto val="1"/>
        <c:lblAlgn val="ctr"/>
        <c:lblOffset val="100"/>
        <c:noMultiLvlLbl val="0"/>
      </c:catAx>
      <c:valAx>
        <c:axId val="2140842357"/>
        <c:scaling>
          <c:orientation val="minMax"/>
        </c:scaling>
        <c:delete val="1"/>
        <c:axPos val="l"/>
        <c:numFmt formatCode="#,##0" sourceLinked="1"/>
        <c:majorTickMark val="none"/>
        <c:minorTickMark val="none"/>
        <c:tickLblPos val="none"/>
        <c:crossAx val="2140842356"/>
        <c:crosses val="autoZero"/>
        <c:crossBetween val="between"/>
      </c:valAx>
    </c:plotArea>
    <c:plotVisOnly val="1"/>
    <c:dispBlanksAs val="gap"/>
    <c:showDLblsOverMax val="0"/>
  </c:chart>
  <c:spPr bwMode="auto">
    <a:xfrm>
      <a:off x="0" y="0"/>
      <a:ext cx="4825659" cy="1333497"/>
    </a:xfrm>
    <a:prstGeom prst="rect">
      <a:avLst/>
    </a:prstGeom>
    <a:ln>
      <a:noFill/>
      <a:miter/>
    </a:ln>
  </c:spPr>
  <c:txPr>
    <a:bodyPr/>
    <a:lstStyle/>
    <a:p>
      <a:pPr>
        <a:defRPr sz="1200">
          <a:latin typeface="Liberation Sans"/>
          <a:ea typeface="Liberation Sans"/>
          <a:cs typeface="Liberation Sans"/>
        </a:defRPr>
      </a:pPr>
      <a:endParaRPr lang="ru-RU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 algn="ctr">
              <a:defRPr>
                <a:latin typeface="Liberation Sans"/>
                <a:ea typeface="Liberation Sans"/>
                <a:cs typeface="Liberation Sans"/>
              </a:defRPr>
            </a:pPr>
            <a:r>
              <a:rPr lang="ru-RU">
                <a:latin typeface="Liberation Sans"/>
                <a:ea typeface="Liberation Sans"/>
                <a:cs typeface="Liberation Sans"/>
              </a:rPr>
              <a:t>Трудоустройство несовершеннолетних граждан </a:t>
            </a:r>
            <a:br>
              <a:rPr lang="ru-RU">
                <a:latin typeface="Liberation Sans"/>
                <a:ea typeface="Liberation Sans"/>
                <a:cs typeface="Liberation Sans"/>
              </a:rPr>
            </a:br>
            <a:r>
              <a:rPr lang="ru-RU">
                <a:latin typeface="Liberation Sans"/>
                <a:ea typeface="Liberation Sans"/>
                <a:cs typeface="Liberation Sans"/>
              </a:rPr>
              <a:t>в возрасте от 14 до 18 лет в летний период, человек</a:t>
            </a:r>
            <a:endParaRPr lang="ru-RU"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1654"/>
          <c:y val="0.0057999999999999996"/>
        </c:manualLayout>
      </c:layout>
      <c:overlay val="1"/>
    </c:title>
    <c:autoTitleDeleted val="0"/>
    <c:view3D>
      <c:rotX val="0"/>
      <c:rotY val="0"/>
      <c:depthPercent val="100"/>
      <c:rAngAx val="1"/>
    </c:view3D>
    <c:floor>
      <c:thickness val="0"/>
    </c:floor>
    <c:sideWall>
      <c:thickness val="0"/>
      <c:spPr bwMode="auto">
        <a:prstGeom prst="rect">
          <a:avLst/>
        </a:prstGeom>
        <a:noFill/>
        <a:ln w="25400">
          <a:noFill/>
          <a:miter/>
        </a:ln>
      </c:spPr>
    </c:sideWall>
    <c:backWall>
      <c:thickness val="0"/>
      <c:spPr bwMode="auto">
        <a:prstGeom prst="rect">
          <a:avLst/>
        </a:prstGeom>
        <a:noFill/>
        <a:ln w="25400">
          <a:noFill/>
          <a:round/>
        </a:ln>
      </c:spPr>
    </c:backWall>
    <c:plotArea>
      <c:layout>
        <c:manualLayout>
          <c:layoutTarget val="inner"/>
          <c:xMode val="edge"/>
          <c:yMode val="edge"/>
          <c:x val="0.034759999999999999"/>
          <c:y val="0.45554"/>
          <c:w val="0.96523000000000003"/>
          <c:h val="0.3861700000000000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Итого трудоустроено</c:v>
                </c:pt>
              </c:strCache>
            </c:strRef>
          </c:tx>
          <c:invertIfNegative val="1"/>
          <c:dLbls>
            <c:dLbl>
              <c:idx val="0"/>
              <c:layout>
                <c:manualLayout>
                  <c:x val="-0.0020200000000000001"/>
                  <c:y val="0.0008199999999999999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spPr bwMode="auto"/>
              <c:txPr>
                <a:bodyPr/>
                <a:lstStyle/>
                <a:p>
                  <a:pPr>
                    <a:defRPr sz="1200" b="0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layout>
                <c:manualLayout>
                  <c:x val="-0.0032799999999999999"/>
                  <c:y val="0.00124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spPr bwMode="auto"/>
              <c:tx>
                <c:rich>
                  <a:bodyPr/>
                  <a:lstStyle/>
                  <a:p>
                    <a:pPr>
                      <a:defRPr sz="1200" b="0"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 lang="ru-RU" sz="1200" b="0">
                        <a:latin typeface="Liberation Sans"/>
                        <a:cs typeface="Liberation Sans"/>
                      </a:rPr>
                      <a:t>1 146</a:t>
                    </a:r>
                    <a:endParaRPr/>
                  </a:p>
                </c:rich>
              </c:tx>
            </c:dLbl>
            <c:dLbl>
              <c:idx val="2"/>
              <c:layout>
                <c:manualLayout>
                  <c:x val="-0.00165"/>
                  <c:y val="-0.0054200000000000003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spPr bwMode="auto"/>
              <c:tx>
                <c:rich>
                  <a:bodyPr/>
                  <a:lstStyle/>
                  <a:p>
                    <a:pPr>
                      <a:defRPr sz="1200" b="0"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 lang="ru-RU" sz="1200" b="0">
                        <a:latin typeface="Liberation Sans"/>
                        <a:ea typeface="Liberation Sans"/>
                        <a:cs typeface="Liberation Sans"/>
                      </a:rPr>
                      <a:t>1 251</a:t>
                    </a:r>
                    <a:endParaRPr lang="ru-RU" sz="1200" b="0">
                      <a:latin typeface="Liberation Sans"/>
                      <a:cs typeface="Liberation Sans"/>
                    </a:endParaRPr>
                  </a:p>
                </c:rich>
              </c:tx>
            </c:dLbl>
            <c:dLbl>
              <c:idx val="4"/>
              <c:layout>
                <c:manualLayout>
                  <c:x val="0"/>
                  <c:y val="0.03611999999999999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numFmt formatCode="#,##0" sourceLinked="0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200" b="0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Лист1!$B$2:$B$4</c:f>
              <c:numCache>
                <c:formatCode>#,##0</c:formatCode>
                <c:ptCount val="3"/>
                <c:pt idx="0" formatCode="General">
                  <c:v>805</c:v>
                </c:pt>
                <c:pt idx="1">
                  <c:v>1146</c:v>
                </c:pt>
                <c:pt idx="2">
                  <c:v>1251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266"/>
        <c:gapDepth val="260"/>
        <c:shape val="box"/>
        <c:axId val="174449031"/>
        <c:axId val="174449032"/>
      </c:bar3DChart>
      <c:catAx>
        <c:axId val="174449031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174449032"/>
        <c:crosses val="autoZero"/>
        <c:auto val="1"/>
        <c:lblAlgn val="ctr"/>
        <c:lblOffset val="100"/>
        <c:noMultiLvlLbl val="0"/>
      </c:catAx>
      <c:valAx>
        <c:axId val="1744490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74449031"/>
        <c:crosses val="autoZero"/>
        <c:crossBetween val="between"/>
      </c:valAx>
    </c:plotArea>
    <c:plotVisOnly val="1"/>
    <c:dispBlanksAs val="gap"/>
    <c:showDLblsOverMax val="0"/>
  </c:chart>
  <c:spPr bwMode="auto">
    <a:xfrm>
      <a:off x="0" y="0"/>
      <a:ext cx="5191123" cy="1342676"/>
    </a:xfrm>
    <a:prstGeom prst="rect">
      <a:avLst/>
    </a:prstGeom>
    <a:ln w="19049" cap="flat" cmpd="sng" algn="ctr">
      <a:solidFill>
        <a:schemeClr val="bg1"/>
      </a:solidFill>
      <a:prstDash val="solid"/>
    </a:ln>
  </c:spPr>
  <c:txPr>
    <a:bodyPr/>
    <a:lstStyle/>
    <a:p>
      <a:pPr>
        <a:defRPr sz="1000">
          <a:solidFill>
            <a:sysClr val="windowText" lastClr="000000"/>
          </a:solidFill>
          <a:latin typeface="PT Astra Serif"/>
          <a:ea typeface="PT Astra Serif"/>
        </a:defRPr>
      </a:pPr>
      <a:endParaRPr lang="ru-RU"/>
    </a:p>
  </c:txPr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ea typeface="PT Astra Serif"/>
                <a:cs typeface="Liberation Sans"/>
              </a:rPr>
              <a:t>Динамика преступлений,</a:t>
            </a:r>
            <a:r>
              <a:rPr lang="ru-RU" sz="1200">
                <a:latin typeface="Liberation Sans"/>
                <a:ea typeface="PT Astra Serif"/>
                <a:cs typeface="Liberation Sans"/>
              </a:rPr>
              <a:t> </a:t>
            </a:r>
            <a:br>
              <a:rPr lang="ru-RU" sz="1200">
                <a:latin typeface="Liberation Sans"/>
                <a:ea typeface="PT Astra Serif"/>
                <a:cs typeface="Liberation Sans"/>
              </a:rPr>
            </a:br>
            <a:r>
              <a:rPr lang="ru-RU" sz="1200">
                <a:latin typeface="Liberation Sans"/>
                <a:ea typeface="PT Astra Serif"/>
                <a:cs typeface="Liberation Sans"/>
              </a:rPr>
              <a:t>совершенных несовершеннолетними, ед.</a:t>
            </a:r>
            <a:endParaRPr sz="1200"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22735"/>
          <c:y val="-0.0047299999999999998"/>
        </c:manualLayout>
      </c:layout>
      <c:overlay val="1"/>
      <c:txPr>
        <a:bodyPr/>
        <a:p>
          <a:pPr>
            <a:defRPr sz="1200">
              <a:latin typeface="Liberation Sans"/>
              <a:ea typeface="Liberation Sans"/>
              <a:cs typeface="Liberation Sans"/>
            </a:defRPr>
          </a:pPr>
          <a:endParaRPr/>
        </a:p>
      </c:txPr>
    </c:title>
    <c:plotArea>
      <c:layout>
        <c:manualLayout>
          <c:layoutTarget val="inner"/>
          <c:xMode val="edge"/>
          <c:yMode val="edge"/>
          <c:x val="0.04521"/>
          <c:y val="0.24399999999999999"/>
          <c:w val="0.90264"/>
          <c:h val="0.423719999999999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'Лист1'!$A$2</c:f>
              <c:strCache>
                <c:ptCount val="1"/>
                <c:pt idx="0">
                  <c:v xml:space="preserve">2021 год</c:v>
                </c:pt>
              </c:strCache>
            </c:strRef>
          </c:tx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200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'Лист1'!$B$1:$F$1</c:f>
              <c:strCache>
                <c:ptCount val="5"/>
                <c:pt idx="0">
                  <c:v>Кражи</c:v>
                </c:pt>
                <c:pt idx="1">
                  <c:v>Грабежи</c:v>
                </c:pt>
                <c:pt idx="2">
                  <c:v>Наркотики</c:v>
                </c:pt>
                <c:pt idx="3">
                  <c:v>Угоны</c:v>
                </c:pt>
                <c:pt idx="4">
                  <c:v>Прочие</c:v>
                </c:pt>
              </c:strCache>
            </c:strRef>
          </c:cat>
          <c:val>
            <c:numRef>
              <c:f>'Лист1'!$B$2:$F$2</c:f>
              <c:numCache>
                <c:formatCode>General</c:formatCode>
                <c:ptCount val="5"/>
                <c:pt idx="0">
                  <c:v>3</c:v>
                </c:pt>
                <c:pt idx="1">
                  <c:v>4</c:v>
                </c:pt>
                <c:pt idx="2">
                  <c:v>1</c:v>
                </c:pt>
                <c:pt idx="3">
                  <c:v>1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'Лист1'!$A$3</c:f>
              <c:strCache>
                <c:ptCount val="1"/>
                <c:pt idx="0">
                  <c:v xml:space="preserve">2022 год</c:v>
                </c:pt>
              </c:strCache>
            </c:strRef>
          </c:tx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200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'Лист1'!$B$1:$F$1</c:f>
              <c:strCache>
                <c:ptCount val="5"/>
                <c:pt idx="0">
                  <c:v>Кражи</c:v>
                </c:pt>
                <c:pt idx="1">
                  <c:v>Грабежи</c:v>
                </c:pt>
                <c:pt idx="2">
                  <c:v>Наркотики</c:v>
                </c:pt>
                <c:pt idx="3">
                  <c:v>Угоны</c:v>
                </c:pt>
                <c:pt idx="4">
                  <c:v>Прочие</c:v>
                </c:pt>
              </c:strCache>
            </c:strRef>
          </c:cat>
          <c:val>
            <c:numRef>
              <c:f>'Лист1'!$B$3:$F$3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6</c:v>
                </c:pt>
              </c:numCache>
            </c:numRef>
          </c:val>
        </c:ser>
        <c:ser>
          <c:idx val="2"/>
          <c:order val="2"/>
          <c:tx>
            <c:strRef>
              <c:f>'Лист1'!$A$4</c:f>
              <c:strCache>
                <c:ptCount val="1"/>
                <c:pt idx="0">
                  <c:v xml:space="preserve">2023 год</c:v>
                </c:pt>
              </c:strCache>
            </c:strRef>
          </c:tx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200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'Лист1'!$B$1:$F$1</c:f>
              <c:strCache>
                <c:ptCount val="5"/>
                <c:pt idx="0">
                  <c:v>Кражи</c:v>
                </c:pt>
                <c:pt idx="1">
                  <c:v>Грабежи</c:v>
                </c:pt>
                <c:pt idx="2">
                  <c:v>Наркотики</c:v>
                </c:pt>
                <c:pt idx="3">
                  <c:v>Угоны</c:v>
                </c:pt>
                <c:pt idx="4">
                  <c:v>Прочие</c:v>
                </c:pt>
              </c:strCache>
            </c:strRef>
          </c:cat>
          <c:val>
            <c:numRef>
              <c:f>'Лист1'!$B$4:$F$4</c:f>
              <c:numCache>
                <c:formatCode>General</c:formatCode>
                <c:ptCount val="5"/>
                <c:pt idx="0">
                  <c:v>5</c:v>
                </c:pt>
                <c:pt idx="1">
                  <c:v>0</c:v>
                </c:pt>
                <c:pt idx="2">
                  <c:v>34</c:v>
                </c:pt>
                <c:pt idx="3">
                  <c:v>0</c:v>
                </c:pt>
                <c:pt idx="4">
                  <c:v>6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  <c:txPr>
            <a:bodyPr/>
            <a:p>
              <a:pPr>
                <a:defRPr sz="1200"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154"/>
        <c:overlap val="3"/>
        <c:axId val="1866169609"/>
        <c:axId val="1866169610"/>
      </c:barChart>
      <c:catAx>
        <c:axId val="1866169609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1866169610"/>
        <c:crosses val="autoZero"/>
        <c:auto val="1"/>
        <c:lblAlgn val="ctr"/>
        <c:lblOffset val="100"/>
        <c:noMultiLvlLbl val="0"/>
      </c:catAx>
      <c:valAx>
        <c:axId val="186616961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txPr>
          <a:bodyPr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1866169609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</c:legendEntry>
      <c:layout>
        <c:manualLayout>
          <c:x val="0"/>
          <c:y val="0.01839"/>
        </c:manualLayout>
      </c:layout>
      <c:overlay val="0"/>
      <c:txPr>
        <a:bodyPr/>
        <a:lstStyle/>
        <a:p>
          <a:pPr>
            <a:defRPr sz="1200">
              <a:latin typeface="Liberation Sans"/>
              <a:ea typeface="Liberation Sans"/>
              <a:cs typeface="Liberation Sans"/>
            </a:defRPr>
          </a:pPr>
          <a:endParaRPr lang="ru-RU"/>
        </a:p>
      </c:txPr>
    </c:legend>
    <c:plotVisOnly val="1"/>
    <c:showDLblsOverMax val="0"/>
  </c:chart>
  <c:spPr bwMode="auto">
    <a:xfrm>
      <a:off x="0" y="0"/>
      <a:ext cx="5940964" cy="2071532"/>
    </a:xfrm>
    <a:prstGeom prst="rect">
      <a:avLst/>
    </a:prstGeom>
    <a:ln>
      <a:noFill/>
    </a:ln>
  </c:spPr>
  <c:txPr>
    <a:bodyPr/>
    <a:p>
      <a:pPr>
        <a:defRPr sz="1200">
          <a:latin typeface="Liberation Sans"/>
          <a:ea typeface="Liberation Sans"/>
          <a:cs typeface="Liberation Sans"/>
        </a:defRPr>
      </a:pPr>
      <a:endParaRPr/>
    </a:p>
  </c:tx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latin typeface="Liberation Sans"/>
                <a:ea typeface="PT Astra Serif"/>
                <a:cs typeface="Liberation Sans"/>
              </a:rPr>
              <a:t>Количество</a:t>
            </a:r>
            <a:r>
              <a:rPr lang="ru-RU" sz="1200" b="1">
                <a:latin typeface="Liberation Sans"/>
                <a:ea typeface="PT Astra Serif"/>
                <a:cs typeface="Liberation Sans"/>
              </a:rPr>
              <a:t> </a:t>
            </a:r>
            <a:r>
              <a:rPr lang="ru-RU" sz="1200" b="1">
                <a:latin typeface="Liberation Sans"/>
                <a:ea typeface="PT Astra Serif"/>
                <a:cs typeface="Liberation Sans"/>
              </a:rPr>
              <a:t>рассмотренных </a:t>
            </a:r>
            <a:r>
              <a:rPr lang="ru-RU" sz="1200" b="1">
                <a:latin typeface="Liberation Sans"/>
                <a:ea typeface="PT Astra Serif"/>
                <a:cs typeface="Liberation Sans"/>
              </a:rPr>
              <a:t>материалов</a:t>
            </a:r>
            <a:endParaRPr sz="1200">
              <a:latin typeface="Liberation Sans"/>
              <a:cs typeface="Liberation Sans"/>
            </a:endParaRPr>
          </a:p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latin typeface="Liberation Sans"/>
                <a:ea typeface="PT Astra Serif"/>
                <a:cs typeface="Liberation Sans"/>
              </a:rPr>
              <a:t> в отношении несовершеннолетних, родителей, </a:t>
            </a:r>
            <a:endParaRPr lang="ru-RU" sz="1200" b="1">
              <a:latin typeface="Liberation Sans"/>
              <a:ea typeface="PT Astra Serif"/>
              <a:cs typeface="Liberation Sans"/>
            </a:endParaRPr>
          </a:p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latin typeface="Liberation Sans"/>
                <a:ea typeface="PT Astra Serif"/>
                <a:cs typeface="Liberation Sans"/>
              </a:rPr>
              <a:t>иных граждан</a:t>
            </a:r>
            <a:r>
              <a:rPr lang="ru-RU" sz="1200" b="1">
                <a:latin typeface="Liberation Sans"/>
                <a:ea typeface="PT Astra Serif"/>
                <a:cs typeface="Liberation Sans"/>
              </a:rPr>
              <a:t>, ед.</a:t>
            </a:r>
            <a:r>
              <a:rPr lang="ru-RU" sz="1200" b="1">
                <a:latin typeface="Liberation Sans"/>
                <a:ea typeface="PT Astra Serif"/>
                <a:cs typeface="Liberation Sans"/>
              </a:rPr>
              <a:t> </a:t>
            </a:r>
            <a:endParaRPr sz="1200" b="1"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4698"/>
          <c:y val="0.0075199999999999998"/>
        </c:manualLayout>
      </c:layout>
      <c:overlay val="0"/>
      <c:txPr>
        <a:bodyPr/>
        <a:p>
          <a:pPr>
            <a:defRPr sz="1200">
              <a:latin typeface="Liberation Sans"/>
              <a:ea typeface="Liberation Sans"/>
              <a:cs typeface="Liberation Sans"/>
            </a:defRPr>
          </a:pPr>
          <a:endParaRPr/>
        </a:p>
      </c:txPr>
    </c:title>
    <c:plotArea>
      <c:layout>
        <c:manualLayout>
          <c:layoutTarget val="inner"/>
          <c:xMode val="edge"/>
          <c:yMode val="edge"/>
          <c:x val="0.1573"/>
          <c:y val="0.46549000000000001"/>
          <c:w val="0.72316999999999998"/>
          <c:h val="0.277320000000000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 xml:space="preserve">Количество рассмотренных материалов, ед.</c:v>
                </c:pt>
              </c:strCache>
            </c:strRef>
          </c:tx>
          <c:spPr bwMode="auto"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200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'Лист1'!$B$2:$B$4</c:f>
              <c:numCache>
                <c:formatCode>General</c:formatCode>
                <c:ptCount val="3"/>
                <c:pt idx="0">
                  <c:v>615</c:v>
                </c:pt>
                <c:pt idx="1">
                  <c:v>570</c:v>
                </c:pt>
                <c:pt idx="2">
                  <c:v>517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  <c:txPr>
            <a:bodyPr/>
            <a:p>
              <a:pPr>
                <a:defRPr sz="1200"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150"/>
        <c:axId val="1866169611"/>
        <c:axId val="1866169612"/>
      </c:barChart>
      <c:catAx>
        <c:axId val="1866169611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1866169612"/>
        <c:crosses val="autoZero"/>
        <c:auto val="1"/>
        <c:lblAlgn val="ctr"/>
        <c:lblOffset val="100"/>
        <c:noMultiLvlLbl val="0"/>
      </c:catAx>
      <c:valAx>
        <c:axId val="18661696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txPr>
          <a:bodyPr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1866169611"/>
        <c:crosses val="autoZero"/>
        <c:crossBetween val="between"/>
      </c:valAx>
      <c:spPr bwMode="auto">
        <a:prstGeom prst="rect">
          <a:avLst/>
        </a:prstGeom>
        <a:noFill/>
        <a:ln w="25400">
          <a:noFill/>
          <a:bevel/>
        </a:ln>
      </c:spPr>
    </c:plotArea>
    <c:plotVisOnly val="1"/>
    <c:showDLblsOverMax val="0"/>
  </c:chart>
  <c:spPr bwMode="auto">
    <a:xfrm>
      <a:off x="0" y="0"/>
      <a:ext cx="5479185" cy="1607940"/>
    </a:xfrm>
    <a:prstGeom prst="rect">
      <a:avLst/>
    </a:prstGeom>
    <a:ln>
      <a:noFill/>
    </a:ln>
    <a:effectLst/>
  </c:spPr>
  <c:txPr>
    <a:bodyPr/>
    <a:p>
      <a:pPr>
        <a:defRPr sz="1200">
          <a:latin typeface="Liberation Sans"/>
          <a:ea typeface="Liberation Sans"/>
          <a:cs typeface="Liberation Sans"/>
        </a:defRPr>
      </a:pPr>
      <a:endParaRPr/>
    </a:p>
  </c:tx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ea typeface="PT Astra Serif"/>
                <a:cs typeface="Liberation Sans"/>
              </a:rPr>
              <a:t>Численность</a:t>
            </a:r>
            <a:r>
              <a:rPr lang="ru-RU" sz="1200">
                <a:latin typeface="Liberation Sans"/>
                <a:ea typeface="PT Astra Serif"/>
                <a:cs typeface="Liberation Sans"/>
              </a:rPr>
              <a:t> несовершеннолетних, </a:t>
            </a:r>
            <a:endParaRPr lang="ru-RU" sz="1200">
              <a:latin typeface="Liberation Sans"/>
              <a:ea typeface="PT Astra Serif"/>
              <a:cs typeface="Liberation Sans"/>
            </a:endParaRPr>
          </a:p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ea typeface="PT Astra Serif"/>
                <a:cs typeface="Liberation Sans"/>
              </a:rPr>
              <a:t>поставленных, снятых, состоящих на учете, человек </a:t>
            </a:r>
            <a:endParaRPr sz="1200"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6894000000000001"/>
          <c:y val="0.0052199999999999998"/>
        </c:manualLayout>
      </c:layout>
      <c:overlay val="0"/>
      <c:txPr>
        <a:bodyPr/>
        <a:p>
          <a:pPr>
            <a:defRPr sz="1200">
              <a:latin typeface="Liberation Sans"/>
              <a:ea typeface="Liberation Sans"/>
              <a:cs typeface="Liberation Sans"/>
            </a:defRPr>
          </a:pPr>
          <a:endParaRPr/>
        </a:p>
      </c:txPr>
    </c:title>
    <c:plotArea>
      <c:layout>
        <c:manualLayout>
          <c:layoutTarget val="inner"/>
          <c:xMode val="edge"/>
          <c:yMode val="edge"/>
          <c:x val="0.025930000000000002"/>
          <c:y val="0.25213000000000002"/>
          <c:w val="0.94535000000000002"/>
          <c:h val="0.385010000000000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'Лист1'!$A$4</c:f>
              <c:strCache>
                <c:ptCount val="1"/>
                <c:pt idx="0">
                  <c:v xml:space="preserve">2021 год</c:v>
                </c:pt>
              </c:strCache>
            </c:strRef>
          </c:tx>
          <c:spPr bwMode="auto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200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'Лист1'!$B$1:$D$1</c:f>
              <c:strCache>
                <c:ptCount val="3"/>
                <c:pt idx="0">
                  <c:v xml:space="preserve">Поставлено на учет</c:v>
                </c:pt>
                <c:pt idx="1">
                  <c:v xml:space="preserve">Снято с учета</c:v>
                </c:pt>
                <c:pt idx="2">
                  <c:v xml:space="preserve">Состоит на учете на конец года</c:v>
                </c:pt>
              </c:strCache>
            </c:strRef>
          </c:cat>
          <c:val>
            <c:numRef>
              <c:f>'Лист1'!$B$4:$D$4</c:f>
              <c:numCache>
                <c:formatCode>General</c:formatCode>
                <c:ptCount val="3"/>
                <c:pt idx="0">
                  <c:v>46</c:v>
                </c:pt>
                <c:pt idx="1">
                  <c:v>44</c:v>
                </c:pt>
                <c:pt idx="2">
                  <c:v>58</c:v>
                </c:pt>
              </c:numCache>
            </c:numRef>
          </c:val>
        </c:ser>
        <c:ser>
          <c:idx val="1"/>
          <c:order val="1"/>
          <c:tx>
            <c:strRef>
              <c:f>'Лист1'!$A$5</c:f>
              <c:strCache>
                <c:ptCount val="1"/>
                <c:pt idx="0">
                  <c:v xml:space="preserve">2022 год</c:v>
                </c:pt>
              </c:strCache>
            </c:strRef>
          </c:tx>
          <c:spPr bwMode="auto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200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'Лист1'!$B$1:$D$1</c:f>
              <c:strCache>
                <c:ptCount val="3"/>
                <c:pt idx="0">
                  <c:v xml:space="preserve">Поставлено на учет</c:v>
                </c:pt>
                <c:pt idx="1">
                  <c:v xml:space="preserve">Снято с учета</c:v>
                </c:pt>
                <c:pt idx="2">
                  <c:v xml:space="preserve">Состоит на учете на конец года</c:v>
                </c:pt>
              </c:strCache>
            </c:strRef>
          </c:cat>
          <c:val>
            <c:numRef>
              <c:f>'Лист1'!$B$5:$D$5</c:f>
              <c:numCache>
                <c:formatCode>General</c:formatCode>
                <c:ptCount val="3"/>
                <c:pt idx="0">
                  <c:v>35</c:v>
                </c:pt>
                <c:pt idx="1">
                  <c:v>50</c:v>
                </c:pt>
                <c:pt idx="2">
                  <c:v>43</c:v>
                </c:pt>
              </c:numCache>
            </c:numRef>
          </c:val>
        </c:ser>
        <c:ser>
          <c:idx val="2"/>
          <c:order val="2"/>
          <c:tx>
            <c:strRef>
              <c:f>'Лист1'!$A$6</c:f>
              <c:strCache>
                <c:ptCount val="1"/>
                <c:pt idx="0">
                  <c:v xml:space="preserve">2023 год</c:v>
                </c:pt>
              </c:strCache>
            </c:strRef>
          </c:tx>
          <c:spPr bwMode="auto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200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'Лист1'!$B$1:$D$1</c:f>
              <c:strCache>
                <c:ptCount val="3"/>
                <c:pt idx="0">
                  <c:v xml:space="preserve">Поставлено на учет</c:v>
                </c:pt>
                <c:pt idx="1">
                  <c:v xml:space="preserve">Снято с учета</c:v>
                </c:pt>
                <c:pt idx="2">
                  <c:v xml:space="preserve">Состоит на учете на конец года</c:v>
                </c:pt>
              </c:strCache>
            </c:strRef>
          </c:cat>
          <c:val>
            <c:numRef>
              <c:f>'Лист1'!$B$6:$D$6</c:f>
              <c:numCache>
                <c:formatCode>General</c:formatCode>
                <c:ptCount val="3"/>
                <c:pt idx="0">
                  <c:v>25</c:v>
                </c:pt>
                <c:pt idx="1">
                  <c:v>38</c:v>
                </c:pt>
                <c:pt idx="2">
                  <c:v>32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  <c:txPr>
            <a:bodyPr/>
            <a:p>
              <a:pPr>
                <a:defRPr sz="1200"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150"/>
        <c:axId val="1866169613"/>
        <c:axId val="1866169614"/>
      </c:barChart>
      <c:catAx>
        <c:axId val="186616961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1866169614"/>
        <c:crosses val="autoZero"/>
        <c:auto val="1"/>
        <c:lblAlgn val="ctr"/>
        <c:lblOffset val="100"/>
        <c:noMultiLvlLbl val="0"/>
      </c:catAx>
      <c:valAx>
        <c:axId val="186616961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txPr>
          <a:bodyPr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1866169613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050000000000000003"/>
          <c:y val="0.86446999999999996"/>
          <c:w val="0.89998999999999996"/>
          <c:h val="0.1346"/>
        </c:manualLayout>
      </c:layout>
      <c:overlay val="0"/>
      <c:txPr>
        <a:bodyPr/>
        <a:lstStyle/>
        <a:p>
          <a:pPr>
            <a:defRPr sz="1200" b="0">
              <a:latin typeface="Liberation Sans"/>
              <a:ea typeface="Liberation Sans"/>
              <a:cs typeface="Liberation Sans"/>
            </a:defRPr>
          </a:pPr>
          <a:endParaRPr lang="ru-RU"/>
        </a:p>
      </c:txPr>
    </c:legend>
    <c:plotVisOnly val="1"/>
    <c:showDLblsOverMax val="0"/>
  </c:chart>
  <c:spPr bwMode="auto">
    <a:xfrm>
      <a:off x="0" y="0"/>
      <a:ext cx="5765691" cy="2362538"/>
    </a:xfrm>
    <a:prstGeom prst="rect">
      <a:avLst/>
    </a:prstGeom>
    <a:ln>
      <a:noFill/>
    </a:ln>
  </c:spPr>
  <c:txPr>
    <a:bodyPr/>
    <a:p>
      <a:pPr>
        <a:defRPr sz="1200">
          <a:latin typeface="Liberation Sans"/>
          <a:ea typeface="Liberation Sans"/>
          <a:cs typeface="Liberation Sans"/>
        </a:defRPr>
      </a:pPr>
      <a:endParaRPr/>
    </a:p>
  </c:tx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ea typeface="PT Astra Serif"/>
                <a:cs typeface="Liberation Sans"/>
              </a:rPr>
              <a:t>Количество семей,</a:t>
            </a:r>
            <a:r>
              <a:rPr lang="ru-RU" sz="1200">
                <a:latin typeface="Liberation Sans"/>
                <a:ea typeface="PT Astra Serif"/>
                <a:cs typeface="Liberation Sans"/>
              </a:rPr>
              <a:t> </a:t>
            </a:r>
            <a:endParaRPr lang="ru-RU" sz="1200">
              <a:latin typeface="Liberation Sans"/>
              <a:ea typeface="PT Astra Serif"/>
              <a:cs typeface="Liberation Sans"/>
            </a:endParaRPr>
          </a:p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ea typeface="PT Astra Serif"/>
                <a:cs typeface="Liberation Sans"/>
              </a:rPr>
              <a:t>поставленных, снятых, </a:t>
            </a:r>
            <a:r>
              <a:rPr lang="ru-RU" sz="1200">
                <a:latin typeface="Liberation Sans"/>
                <a:ea typeface="PT Astra Serif"/>
                <a:cs typeface="Liberation Sans"/>
              </a:rPr>
              <a:t>состоящих на учете </a:t>
            </a:r>
            <a:endParaRPr sz="1200"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21637000000000001"/>
          <c:y val="0"/>
        </c:manualLayout>
      </c:layout>
      <c:overlay val="0"/>
      <c:spPr bwMode="auto">
        <a:prstGeom prst="rect">
          <a:avLst/>
        </a:prstGeom>
        <a:noFill/>
      </c:spPr>
      <c:txPr>
        <a:bodyPr/>
        <a:p>
          <a:pPr>
            <a:defRPr sz="1200">
              <a:latin typeface="Liberation Sans"/>
              <a:ea typeface="Liberation Sans"/>
              <a:cs typeface="Liberation Sans"/>
            </a:defRPr>
          </a:pPr>
          <a:endParaRPr/>
        </a:p>
      </c:txPr>
    </c:title>
    <c:plotArea>
      <c:layout>
        <c:manualLayout>
          <c:layoutTarget val="inner"/>
          <c:xMode val="edge"/>
          <c:yMode val="edge"/>
          <c:x val="0.078740000000000004"/>
          <c:y val="0.21365000000000001"/>
          <c:w val="0.83474999999999999"/>
          <c:h val="0.436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'Лист1'!$A$4</c:f>
              <c:strCache>
                <c:ptCount val="1"/>
                <c:pt idx="0">
                  <c:v xml:space="preserve"> 2021 год</c:v>
                </c:pt>
              </c:strCache>
            </c:strRef>
          </c:tx>
          <c:spPr bwMode="auto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200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'Лист1'!$B$1:$D$1</c:f>
              <c:strCache>
                <c:ptCount val="3"/>
                <c:pt idx="0">
                  <c:v xml:space="preserve">Поставлено на учет</c:v>
                </c:pt>
                <c:pt idx="1">
                  <c:v xml:space="preserve">Снято с учета</c:v>
                </c:pt>
                <c:pt idx="2">
                  <c:v xml:space="preserve">Состоит на учете на конец года</c:v>
                </c:pt>
              </c:strCache>
            </c:strRef>
          </c:cat>
          <c:val>
            <c:numRef>
              <c:f>'Лист1'!$B$4:$D$4</c:f>
              <c:numCache>
                <c:formatCode>General</c:formatCode>
                <c:ptCount val="3"/>
                <c:pt idx="0">
                  <c:v>35</c:v>
                </c:pt>
                <c:pt idx="1">
                  <c:v>43</c:v>
                </c:pt>
                <c:pt idx="2">
                  <c:v>50</c:v>
                </c:pt>
              </c:numCache>
            </c:numRef>
          </c:val>
        </c:ser>
        <c:ser>
          <c:idx val="1"/>
          <c:order val="1"/>
          <c:tx>
            <c:strRef>
              <c:f>'Лист1'!$A$5</c:f>
              <c:strCache>
                <c:ptCount val="1"/>
                <c:pt idx="0">
                  <c:v xml:space="preserve">2022 год</c:v>
                </c:pt>
              </c:strCache>
            </c:strRef>
          </c:tx>
          <c:spPr bwMode="auto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200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'Лист1'!$B$1:$D$1</c:f>
              <c:strCache>
                <c:ptCount val="3"/>
                <c:pt idx="0">
                  <c:v xml:space="preserve">Поставлено на учет</c:v>
                </c:pt>
                <c:pt idx="1">
                  <c:v xml:space="preserve">Снято с учета</c:v>
                </c:pt>
                <c:pt idx="2">
                  <c:v xml:space="preserve">Состоит на учете на конец года</c:v>
                </c:pt>
              </c:strCache>
            </c:strRef>
          </c:cat>
          <c:val>
            <c:numRef>
              <c:f>'Лист1'!$B$5:$D$5</c:f>
              <c:numCache>
                <c:formatCode>General</c:formatCode>
                <c:ptCount val="3"/>
                <c:pt idx="0">
                  <c:v>33</c:v>
                </c:pt>
                <c:pt idx="1">
                  <c:v>31</c:v>
                </c:pt>
                <c:pt idx="2">
                  <c:v>52</c:v>
                </c:pt>
              </c:numCache>
            </c:numRef>
          </c:val>
        </c:ser>
        <c:ser>
          <c:idx val="2"/>
          <c:order val="2"/>
          <c:tx>
            <c:strRef>
              <c:f>'Лист1'!$A$6</c:f>
              <c:strCache>
                <c:ptCount val="1"/>
                <c:pt idx="0">
                  <c:v xml:space="preserve">2023 год</c:v>
                </c:pt>
              </c:strCache>
            </c:strRef>
          </c:tx>
          <c:spPr bwMode="auto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200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'Лист1'!$B$1:$D$1</c:f>
              <c:strCache>
                <c:ptCount val="3"/>
                <c:pt idx="0">
                  <c:v xml:space="preserve">Поставлено на учет</c:v>
                </c:pt>
                <c:pt idx="1">
                  <c:v xml:space="preserve">Снято с учета</c:v>
                </c:pt>
                <c:pt idx="2">
                  <c:v xml:space="preserve">Состоит на учете на конец года</c:v>
                </c:pt>
              </c:strCache>
            </c:strRef>
          </c:cat>
          <c:val>
            <c:numRef>
              <c:f>'Лист1'!$B$6:$D$6</c:f>
              <c:numCache>
                <c:formatCode>General</c:formatCode>
                <c:ptCount val="3"/>
                <c:pt idx="0">
                  <c:v>34</c:v>
                </c:pt>
                <c:pt idx="1">
                  <c:v>39</c:v>
                </c:pt>
                <c:pt idx="2">
                  <c:v>47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  <c:txPr>
            <a:bodyPr/>
            <a:p>
              <a:pPr>
                <a:defRPr sz="1200"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150"/>
        <c:axId val="1866169615"/>
        <c:axId val="1866169616"/>
      </c:barChart>
      <c:catAx>
        <c:axId val="1866169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1866169616"/>
        <c:crosses val="autoZero"/>
        <c:auto val="1"/>
        <c:lblAlgn val="ctr"/>
        <c:lblOffset val="100"/>
        <c:noMultiLvlLbl val="0"/>
      </c:catAx>
      <c:valAx>
        <c:axId val="18661696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txPr>
          <a:bodyPr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1866169615"/>
        <c:crosses val="autoZero"/>
        <c:crossBetween val="between"/>
      </c:valAx>
      <c:spPr bwMode="auto">
        <a:prstGeom prst="rect">
          <a:avLst/>
        </a:prstGeom>
        <a:noFill/>
        <a:ln w="25400">
          <a:noFill/>
        </a:ln>
      </c:spPr>
    </c:plotArea>
    <c:legend>
      <c:legendPos val="b"/>
      <c:layout>
        <c:manualLayout>
          <c:x val="-0.016899999999999998"/>
          <c:y val="0.032829999999999998"/>
        </c:manualLayout>
      </c:layout>
      <c:overlay val="0"/>
      <c:txPr>
        <a:bodyPr/>
        <a:lstStyle/>
        <a:p>
          <a:pPr>
            <a:defRPr sz="1200" b="0">
              <a:latin typeface="Liberation Sans"/>
              <a:ea typeface="Liberation Sans"/>
              <a:cs typeface="Liberation Sans"/>
            </a:defRPr>
          </a:pPr>
          <a:endParaRPr lang="ru-RU"/>
        </a:p>
      </c:txPr>
    </c:legend>
    <c:plotVisOnly val="1"/>
    <c:showDLblsOverMax val="0"/>
  </c:chart>
  <c:spPr bwMode="auto">
    <a:xfrm>
      <a:off x="0" y="0"/>
      <a:ext cx="5633110" cy="2321160"/>
    </a:xfrm>
    <a:prstGeom prst="rect">
      <a:avLst/>
    </a:prstGeom>
    <a:ln>
      <a:noFill/>
    </a:ln>
  </c:spPr>
  <c:txPr>
    <a:bodyPr/>
    <a:p>
      <a:pPr>
        <a:defRPr sz="1200">
          <a:latin typeface="Liberation Sans"/>
          <a:ea typeface="Liberation Sans"/>
          <a:cs typeface="Liberation Sans"/>
        </a:defRPr>
      </a:pPr>
      <a:endParaRPr/>
    </a:p>
  </c:txPr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latin typeface="Liberation Sans"/>
                <a:ea typeface="PT Astra Serif"/>
                <a:cs typeface="Liberation Sans"/>
              </a:rPr>
              <a:t>Количество действий субъектами системы профилактики </a:t>
            </a:r>
            <a:endParaRPr lang="ru-RU" sz="1200" b="1">
              <a:latin typeface="Liberation Sans"/>
              <a:ea typeface="PT Astra Serif"/>
              <a:cs typeface="Liberation Sans"/>
            </a:endParaRPr>
          </a:p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latin typeface="Liberation Sans"/>
                <a:ea typeface="PT Astra Serif"/>
                <a:cs typeface="Liberation Sans"/>
              </a:rPr>
              <a:t>в АИС «Подросток», ед. </a:t>
            </a:r>
            <a:endParaRPr sz="1200" b="1"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3977000000000001"/>
          <c:y val="0.0075199999999999998"/>
        </c:manualLayout>
      </c:layout>
      <c:overlay val="0"/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title>
    <c:plotArea>
      <c:layout>
        <c:manualLayout>
          <c:layoutTarget val="inner"/>
          <c:xMode val="edge"/>
          <c:yMode val="edge"/>
          <c:x val="0.12028"/>
          <c:y val="0.26002999999999998"/>
          <c:w val="0.76775000000000004"/>
          <c:h val="0.566400000000000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 xml:space="preserve">операции в системе РБД</c:v>
                </c:pt>
              </c:strCache>
            </c:strRef>
          </c:tx>
          <c:spPr bwMode="auto"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1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'Лист1'!$A$4:$A$6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'Лист1'!$B$4:$B$6</c:f>
              <c:numCache>
                <c:formatCode>General</c:formatCode>
                <c:ptCount val="3"/>
                <c:pt idx="0">
                  <c:v>45358</c:v>
                </c:pt>
                <c:pt idx="1">
                  <c:v>72169</c:v>
                </c:pt>
                <c:pt idx="2">
                  <c:v>78923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  <c:txPr>
            <a:bodyPr/>
            <a:p>
              <a:pPr>
                <a:defRPr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150"/>
        <c:axId val="1866169617"/>
        <c:axId val="1866169618"/>
      </c:barChart>
      <c:catAx>
        <c:axId val="186616961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1866169618"/>
        <c:crosses val="autoZero"/>
        <c:auto val="1"/>
        <c:lblAlgn val="ctr"/>
        <c:lblOffset val="100"/>
        <c:noMultiLvlLbl val="0"/>
      </c:catAx>
      <c:valAx>
        <c:axId val="186616961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txPr>
          <a:bodyPr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1866169617"/>
        <c:crosses val="autoZero"/>
        <c:crossBetween val="between"/>
      </c:valAx>
      <c:spPr bwMode="auto">
        <a:prstGeom prst="rect">
          <a:avLst/>
        </a:prstGeom>
        <a:noFill/>
        <a:ln w="25400">
          <a:noFill/>
          <a:bevel/>
        </a:ln>
      </c:spPr>
    </c:plotArea>
    <c:plotVisOnly val="1"/>
    <c:showDLblsOverMax val="0"/>
  </c:chart>
  <c:spPr bwMode="auto">
    <a:xfrm rot="0" flipH="0" flipV="0">
      <a:off x="0" y="0"/>
      <a:ext cx="5955048" cy="1847601"/>
    </a:xfrm>
    <a:prstGeom prst="rect">
      <a:avLst/>
    </a:prstGeom>
    <a:ln>
      <a:noFill/>
    </a:ln>
    <a:effectLst/>
  </c:spPr>
  <c:txPr>
    <a:bodyPr/>
    <a:p>
      <a:pPr>
        <a:defRPr>
          <a:latin typeface="Liberation Sans"/>
          <a:ea typeface="Liberation Sans"/>
          <a:cs typeface="Liberation Sans"/>
        </a:defRPr>
      </a:pPr>
      <a:endParaRPr/>
    </a:p>
  </c:txPr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cs typeface="Liberation Sans"/>
              </a:rPr>
              <a:t>Численность льготных категорий граждан,</a:t>
            </a:r>
            <a:endParaRPr>
              <a:latin typeface="Liberation Sans"/>
              <a:cs typeface="Liberation Sans"/>
            </a:endParaRPr>
          </a:p>
          <a:p>
            <a:pPr algn="ctr"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cs typeface="Liberation Sans"/>
              </a:rPr>
              <a:t> состоящих на учете на конец года, человек</a:t>
            </a:r>
            <a:endParaRPr>
              <a:latin typeface="Liberation Sans"/>
              <a:cs typeface="Liberation Sans"/>
            </a:endParaRPr>
          </a:p>
        </c:rich>
      </c:tx>
      <c:layout/>
      <c:overlay val="0"/>
      <c:spPr bwMode="auto">
        <a:prstGeom prst="rect">
          <a:avLst/>
        </a:prstGeom>
        <a:noFill/>
      </c:spPr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17247000000000001"/>
          <c:y val="0.29188999999999998"/>
          <c:w val="0.68049000000000004"/>
          <c:h val="0.452660000000000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Ряд 1</c:v>
                </c:pt>
              </c:strCache>
            </c:strRef>
          </c:tx>
          <c:invertIfNegative val="1"/>
          <c:dLbls>
            <c:dLbl>
              <c:idx val="0"/>
              <c:dLblPos val="outEnd"/>
              <c:layout>
                <c:manualLayout>
                  <c:x val="0"/>
                  <c:y val="-0.00445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120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dLblPos val="outEnd"/>
              <c:layout>
                <c:manualLayout>
                  <c:x val="-0.00346"/>
                  <c:y val="0.01811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120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"/>
              <c:layout>
                <c:manualLayout>
                  <c:x val="-0.00173"/>
                  <c:y val="0.0068199999999999997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120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2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0">
                  <c:v>58786</c:v>
                </c:pt>
                <c:pt idx="1">
                  <c:v>59428</c:v>
                </c:pt>
                <c:pt idx="2">
                  <c:v>57856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  <c:txPr>
            <a:bodyPr/>
            <a:p>
              <a:pPr>
                <a:defRPr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150"/>
        <c:axId val="1866169475"/>
        <c:axId val="1866169476"/>
      </c:barChart>
      <c:catAx>
        <c:axId val="1866169475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1866169476"/>
        <c:crosses val="autoZero"/>
        <c:auto val="1"/>
        <c:lblAlgn val="ctr"/>
        <c:lblOffset val="100"/>
        <c:noMultiLvlLbl val="0"/>
      </c:catAx>
      <c:valAx>
        <c:axId val="1866169476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one"/>
        <c:txPr>
          <a:bodyPr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1866169475"/>
        <c:crosses val="autoZero"/>
        <c:crossBetween val="between"/>
      </c:valAx>
    </c:plotArea>
    <c:plotVisOnly val="1"/>
    <c:dispBlanksAs val="gap"/>
    <c:showDLblsOverMax val="0"/>
  </c:chart>
  <c:spPr bwMode="auto">
    <a:xfrm>
      <a:off x="0" y="0"/>
      <a:ext cx="5437526" cy="1688056"/>
    </a:xfrm>
    <a:prstGeom prst="rect">
      <a:avLst/>
    </a:prstGeom>
    <a:ln>
      <a:noFill/>
    </a:ln>
  </c:spPr>
  <c:txPr>
    <a:bodyPr/>
    <a:lstStyle/>
    <a:p>
      <a:pPr>
        <a:defRPr>
          <a:latin typeface="Liberation Sans"/>
          <a:ea typeface="Liberation Sans"/>
          <a:cs typeface="Liberation Sans"/>
        </a:defRPr>
      </a:pPr>
      <a:endParaRPr lang="ru-RU"/>
    </a:p>
  </c:tx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Итоги реализации регионального проекта</a:t>
            </a:r>
            <a:b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</a:br>
            <a:r>
              <a:rPr lang="ru-RU" sz="1200">
                <a:latin typeface="Liberation Sans"/>
                <a:cs typeface="Liberation Sans"/>
              </a:rPr>
              <a:t>«</a:t>
            </a: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Финансовая поддержка семей при рождении детей</a:t>
            </a:r>
            <a:r>
              <a:rPr lang="ru-RU" sz="1200">
                <a:latin typeface="Liberation Sans"/>
                <a:cs typeface="Liberation Sans"/>
              </a:rPr>
              <a:t>»</a:t>
            </a:r>
            <a:b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</a:b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(национальный проект </a:t>
            </a:r>
            <a:r>
              <a:rPr lang="ru-RU" sz="1200">
                <a:latin typeface="Liberation Sans"/>
                <a:cs typeface="Liberation Sans"/>
              </a:rPr>
              <a:t>«</a:t>
            </a: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Демография</a:t>
            </a:r>
            <a:r>
              <a:rPr lang="ru-RU" sz="1200">
                <a:latin typeface="Liberation Sans"/>
                <a:cs typeface="Liberation Sans"/>
              </a:rPr>
              <a:t>»</a:t>
            </a: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)</a:t>
            </a:r>
            <a:endParaRPr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7166000000000001"/>
          <c:y val="0.00124"/>
        </c:manualLayout>
      </c:layout>
      <c:overlay val="0"/>
      <c:spPr bwMode="auto">
        <a:prstGeom prst="rect">
          <a:avLst/>
        </a:prstGeom>
        <a:noFill/>
        <a:ln>
          <a:noFill/>
        </a:ln>
      </c:spPr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048849999999999998"/>
          <c:y val="0.23896999999999999"/>
          <c:w val="0.90764"/>
          <c:h val="0.243409999999999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 xml:space="preserve">2021 год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  <a:ln>
              <a:noFill/>
              <a:bevel/>
            </a:ln>
          </c:spPr>
          <c:invertIfNegative val="0"/>
          <c:dLbls>
            <c:dLbl>
              <c:idx val="0"/>
              <c:dLblPos val="inEnd"/>
              <c:layout>
                <c:manualLayout>
                  <c:x val="-0.00174"/>
                  <c:y val="-0.04977000000000000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dLblPos val="inEnd"/>
              <c:layout>
                <c:manualLayout>
                  <c:x val="-0.0032299999999999998"/>
                  <c:y val="-0.04977000000000000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"/>
              <c:dLblPos val="inEnd"/>
              <c:layout>
                <c:manualLayout>
                  <c:x val="-0.00174"/>
                  <c:y val="-0.04977000000000000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3"/>
              <c:dLblPos val="inEnd"/>
              <c:layout>
                <c:manualLayout>
                  <c:x val="-0.0032299999999999998"/>
                  <c:y val="-0.052880000000000003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4"/>
              <c:dLblPos val="inEnd"/>
              <c:layout>
                <c:manualLayout>
                  <c:x val="-0.00174"/>
                  <c:y val="-0.052880000000000003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Pos val="in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lstStyle/>
              <a:p>
                <a:pPr>
                  <a:defRPr sz="900" b="1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Sheet1!$A$2:$A$6</c:f>
              <c:strCache>
                <c:ptCount val="5"/>
                <c:pt idx="0">
                  <c:v xml:space="preserve">Единовременное
пособие при
рождении</c:v>
                </c:pt>
                <c:pt idx="1">
                  <c:v xml:space="preserve">Ежемесячное
пособие
на ребенка</c:v>
                </c:pt>
                <c:pt idx="2">
                  <c:v xml:space="preserve">Ежемесячная
денежная
выплата семьям
при рождении
(усыновлении)
третьего ребенка
или
последующих
детей</c:v>
                </c:pt>
                <c:pt idx="3">
                  <c:v xml:space="preserve">Возмещение
расходов по
оплате отдыха и
оздоровления
многодетных
семей</c:v>
                </c:pt>
                <c:pt idx="4">
                  <c:v xml:space="preserve">Ежемесячная
выплата
в связи с
рождением
(усыновлением)
первого ребенка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548</c:v>
                </c:pt>
                <c:pt idx="1">
                  <c:v>875</c:v>
                </c:pt>
                <c:pt idx="2">
                  <c:v>602</c:v>
                </c:pt>
                <c:pt idx="3">
                  <c:v>537</c:v>
                </c:pt>
                <c:pt idx="4">
                  <c:v>669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 xml:space="preserve">2022 год</c:v>
                </c:pt>
              </c:strCache>
            </c:strRef>
          </c:tx>
          <c:spPr bwMode="auto">
            <a:prstGeom prst="rect">
              <a:avLst/>
            </a:prstGeom>
            <a:solidFill>
              <a:srgbClr val="4A5B73"/>
            </a:solidFill>
            <a:ln>
              <a:noFill/>
            </a:ln>
          </c:spPr>
          <c:invertIfNegative val="0"/>
          <c:dLbls>
            <c:dLbl>
              <c:idx val="0"/>
              <c:dLblPos val="inEnd"/>
              <c:layout>
                <c:manualLayout>
                  <c:x val="0.00012"/>
                  <c:y val="-0.052880000000000003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dLblPos val="inEnd"/>
              <c:layout>
                <c:manualLayout>
                  <c:x val="-0.0032299999999999998"/>
                  <c:y val="-0.05287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"/>
              <c:dLblPos val="inEnd"/>
              <c:layout>
                <c:manualLayout>
                  <c:x val="-0.00348"/>
                  <c:y val="-0.04977000000000000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3"/>
              <c:dLblPos val="inEnd"/>
              <c:layout>
                <c:manualLayout>
                  <c:x val="-0.0016100000000000001"/>
                  <c:y val="-0.05287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4"/>
              <c:dLblPos val="inEnd"/>
              <c:layout>
                <c:manualLayout>
                  <c:x val="-0.00173"/>
                  <c:y val="-0.052880000000000003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Pos val="in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lstStyle/>
              <a:p>
                <a:pPr>
                  <a:defRPr sz="900" b="1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Sheet1!$A$2:$A$6</c:f>
              <c:strCache>
                <c:ptCount val="5"/>
                <c:pt idx="0">
                  <c:v xml:space="preserve">Единовременное
пособие при
рождении</c:v>
                </c:pt>
                <c:pt idx="1">
                  <c:v xml:space="preserve">Ежемесячное
пособие
на ребенка</c:v>
                </c:pt>
                <c:pt idx="2">
                  <c:v xml:space="preserve">Ежемесячная
денежная
выплата семьям
при рождении
(усыновлении)
третьего ребенка
или
последующих
детей</c:v>
                </c:pt>
                <c:pt idx="3">
                  <c:v xml:space="preserve">Возмещение
расходов по
оплате отдыха и
оздоровления
многодетных
семей</c:v>
                </c:pt>
                <c:pt idx="4">
                  <c:v xml:space="preserve">Ежемесячная
выплата
в связи с
рождением
(усыновлением)
первого ребенка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550</c:v>
                </c:pt>
                <c:pt idx="1">
                  <c:v>1044</c:v>
                </c:pt>
                <c:pt idx="2">
                  <c:v>659</c:v>
                </c:pt>
                <c:pt idx="3">
                  <c:v>589</c:v>
                </c:pt>
                <c:pt idx="4">
                  <c:v>738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 xml:space="preserve">2023 год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3"/>
            </a:solidFill>
            <a:ln>
              <a:noFill/>
            </a:ln>
          </c:spPr>
          <c:invertIfNegative val="0"/>
          <c:dLbls>
            <c:dLbl>
              <c:idx val="0"/>
              <c:dLblPos val="inEnd"/>
              <c:layout>
                <c:manualLayout>
                  <c:x val="0.00024000000000000001"/>
                  <c:y val="-0.055989999999999998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dLblPos val="inEnd"/>
              <c:layout>
                <c:manualLayout>
                  <c:x val="-0.00174"/>
                  <c:y val="-0.052880000000000003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"/>
              <c:dLblPos val="inEnd"/>
              <c:layout>
                <c:manualLayout>
                  <c:x val="-0.00174"/>
                  <c:y val="-0.049770000000000002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3"/>
              <c:dLblPos val="inEnd"/>
              <c:layout>
                <c:manualLayout>
                  <c:x val="-0.0016100000000000001"/>
                  <c:y val="-0.055989999999999998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4"/>
              <c:dLblPos val="inEnd"/>
              <c:layout>
                <c:manualLayout>
                  <c:x val="-0.00174"/>
                  <c:y val="-0.055989999999999998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Pos val="in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lstStyle/>
              <a:p>
                <a:pPr>
                  <a:defRPr sz="900" b="1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Sheet1!$A$2:$A$6</c:f>
              <c:strCache>
                <c:ptCount val="5"/>
                <c:pt idx="0">
                  <c:v xml:space="preserve">Единовременное
пособие при
рождении</c:v>
                </c:pt>
                <c:pt idx="1">
                  <c:v xml:space="preserve">Ежемесячное
пособие
на ребенка</c:v>
                </c:pt>
                <c:pt idx="2">
                  <c:v xml:space="preserve">Ежемесячная
денежная
выплата семьям
при рождении
(усыновлении)
третьего ребенка
или
последующих
детей</c:v>
                </c:pt>
                <c:pt idx="3">
                  <c:v xml:space="preserve">Возмещение
расходов по
оплате отдыха и
оздоровления
многодетных
семей</c:v>
                </c:pt>
                <c:pt idx="4">
                  <c:v xml:space="preserve">Ежемесячная
выплата
в связи с
рождением
(усыновлением)
первого ребенка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586</c:v>
                </c:pt>
                <c:pt idx="1">
                  <c:v>845</c:v>
                </c:pt>
                <c:pt idx="2">
                  <c:v>273</c:v>
                </c:pt>
                <c:pt idx="3">
                  <c:v>600</c:v>
                </c:pt>
                <c:pt idx="4">
                  <c:v>0</c:v>
                </c:pt>
              </c:numCache>
            </c:numRef>
          </c:val>
        </c:ser>
        <c:dLbls>
          <c:dLblPos val="inEnd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txPr>
            <a:bodyPr/>
            <a:p>
              <a:pPr>
                <a:defRPr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219"/>
        <c:overlap val="-24"/>
        <c:axId val="1866169477"/>
        <c:axId val="1866169478"/>
      </c:barChart>
      <c:catAx>
        <c:axId val="186616947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</c:spPr>
        <c:txPr>
          <a:bodyPr/>
          <a:lstStyle/>
          <a:p>
            <a:pPr>
              <a:defRPr sz="900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1866169478"/>
        <c:crosses val="autoZero"/>
        <c:auto val="1"/>
        <c:lblAlgn val="ctr"/>
        <c:lblOffset val="100"/>
        <c:tickMarkSkip val="1"/>
        <c:noMultiLvlLbl val="0"/>
      </c:catAx>
      <c:valAx>
        <c:axId val="186616947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txPr>
          <a:bodyPr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1866169477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.19341"/>
          <c:y val="0.94260999999999995"/>
          <c:w val="0.57884999999999998"/>
          <c:h val="0.05738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>
              <a:solidFill>
                <a:schemeClr val="tx1"/>
              </a:solidFill>
              <a:latin typeface="Liberation Sans"/>
              <a:ea typeface="Liberation Sans"/>
              <a:cs typeface="Liberation Sans"/>
            </a:defRPr>
          </a:pPr>
          <a:endParaRPr lang="ru-RU"/>
        </a:p>
      </c:txPr>
    </c:legend>
    <c:plotVisOnly val="1"/>
    <c:dispBlanksAs val="gap"/>
    <c:showDLblsOverMax val="0"/>
  </c:chart>
  <c:spPr bwMode="auto">
    <a:xfrm>
      <a:off x="0" y="0"/>
      <a:ext cx="5897877" cy="3253737"/>
    </a:xfrm>
    <a:prstGeom prst="rect">
      <a:avLst/>
    </a:prstGeom>
    <a:solidFill>
      <a:schemeClr val="bg1"/>
    </a:solidFill>
    <a:ln w="9525" cap="flat" cmpd="sng" algn="ctr">
      <a:noFill/>
      <a:round/>
    </a:ln>
  </c:spPr>
  <c:txPr>
    <a:bodyPr/>
    <a:lstStyle/>
    <a:p>
      <a:pPr>
        <a:defRPr sz="1000">
          <a:solidFill>
            <a:schemeClr val="tx1"/>
          </a:solidFill>
          <a:latin typeface="Liberation Sans"/>
          <a:ea typeface="Liberation Sans"/>
          <a:cs typeface="Liberation Sans"/>
        </a:defRPr>
      </a:pPr>
      <a:endParaRPr lang="ru-RU"/>
    </a:p>
  </c:tx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cs typeface="Liberation Sans"/>
              </a:rPr>
              <a:t> </a:t>
            </a:r>
            <a:r>
              <a:rPr lang="ru-RU" sz="1200">
                <a:latin typeface="Liberation Sans"/>
                <a:cs typeface="Liberation Sans"/>
              </a:rPr>
              <a:t>Количество доступных объектов </a:t>
            </a:r>
            <a:endParaRPr sz="1200">
              <a:latin typeface="Liberation Sans"/>
              <a:cs typeface="Liberation Sans"/>
            </a:endParaRPr>
          </a:p>
          <a:p>
            <a:pPr algn="ctr"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cs typeface="Liberation Sans"/>
              </a:rPr>
              <a:t>для всех категорий инвалидов, ед.</a:t>
            </a:r>
            <a:endParaRPr sz="1200"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24878"/>
          <c:y val="0.0024599999999999999"/>
        </c:manualLayout>
      </c:layout>
      <c:overlay val="0"/>
      <c:txPr>
        <a:bodyPr/>
        <a:p>
          <a:pPr>
            <a:defRPr sz="1200"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02845"/>
          <c:y val="0.31690000000000002"/>
          <c:w val="0.94501999999999997"/>
          <c:h val="0.396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1"/>
          <c:dLbls>
            <c:dLbl>
              <c:idx val="0"/>
              <c:layout>
                <c:manualLayout>
                  <c:x val="0"/>
                  <c:y val="-0.01226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120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layout>
                <c:manualLayout>
                  <c:x val="0"/>
                  <c:y val="-0.02049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120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"/>
              <c:layout>
                <c:manualLayout>
                  <c:x val="-0.00265"/>
                  <c:y val="-0.01546999999999999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120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2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0">
                  <c:v>44</c:v>
                </c:pt>
                <c:pt idx="1">
                  <c:v>55</c:v>
                </c:pt>
                <c:pt idx="2">
                  <c:v>58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  <c:txPr>
            <a:bodyPr/>
            <a:p>
              <a:pPr>
                <a:defRPr sz="1200"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217"/>
        <c:axId val="1866169480"/>
        <c:axId val="1866169479"/>
      </c:barChart>
      <c:valAx>
        <c:axId val="1866169479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one"/>
        <c:txPr>
          <a:bodyPr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1866169480"/>
        <c:crosses val="autoZero"/>
        <c:crossBetween val="between"/>
      </c:valAx>
      <c:catAx>
        <c:axId val="1866169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1866169479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 bwMode="auto">
    <a:xfrm>
      <a:off x="0" y="0"/>
      <a:ext cx="0" cy="0"/>
    </a:xfrm>
    <a:prstGeom prst="rect">
      <a:avLst/>
    </a:prstGeom>
    <a:ln>
      <a:noFill/>
    </a:ln>
  </c:spPr>
  <c:txPr>
    <a:bodyPr/>
    <a:lstStyle/>
    <a:p>
      <a:pPr>
        <a:defRPr sz="1200">
          <a:latin typeface="Liberation Sans"/>
          <a:ea typeface="Liberation Sans"/>
          <a:cs typeface="Liberation Sans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en-US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p>
            <a:pPr>
              <a:defRPr sz="1200" b="1" spc="0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/>
              <a:t>Оборот общественного питания (без субъектов малого предпринимательства), млн руб.</a:t>
            </a:r>
            <a:endParaRPr lang="ru-RU"/>
          </a:p>
        </c:rich>
      </c:tx>
      <c:layout/>
      <c:overlay val="0"/>
      <c:spPr bwMode="auto">
        <a:prstGeom prst="rect">
          <a:avLst/>
        </a:prstGeom>
        <a:noFill/>
        <a:ln>
          <a:noFill/>
        </a:ln>
      </c:spPr>
      <c:txPr>
        <a:bodyPr/>
        <a:p>
          <a:pPr>
            <a:defRPr sz="1200" b="1" spc="0">
              <a:solidFill>
                <a:schemeClr val="tx1"/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034270000000000002"/>
          <c:y val="0.39359"/>
          <c:w val="0.93145"/>
          <c:h val="0.45014999999999999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 xml:space="preserve">Оборот общественного питания (без субъектов малого предпринимательства), млн рублей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  <a:ln w="38099" cap="rnd" cmpd="sng" algn="ctr">
              <a:solidFill>
                <a:schemeClr val="accent1"/>
              </a:solidFill>
              <a:prstDash val="solid"/>
              <a:round/>
            </a:ln>
          </c:spPr>
          <c:marker>
            <c:symbol val="circle"/>
            <c:size val="5"/>
            <c:spPr bwMode="auto">
              <a:prstGeom prst="rect">
                <a:avLst/>
              </a:prstGeom>
              <a:solidFill>
                <a:schemeClr val="accent1"/>
              </a:solidFill>
              <a:ln w="9525">
                <a:solidFill>
                  <a:schemeClr val="accent1"/>
                </a:solidFill>
              </a:ln>
            </c:spPr>
          </c:marker>
          <c:dLbls>
            <c:dLblPos val="t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100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Sheet1!$B$2:$B$4</c:f>
              <c:numCache>
                <c:formatCode>0.0</c:formatCode>
                <c:ptCount val="3"/>
                <c:pt idx="0">
                  <c:v>4093.83</c:v>
                </c:pt>
                <c:pt idx="1">
                  <c:v>6979.41</c:v>
                </c:pt>
                <c:pt idx="2">
                  <c:v>8827.801</c:v>
                </c:pt>
              </c:numCache>
            </c:numRef>
          </c:val>
          <c:smooth val="0"/>
        </c:ser>
        <c:dLbls>
          <c:dLblPos val="t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spPr bwMode="auto">
            <a:prstGeom prst="rect">
              <a:avLst/>
            </a:prstGeom>
            <a:noFill/>
            <a:ln>
              <a:noFill/>
            </a:ln>
          </c:spPr>
          <c:txPr>
            <a:bodyPr/>
            <a:p>
              <a:pPr>
                <a:defRPr sz="900">
                  <a:solidFill>
                    <a:schemeClr val="tx1"/>
                  </a:solidFill>
                  <a:latin typeface="Liberation Serif"/>
                  <a:ea typeface="Liberation Serif"/>
                  <a:cs typeface="Liberation Serif"/>
                </a:defRPr>
              </a:pPr>
              <a:endParaRPr/>
            </a:p>
          </c:txPr>
        </c:dLbls>
        <c:marker val="1"/>
        <c:smooth val="0"/>
        <c:axId val="2140842086"/>
        <c:axId val="2140842087"/>
      </c:lineChart>
      <c:catAx>
        <c:axId val="2140842086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</c:spPr>
        <c:txPr>
          <a:bodyPr/>
          <a:p>
            <a:pPr>
              <a:defRPr sz="1100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087"/>
        <c:crosses val="autoZero"/>
        <c:auto val="1"/>
        <c:lblAlgn val="ctr"/>
        <c:lblOffset val="100"/>
        <c:tickMarkSkip val="1"/>
        <c:noMultiLvlLbl val="0"/>
      </c:catAx>
      <c:valAx>
        <c:axId val="2140842087"/>
        <c:scaling>
          <c:orientation val="minMax"/>
        </c:scaling>
        <c:delete val="1"/>
        <c:axPos val="l"/>
        <c:majorGridlines>
          <c:spPr bwMode="auto">
            <a:prstGeom prst="rect">
              <a:avLst/>
            </a:prstGeom>
            <a:noFill/>
            <a:ln w="9525" cap="flat" cmpd="sng" algn="ctr">
              <a:noFill/>
              <a:round/>
            </a:ln>
          </c:spPr>
        </c:majorGridlines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</c:spPr>
        <c:txPr>
          <a:bodyPr/>
          <a:p>
            <a:pPr>
              <a:defRPr sz="900">
                <a:solidFill>
                  <a:schemeClr val="tx1"/>
                </a:solidFill>
                <a:latin typeface="Liberation Serif"/>
                <a:ea typeface="Liberation Serif"/>
                <a:cs typeface="Liberation Serif"/>
              </a:defRPr>
            </a:pPr>
            <a:endParaRPr/>
          </a:p>
        </c:txPr>
        <c:crossAx val="2140842086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plotVisOnly val="1"/>
    <c:dispBlanksAs val="gap"/>
    <c:showDLblsOverMax val="0"/>
  </c:chart>
  <c:spPr bwMode="auto">
    <a:xfrm rot="0" flipH="0" flipV="0">
      <a:off x="0" y="0"/>
      <a:ext cx="4724420" cy="1856514"/>
    </a:xfrm>
    <a:prstGeom prst="rect">
      <a:avLst/>
    </a:prstGeom>
    <a:solidFill>
      <a:schemeClr val="bg1"/>
    </a:solidFill>
    <a:ln w="9525" cap="flat" cmpd="sng" algn="ctr">
      <a:noFill/>
      <a:round/>
    </a:ln>
  </c:spPr>
  <c:txPr>
    <a:bodyPr/>
    <a:p>
      <a:pPr>
        <a:defRPr sz="1000">
          <a:solidFill>
            <a:schemeClr val="tx1"/>
          </a:solidFill>
          <a:latin typeface="Liberation Serif"/>
          <a:ea typeface="Liberation Serif"/>
          <a:cs typeface="Liberation Serif"/>
        </a:defRPr>
      </a:pPr>
      <a:endParaRPr/>
    </a:p>
  </c:txPr>
  <c:externalData r:id="rId3">
    <c:autoUpdate val="0"/>
  </c:externalData>
  <c:printSettings>
    <c:headerFooter/>
    <c:pageMargins l="0.69999999999999996" r="0.69999999999999996" t="0.75" b="0.75" header="0.29999999999999999" footer="0.29999999999999999"/>
    <c:pageSetup/>
  </c:printSettings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 sz="1200" b="1" i="0" u="none" strike="noStrike">
                <a:solidFill>
                  <a:sysClr val="windowText" lastClr="000000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cs typeface="Liberation Sans"/>
              </a:rPr>
              <a:t>Доля инвалидов, положительно оценивающих уровень доступности наиболее посещаемых объектов, %</a:t>
            </a:r>
            <a:endParaRPr sz="1200"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489"/>
          <c:y val="0"/>
        </c:manualLayout>
      </c:layout>
      <c:overlay val="0"/>
      <c:txPr>
        <a:bodyPr/>
        <a:p>
          <a:pPr>
            <a:defRPr sz="1200"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18492"/>
          <c:y val="0.34805000000000003"/>
          <c:w val="0.71511999999999998"/>
          <c:h val="0.396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                      положительная оценка</c:v>
                </c:pt>
              </c:strCache>
            </c:strRef>
          </c:tx>
          <c:invertIfNegative val="1"/>
          <c:dLbls>
            <c:dLbl>
              <c:idx val="0"/>
              <c:layout>
                <c:manualLayout>
                  <c:x val="-0.00249"/>
                  <c:y val="-0.03191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110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layout>
                <c:manualLayout>
                  <c:x val="0"/>
                  <c:y val="-0.02887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110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2"/>
              <c:layout>
                <c:manualLayout>
                  <c:x val="-0.0037299999999999998"/>
                  <c:y val="-0.02591999999999999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p>
                  <a:pPr>
                    <a:defRPr sz="1100"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1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0.0">
                  <c:v>53.5</c:v>
                </c:pt>
                <c:pt idx="1">
                  <c:v>53.7</c:v>
                </c:pt>
                <c:pt idx="2" formatCode="0.0">
                  <c:v>57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  <c:txPr>
            <a:bodyPr/>
            <a:p>
              <a:pPr>
                <a:defRPr sz="1200"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150"/>
        <c:axId val="1866169482"/>
        <c:axId val="1866169481"/>
      </c:barChart>
      <c:valAx>
        <c:axId val="1866169481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one"/>
        <c:txPr>
          <a:bodyPr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1866169482"/>
        <c:crosses val="autoZero"/>
        <c:crossBetween val="between"/>
      </c:valAx>
      <c:catAx>
        <c:axId val="186616948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1866169481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 bwMode="auto">
    <a:xfrm>
      <a:off x="0" y="0"/>
      <a:ext cx="5518489" cy="1503442"/>
    </a:xfrm>
    <a:prstGeom prst="rect">
      <a:avLst/>
    </a:prstGeom>
    <a:ln>
      <a:noFill/>
    </a:ln>
  </c:spPr>
  <c:txPr>
    <a:bodyPr/>
    <a:lstStyle/>
    <a:p>
      <a:pPr>
        <a:defRPr sz="1200">
          <a:latin typeface="Liberation Sans"/>
          <a:ea typeface="Liberation Sans"/>
          <a:cs typeface="Liberation Sans"/>
        </a:defRPr>
      </a:pPr>
      <a:endParaRPr lang="ru-RU"/>
    </a:p>
  </c:txPr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 xmlns:c16r2="http://schemas.microsoft.com/office/drawing/2015/06/chart">
  <c:date1904 val="1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>
                <a:solidFill>
                  <a:sysClr val="windowText" lastClr="000000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solidFill>
                  <a:sysClr val="windowText" lastClr="000000"/>
                </a:solidFill>
                <a:latin typeface="Liberation Sans"/>
                <a:cs typeface="Liberation Sans"/>
              </a:rPr>
              <a:t>Количество СОНКО, осуществляющих деятельность </a:t>
            </a:r>
            <a:endParaRPr>
              <a:latin typeface="Liberation Sans"/>
              <a:cs typeface="Liberation Sans"/>
            </a:endParaRPr>
          </a:p>
          <a:p>
            <a:pPr>
              <a:defRPr sz="1200">
                <a:solidFill>
                  <a:sysClr val="windowText" lastClr="000000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solidFill>
                  <a:sysClr val="windowText" lastClr="000000"/>
                </a:solidFill>
                <a:latin typeface="Liberation Sans"/>
                <a:cs typeface="Liberation Sans"/>
              </a:rPr>
              <a:t>на территории муниципального образования , ед.</a:t>
            </a:r>
            <a:endParaRPr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5140000000000001"/>
          <c:y val="0.08695"/>
        </c:manualLayout>
      </c:layout>
      <c:overlay val="0"/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title>
    <c:view3D>
      <c:rotX val="0"/>
      <c:rotY val="0"/>
      <c:perspective val="10"/>
    </c:view3D>
    <c:sideWall>
      <c:spPr bwMode="auto">
        <a:prstGeom prst="rect">
          <a:avLst/>
        </a:prstGeom>
        <a:noFill/>
        <a:ln w="25392">
          <a:noFill/>
        </a:ln>
      </c:spPr>
    </c:sideWall>
    <c:backWall>
      <c:spPr bwMode="auto">
        <a:prstGeom prst="rect">
          <a:avLst/>
        </a:prstGeom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1047"/>
          <c:y val="0.41976999999999998"/>
          <c:w val="0.83577000000000001"/>
          <c:h val="0.54196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Зарегистрированные НКО</c:v>
                </c:pt>
              </c:strCache>
            </c:strRef>
          </c:tx>
          <c:spPr bwMode="auto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1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2023 год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97</c:v>
                </c:pt>
                <c:pt idx="2">
                  <c:v>91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33"/>
        <c:gapDepth val="79"/>
        <c:shape val="box"/>
        <c:axId val="2140842132"/>
        <c:axId val="2140842133"/>
      </c:bar3DChart>
      <c:catAx>
        <c:axId val="21408421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2140842133"/>
        <c:crosses val="autoZero"/>
        <c:auto val="1"/>
        <c:lblAlgn val="ctr"/>
        <c:lblOffset val="100"/>
        <c:noMultiLvlLbl val="0"/>
      </c:catAx>
      <c:valAx>
        <c:axId val="2140842133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2140842132"/>
        <c:crosses val="autoZero"/>
        <c:crossBetween val="between"/>
        <c:majorUnit val="50"/>
      </c:valAx>
      <c:spPr bwMode="auto">
        <a:prstGeom prst="rect">
          <a:avLst/>
        </a:prstGeom>
        <a:noFill/>
        <a:ln w="25400">
          <a:noFill/>
        </a:ln>
      </c:spPr>
    </c:plotArea>
    <c:plotVisOnly val="1"/>
    <c:dispBlanksAs val="gap"/>
    <c:showDLblsOverMax val="0"/>
  </c:chart>
  <c:spPr bwMode="auto">
    <a:xfrm>
      <a:off x="0" y="0"/>
      <a:ext cx="5724405" cy="1486438"/>
    </a:xfrm>
    <a:prstGeom prst="rect">
      <a:avLst/>
    </a:prstGeom>
    <a:ln>
      <a:noFill/>
    </a:ln>
  </c:spPr>
  <c:txPr>
    <a:bodyPr/>
    <a:lstStyle/>
    <a:p>
      <a:pPr>
        <a:defRPr sz="1800">
          <a:latin typeface="Liberation Serif"/>
        </a:defRPr>
      </a:pPr>
      <a:endParaRPr lang="ru-RU"/>
    </a:p>
  </c:txPr>
  <c:externalData r:id="rId2">
    <c:autoUpdate val="0"/>
  </c:externalData>
  <c:userShapes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 r:id="rId1"/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en-US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p>
            <a:pPr>
              <a:defRPr lang="ru-RU" b="1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rgbClr val="000000"/>
                </a:solidFill>
                <a:latin typeface="Liberation Sans"/>
                <a:cs typeface="Liberation Sans"/>
              </a:rPr>
              <a:t>Финансовая поддержка СОНКО, тыс. руб.</a:t>
            </a:r>
            <a:endParaRPr lang="ru-RU" sz="1200" b="1">
              <a:solidFill>
                <a:srgbClr val="000000"/>
              </a:solidFill>
              <a:latin typeface="Liberation Sans"/>
              <a:cs typeface="Liberation Sans"/>
            </a:endParaRPr>
          </a:p>
        </c:rich>
      </c:tx>
      <c:layout/>
      <c:overlay val="0"/>
      <c:spPr bwMode="auto">
        <a:prstGeom prst="rect">
          <a:avLst/>
        </a:prstGeom>
        <a:noFill/>
        <a:ln>
          <a:noFill/>
        </a:ln>
      </c:spPr>
      <c:txPr>
        <a:bodyPr/>
        <a:p>
          <a:pPr>
            <a:defRPr lang="ru-RU" sz="1200" b="1" spc="0">
              <a:solidFill>
                <a:srgbClr val="000000"/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089120000000000005"/>
          <c:y val="0.18654999999999999"/>
          <c:w val="0.86734999999999995"/>
          <c:h val="0.556209999999999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 xml:space="preserve">Окружной бюджет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50196"/>
              </a:schemeClr>
            </a:solidFill>
            <a:ln>
              <a:noFill/>
            </a:ln>
          </c:spPr>
          <c:invertIfNegative val="0"/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100" b="1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5353.4</c:v>
                </c:pt>
                <c:pt idx="1">
                  <c:v>6091.6</c:v>
                </c:pt>
                <c:pt idx="2">
                  <c:v>7307.3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 xml:space="preserve">Местный бюджет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74901"/>
              </a:schemeClr>
            </a:solidFill>
            <a:ln>
              <a:noFill/>
            </a:ln>
          </c:spPr>
          <c:invertIfNegative val="0"/>
          <c:dLbls>
            <c:dLbl>
              <c:idx val="2"/>
              <c:dLblPos val="outEnd"/>
              <c:layout>
                <c:manualLayout>
                  <c:x val="0.00547"/>
                  <c:y val="0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1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1"/>
              <c:dLblPos val="outEnd"/>
              <c:layout>
                <c:manualLayout>
                  <c:x val="0.00547"/>
                  <c:y val="-0.0080300000000000007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1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>
              <c:idx val="0"/>
              <c:dLblPos val="outEnd"/>
              <c:layout>
                <c:manualLayout>
                  <c:x val="0.0072899999999999996"/>
                  <c:y val="-0.016070000000000001"/>
                </c:manualLayout>
              </c:layout>
              <c:separator xml:space="preserve"> </c:separator>
              <c:showBubbleSize val="0"/>
              <c:showCatName val="0"/>
              <c:showLegendKey val="0"/>
              <c:showPercent val="0"/>
              <c:showSerName val="0"/>
              <c:showVal val="1"/>
              <c:spPr bwMode="auto">
                <a:prstGeom prst="rect">
                  <a:avLst/>
                </a:prstGeom>
                <a:noFill/>
                <a:ln>
                  <a:noFill/>
                </a:ln>
              </c:spPr>
              <c:txPr>
                <a:bodyPr/>
                <a:p>
                  <a:pPr>
                    <a:defRPr sz="1100" b="1">
                      <a:solidFill>
                        <a:srgbClr val="000000"/>
                      </a:solidFill>
                      <a:latin typeface="Liberation Sans"/>
                      <a:ea typeface="Liberation Sans"/>
                      <a:cs typeface="Liberation Sans"/>
                    </a:defRPr>
                  </a:pPr>
                  <a:endParaRPr/>
                </a:p>
              </c:txPr>
            </c:dLbl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100" b="1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Sheet1!$C$2:$C$4</c:f>
              <c:numCache>
                <c:formatCode>0.0</c:formatCode>
                <c:ptCount val="3"/>
                <c:pt idx="0">
                  <c:v>1600</c:v>
                </c:pt>
                <c:pt idx="1">
                  <c:v>1600</c:v>
                </c:pt>
                <c:pt idx="2">
                  <c:v>3000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 xml:space="preserve">Федеральный бюджет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</c:spPr>
          <c:invertIfNegative val="0"/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100" b="1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 formatCode="General">
                  <c:v>860.1</c:v>
                </c:pt>
                <c:pt idx="1" formatCode="0.0">
                  <c:v>478</c:v>
                </c:pt>
                <c:pt idx="2" formatCode="General">
                  <c:v>1194.9</c:v>
                </c:pt>
              </c:numCache>
            </c:numRef>
          </c:val>
        </c:ser>
        <c:dLbls>
          <c:dLblPos val="outEnd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spPr bwMode="auto">
            <a:prstGeom prst="rect">
              <a:avLst/>
            </a:prstGeom>
            <a:noFill/>
            <a:ln>
              <a:noFill/>
            </a:ln>
          </c:spPr>
          <c:txPr>
            <a:bodyPr/>
            <a:p>
              <a:pPr>
                <a:defRPr sz="90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/>
            </a:p>
          </c:txPr>
        </c:dLbls>
        <c:gapWidth val="219"/>
        <c:overlap val="-26"/>
        <c:axId val="2140842142"/>
        <c:axId val="2140842143"/>
      </c:barChart>
      <c:catAx>
        <c:axId val="214084214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</c:spPr>
        <c:txPr>
          <a:bodyPr/>
          <a:p>
            <a:pPr>
              <a:defRPr sz="1100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143"/>
        <c:crosses val="autoZero"/>
        <c:auto val="1"/>
        <c:lblAlgn val="ctr"/>
        <c:lblOffset val="100"/>
        <c:tickMarkSkip val="1"/>
        <c:noMultiLvlLbl val="0"/>
      </c:catAx>
      <c:valAx>
        <c:axId val="2140842143"/>
        <c:scaling>
          <c:orientation val="minMax"/>
        </c:scaling>
        <c:delete val="1"/>
        <c:axPos val="l"/>
        <c:majorGridlines>
          <c:spPr bwMode="auto">
            <a:prstGeom prst="rect">
              <a:avLst/>
            </a:prstGeom>
            <a:noFill/>
            <a:ln w="9525" cap="flat" cmpd="sng" algn="ctr">
              <a:noFill/>
              <a:round/>
            </a:ln>
          </c:spPr>
        </c:majorGridlines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</c:spPr>
        <c:txPr>
          <a:bodyPr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/>
          </a:p>
        </c:txPr>
        <c:crossAx val="2140842142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.075439999999999993"/>
          <c:y val="0.88385000000000002"/>
          <c:w val="0.90341000000000005"/>
          <c:h val="0.11899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>
              <a:solidFill>
                <a:srgbClr val="000000"/>
              </a:solidFill>
              <a:latin typeface="Liberation Sans"/>
              <a:ea typeface="Liberation Sans"/>
              <a:cs typeface="Liberation Sans"/>
            </a:defRPr>
          </a:pPr>
          <a:endParaRPr lang="en-US"/>
        </a:p>
      </c:txPr>
    </c:legend>
    <c:plotVisOnly val="1"/>
    <c:dispBlanksAs val="gap"/>
    <c:showDLblsOverMax val="0"/>
  </c:chart>
  <c:spPr bwMode="auto">
    <a:xfrm>
      <a:off x="0" y="0"/>
      <a:ext cx="5221627" cy="2370304"/>
    </a:xfrm>
    <a:prstGeom prst="rect">
      <a:avLst/>
    </a:prstGeom>
    <a:solidFill>
      <a:schemeClr val="bg1"/>
    </a:solidFill>
    <a:ln w="9525" cap="flat" cmpd="sng" algn="ctr">
      <a:noFill/>
      <a:round/>
    </a:ln>
  </c:spPr>
  <c:txPr>
    <a:bodyPr/>
    <a:p>
      <a:pPr>
        <a:defRPr sz="1000">
          <a:solidFill>
            <a:schemeClr val="tx1"/>
          </a:solidFill>
          <a:latin typeface="+mn-lt"/>
          <a:ea typeface="+mn-ea"/>
          <a:cs typeface="+mn-cs"/>
        </a:defRPr>
      </a:pPr>
      <a:endParaRPr/>
    </a:p>
  </c:txPr>
  <c:externalData r:id="rId3">
    <c:autoUpdate val="0"/>
  </c:externalData>
  <c:printSettings>
    <c:headerFooter/>
    <c:pageMargins l="0.69999999999999996" r="0.69999999999999996" t="0.75" b="0.75" header="0.29999999999999999" footer="0.29999999999999999"/>
    <c:pageSetup/>
  </c:printSettings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en-US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p>
            <a:pPr>
              <a:defRPr sz="1200" b="1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/>
              <a:t>Количество совершенных </a:t>
            </a:r>
            <a:br>
              <a:rPr lang="ru-RU" sz="1200"/>
            </a:br>
            <a:r>
              <a:rPr lang="ru-RU" sz="1200"/>
              <a:t>административных правонарушений, ед.</a:t>
            </a:r>
            <a:endParaRPr sz="1200" b="1">
              <a:solidFill>
                <a:srgbClr val="000000"/>
              </a:solidFill>
              <a:latin typeface="Liberation Sans"/>
              <a:cs typeface="Liberation Sans"/>
            </a:endParaRPr>
          </a:p>
        </c:rich>
      </c:tx>
      <c:layout>
        <c:manualLayout>
          <c:x val="0"/>
          <c:y val="0.00297"/>
        </c:manualLayout>
      </c:layout>
      <c:overlay val="0"/>
      <c:spPr bwMode="auto">
        <a:prstGeom prst="rect">
          <a:avLst/>
        </a:prstGeom>
        <a:noFill/>
        <a:ln>
          <a:noFill/>
        </a:ln>
      </c:spPr>
      <c:txPr>
        <a:bodyPr/>
        <a:p>
          <a:pPr>
            <a:defRPr sz="1200" b="1" i="0" cap="none" spc="45">
              <a:solidFill>
                <a:srgbClr val="000000"/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091139999999999999"/>
          <c:y val="0.23436000000000001"/>
          <c:w val="0.86858000000000002"/>
          <c:h val="0.310460000000000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 xml:space="preserve">Совершение действий, нарушающих тишину и покой граждан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alpha val="70000"/>
              </a:schemeClr>
            </a:solidFill>
            <a:ln>
              <a:noFill/>
              <a:miter/>
            </a:ln>
          </c:spPr>
          <c:invertIfNegative val="0"/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100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Sheet1!$A$2:$A$3</c:f>
              <c:strCache>
                <c:ptCount val="2"/>
                <c:pt idx="0">
                  <c:v xml:space="preserve">2022 год</c:v>
                </c:pt>
                <c:pt idx="1">
                  <c:v xml:space="preserve">2023 год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246</c:v>
                </c:pt>
                <c:pt idx="1">
                  <c:v>208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 xml:space="preserve">Розничная торговля вне специально установленных мест</c:v>
                </c:pt>
              </c:strCache>
            </c:strRef>
          </c:tx>
          <c:spPr bwMode="auto">
            <a:prstGeom prst="rect">
              <a:avLst/>
            </a:prstGeom>
            <a:solidFill>
              <a:srgbClr val="0070C0">
                <a:alpha val="70000"/>
              </a:srgbClr>
            </a:solidFill>
            <a:ln>
              <a:noFill/>
            </a:ln>
          </c:spPr>
          <c:invertIfNegative val="0"/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000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Sheet1!$A$2:$A$3</c:f>
              <c:strCache>
                <c:ptCount val="2"/>
                <c:pt idx="0">
                  <c:v xml:space="preserve">2022 год</c:v>
                </c:pt>
                <c:pt idx="1">
                  <c:v xml:space="preserve">2023 год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159</c:v>
                </c:pt>
                <c:pt idx="1">
                  <c:v>184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 xml:space="preserve">Размещение афиш, объявлений вне установленных мест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3">
                <a:alpha val="70000"/>
              </a:schemeClr>
            </a:solidFill>
            <a:ln>
              <a:noFill/>
            </a:ln>
          </c:spPr>
          <c:invertIfNegative val="0"/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000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Sheet1!$A$2:$A$3</c:f>
              <c:strCache>
                <c:ptCount val="2"/>
                <c:pt idx="0">
                  <c:v xml:space="preserve">2022 год</c:v>
                </c:pt>
                <c:pt idx="1">
                  <c:v xml:space="preserve">2023 год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368</c:v>
                </c:pt>
                <c:pt idx="1">
                  <c:v>148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 xml:space="preserve">Размещение транспортных средств на не предназначенных для этого территориях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5">
                <a:lumMod val="74901"/>
                <a:alpha val="70000"/>
              </a:schemeClr>
            </a:solidFill>
            <a:ln>
              <a:noFill/>
            </a:ln>
          </c:spPr>
          <c:invertIfNegative val="0"/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000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Sheet1!$A$2:$A$3</c:f>
              <c:strCache>
                <c:ptCount val="2"/>
                <c:pt idx="0">
                  <c:v xml:space="preserve">2022 год</c:v>
                </c:pt>
                <c:pt idx="1">
                  <c:v xml:space="preserve">2023 год</c:v>
                </c:pt>
              </c:strCache>
            </c:strRef>
          </c:cat>
          <c:val>
            <c:numRef>
              <c:f>Sheet1!$E$2:$E$3</c:f>
              <c:numCache>
                <c:formatCode>General</c:formatCode>
                <c:ptCount val="2"/>
                <c:pt idx="0">
                  <c:v>76</c:v>
                </c:pt>
                <c:pt idx="1">
                  <c:v>24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Иные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5">
                <a:alpha val="70000"/>
              </a:schemeClr>
            </a:solidFill>
            <a:ln>
              <a:noFill/>
            </a:ln>
          </c:spPr>
          <c:invertIfNegative val="0"/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000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Sheet1!$A$2:$A$3</c:f>
              <c:strCache>
                <c:ptCount val="2"/>
                <c:pt idx="0">
                  <c:v xml:space="preserve">2022 год</c:v>
                </c:pt>
                <c:pt idx="1">
                  <c:v xml:space="preserve">2023 год</c:v>
                </c:pt>
              </c:strCache>
            </c:strRef>
          </c:cat>
          <c:val>
            <c:numRef>
              <c:f>Sheet1!$F$2:$F$3</c:f>
              <c:numCache>
                <c:formatCode>General</c:formatCode>
                <c:ptCount val="2"/>
                <c:pt idx="0">
                  <c:v>38</c:v>
                </c:pt>
                <c:pt idx="1">
                  <c:v>4</c:v>
                </c:pt>
              </c:numCache>
            </c:numRef>
          </c:val>
        </c:ser>
        <c:dLbls>
          <c:dLblPos val="outEnd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spPr bwMode="auto">
            <a:prstGeom prst="rect">
              <a:avLst/>
            </a:prstGeom>
            <a:noFill/>
            <a:ln>
              <a:noFill/>
            </a:ln>
          </c:spPr>
          <c:txPr>
            <a:bodyPr/>
            <a:p>
              <a:pPr>
                <a:defRPr sz="90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/>
            </a:p>
          </c:txPr>
        </c:dLbls>
        <c:gapWidth val="80"/>
        <c:overlap val="25"/>
        <c:axId val="2140842094"/>
        <c:axId val="2140842095"/>
      </c:barChart>
      <c:catAx>
        <c:axId val="214084209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</c:spPr>
        <c:txPr>
          <a:bodyPr/>
          <a:p>
            <a:pPr>
              <a:defRPr sz="1100" b="1" cap="none" spc="18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095"/>
        <c:crosses val="autoZero"/>
        <c:auto val="1"/>
        <c:lblAlgn val="ctr"/>
        <c:lblOffset val="100"/>
        <c:tickMarkSkip val="1"/>
        <c:noMultiLvlLbl val="0"/>
      </c:catAx>
      <c:valAx>
        <c:axId val="214084209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high"/>
        <c:spPr bwMode="auto">
          <a:prstGeom prst="rect">
            <a:avLst/>
          </a:prstGeom>
          <a:noFill/>
          <a:ln>
            <a:noFill/>
          </a:ln>
        </c:spPr>
        <c:txPr>
          <a:bodyPr/>
          <a:p>
            <a:pPr>
              <a:defRPr sz="900" spc="18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/>
          </a:p>
        </c:txPr>
        <c:crossAx val="2140842094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.071889999999999996"/>
          <c:y val="0.65522000000000002"/>
          <c:w val="0.86951000000000001"/>
          <c:h val="0.32697999999999999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>
              <a:solidFill>
                <a:srgbClr val="000000"/>
              </a:solidFill>
              <a:latin typeface="Liberation Sans"/>
              <a:ea typeface="Liberation Sans"/>
              <a:cs typeface="Liberation Sans"/>
            </a:defRPr>
          </a:pPr>
          <a:endParaRPr lang="en-US"/>
        </a:p>
      </c:txPr>
    </c:legend>
    <c:plotVisOnly val="1"/>
    <c:dispBlanksAs val="gap"/>
    <c:showDLblsOverMax val="0"/>
  </c:chart>
  <c:spPr bwMode="auto">
    <a:xfrm>
      <a:off x="0" y="0"/>
      <a:ext cx="4967170" cy="3536200"/>
    </a:xfrm>
    <a:prstGeom prst="rect">
      <a:avLst/>
    </a:prstGeom>
    <a:noFill/>
    <a:ln w="9525" cap="flat" cmpd="sng" algn="ctr">
      <a:noFill/>
      <a:prstDash val="lgDashDotDot"/>
      <a:round/>
    </a:ln>
  </c:spPr>
  <c:txPr>
    <a:bodyPr/>
    <a:p>
      <a:pPr>
        <a:defRPr sz="900">
          <a:solidFill>
            <a:schemeClr val="dk1"/>
          </a:solidFill>
          <a:latin typeface="+mn-lt"/>
          <a:ea typeface="+mn-ea"/>
          <a:cs typeface="+mn-cs"/>
        </a:defRPr>
      </a:pPr>
      <a:endParaRPr/>
    </a:p>
  </c:txPr>
  <c:externalData r:id="rId3">
    <c:autoUpdate val="0"/>
  </c:externalData>
  <c:printSettings>
    <c:headerFooter/>
    <c:pageMargins l="0.69999999999999996" r="0.69999999999999996" t="0.75" b="0.75" header="0.29999999999999999" footer="0.29999999999999999"/>
    <c:pageSetup/>
  </c:printSettings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cs typeface="Liberation Sans"/>
              </a:rPr>
              <a:t>Динамика взыскания назначенных </a:t>
            </a:r>
            <a:endParaRPr>
              <a:latin typeface="Liberation Sans"/>
              <a:cs typeface="Liberation Sans"/>
            </a:endParaRPr>
          </a:p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cs typeface="Liberation Sans"/>
              </a:rPr>
              <a:t>административных штрафов , %</a:t>
            </a:r>
            <a:endParaRPr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21259"/>
          <c:y val="0"/>
        </c:manualLayout>
      </c:layout>
      <c:overlay val="0"/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title>
    <c:plotArea>
      <c:layout>
        <c:manualLayout>
          <c:layoutTarget val="inner"/>
          <c:xMode val="edge"/>
          <c:yMode val="edge"/>
          <c:x val="0.17942"/>
          <c:y val="0.27087"/>
          <c:w val="0.72460000000000002"/>
          <c:h val="0.3791399999999999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% от общей суммы штрафов, подлежащих взысканию</c:v>
                </c:pt>
              </c:strCache>
            </c:strRef>
          </c:tx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0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50.5</c:v>
                </c:pt>
                <c:pt idx="1">
                  <c:v>48.8</c:v>
                </c:pt>
                <c:pt idx="2">
                  <c:v>43.7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50"/>
        <c:axId val="2140842376"/>
        <c:axId val="2140842377"/>
      </c:barChart>
      <c:catAx>
        <c:axId val="2140842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2140842377"/>
        <c:crosses val="autoZero"/>
        <c:auto val="1"/>
        <c:lblAlgn val="ctr"/>
        <c:lblOffset val="100"/>
        <c:noMultiLvlLbl val="0"/>
      </c:catAx>
      <c:valAx>
        <c:axId val="2140842377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1408423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0485999999999999"/>
          <c:y val="0.81313000000000002"/>
          <c:w val="0.88100999999999996"/>
          <c:h val="0.18686"/>
        </c:manualLayout>
      </c:layout>
      <c:overlay val="0"/>
      <c:txPr>
        <a:bodyPr/>
        <a:lstStyle/>
        <a:p>
          <a:pPr>
            <a:defRPr sz="1200">
              <a:latin typeface="Liberation Sans"/>
              <a:ea typeface="Liberation Sans"/>
              <a:cs typeface="Liberation Sans"/>
            </a:defRPr>
          </a:pPr>
          <a:endParaRPr lang="ru-RU"/>
        </a:p>
      </c:txPr>
    </c:legend>
    <c:plotVisOnly val="1"/>
    <c:showDLblsOverMax val="0"/>
  </c:chart>
  <c:spPr bwMode="auto">
    <a:xfrm>
      <a:off x="0" y="0"/>
      <a:ext cx="4771656" cy="1723657"/>
    </a:xfrm>
    <a:prstGeom prst="rect">
      <a:avLst/>
    </a:prstGeom>
    <a:ln>
      <a:noFill/>
    </a:ln>
  </c:spPr>
  <c:txPr>
    <a:bodyPr/>
    <a:lstStyle/>
    <a:p>
      <a:pPr>
        <a:defRPr sz="1200">
          <a:latin typeface="Liberation Serif"/>
          <a:ea typeface="PT Astra Serif"/>
        </a:defRPr>
      </a:pPr>
      <a:endParaRPr lang="ru-RU"/>
    </a:p>
  </c:txPr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cs typeface="Liberation Sans"/>
              </a:rPr>
              <a:t>Количество обращений граждан, ед.</a:t>
            </a:r>
            <a:endParaRPr>
              <a:latin typeface="Liberation Sans"/>
              <a:cs typeface="Liberation Sans"/>
            </a:endParaRPr>
          </a:p>
        </c:rich>
      </c:tx>
      <c:layout/>
      <c:overlay val="0"/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title>
    <c:plotArea>
      <c:layout>
        <c:manualLayout>
          <c:layoutTarget val="inner"/>
          <c:xMode val="edge"/>
          <c:yMode val="edge"/>
          <c:x val="0.21296000000000001"/>
          <c:y val="0.15003"/>
          <c:w val="0.56601999999999997"/>
          <c:h val="0.4619500000000000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Личный прием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60000"/>
                <a:lumOff val="40000"/>
              </a:schemeClr>
            </a:solidFill>
          </c:spPr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2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394</c:v>
                </c:pt>
                <c:pt idx="1">
                  <c:v>334</c:v>
                </c:pt>
                <c:pt idx="2">
                  <c:v>324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Электронные</c:v>
                </c:pt>
              </c:strCache>
            </c:strRef>
          </c:tx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2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499</c:v>
                </c:pt>
                <c:pt idx="1">
                  <c:v>522</c:v>
                </c:pt>
                <c:pt idx="2">
                  <c:v>573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Письменные</c:v>
                </c:pt>
              </c:strCache>
            </c:strRef>
          </c:tx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2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208</c:v>
                </c:pt>
                <c:pt idx="1">
                  <c:v>192</c:v>
                </c:pt>
                <c:pt idx="2">
                  <c:v>211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55"/>
        <c:overlap val="100"/>
        <c:axId val="2140841644"/>
        <c:axId val="2140841645"/>
      </c:barChart>
      <c:catAx>
        <c:axId val="2140841644"/>
        <c:scaling>
          <c:orientation val="minMax"/>
        </c:scaling>
        <c:delete val="0"/>
        <c:axPos val="b"/>
        <c:majorTickMark val="none"/>
        <c:minorTickMark val="none"/>
        <c:tickLblPos val="nextTo"/>
        <c:spPr bwMode="auto">
          <a:prstGeom prst="rect">
            <a:avLst/>
          </a:prstGeom>
          <a:ln>
            <a:noFill/>
          </a:ln>
        </c:spPr>
        <c:txPr>
          <a:bodyPr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1645"/>
        <c:crosses val="autoZero"/>
        <c:auto val="1"/>
        <c:lblAlgn val="ctr"/>
        <c:lblOffset val="100"/>
        <c:noMultiLvlLbl val="0"/>
      </c:catAx>
      <c:valAx>
        <c:axId val="214084164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21408416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0367999999999999"/>
          <c:y val="0.81932000000000005"/>
          <c:w val="0.80069000000000001"/>
          <c:h val="0.096250000000000002"/>
        </c:manualLayout>
      </c:layout>
      <c:overlay val="0"/>
      <c:txPr>
        <a:bodyPr/>
        <a:p>
          <a:pPr>
            <a:defRPr sz="1200">
              <a:latin typeface="Liberation Sans"/>
              <a:ea typeface="Liberation Sans"/>
              <a:cs typeface="Liberation Sans"/>
            </a:defRPr>
          </a:pPr>
          <a:endParaRPr/>
        </a:p>
      </c:txPr>
    </c:legend>
    <c:plotVisOnly val="1"/>
    <c:showDLblsOverMax val="0"/>
  </c:chart>
  <c:spPr bwMode="auto">
    <a:xfrm>
      <a:off x="0" y="0"/>
      <a:ext cx="5486398" cy="2238372"/>
    </a:xfrm>
    <a:prstGeom prst="rect">
      <a:avLst/>
    </a:prstGeom>
    <a:ln>
      <a:noFill/>
    </a:ln>
  </c:spPr>
  <c:txPr>
    <a:bodyPr/>
    <a:lstStyle/>
    <a:p>
      <a:pPr>
        <a:defRPr>
          <a:latin typeface="Liberation Serif"/>
        </a:defRPr>
      </a:pPr>
      <a:endParaRPr lang="ru-RU"/>
    </a:p>
  </c:txPr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en-US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p>
            <a:pPr>
              <a:defRPr sz="1200" b="1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rgbClr val="000000"/>
                </a:solidFill>
                <a:latin typeface="Liberation Sans"/>
                <a:cs typeface="Liberation Sans"/>
              </a:rPr>
              <a:t>Количество рассмотренных правовых</a:t>
            </a:r>
            <a:r>
              <a:rPr lang="ru-RU" sz="1200" b="1">
                <a:solidFill>
                  <a:srgbClr val="000000"/>
                </a:solidFill>
                <a:latin typeface="Liberation Sans"/>
                <a:cs typeface="Liberation Sans"/>
              </a:rPr>
              <a:t> актов, ед.</a:t>
            </a:r>
            <a:endParaRPr sz="1200" b="1">
              <a:solidFill>
                <a:srgbClr val="000000"/>
              </a:solidFill>
              <a:latin typeface="Liberation Sans"/>
              <a:cs typeface="Liberation Sans"/>
            </a:endParaRPr>
          </a:p>
        </c:rich>
      </c:tx>
      <c:layout/>
      <c:overlay val="0"/>
      <c:spPr bwMode="auto">
        <a:prstGeom prst="rect">
          <a:avLst/>
        </a:prstGeom>
        <a:noFill/>
        <a:ln>
          <a:noFill/>
        </a:ln>
      </c:spPr>
      <c:txPr>
        <a:bodyPr/>
        <a:p>
          <a:pPr>
            <a:defRPr sz="1200" b="1" spc="0">
              <a:solidFill>
                <a:srgbClr val="000000"/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02436"/>
          <c:y val="0.12114999999999999"/>
          <c:w val="0.95474000000000003"/>
          <c:h val="0.446799999999999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 xml:space="preserve">Решения Городской Думы муниципального образования город Новый Уренгой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  <a:ln>
              <a:noFill/>
              <a:miter/>
            </a:ln>
          </c:spPr>
          <c:invertIfNegative val="0"/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100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 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97</c:v>
                </c:pt>
                <c:pt idx="1">
                  <c:v>84</c:v>
                </c:pt>
                <c:pt idx="2">
                  <c:v>83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 xml:space="preserve">Постановления Администрации города Новый Уренгой 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</c:spPr>
          <c:invertIfNegative val="0"/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100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 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585</c:v>
                </c:pt>
                <c:pt idx="1">
                  <c:v>570</c:v>
                </c:pt>
                <c:pt idx="2">
                  <c:v>629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 xml:space="preserve">Распоряжения Администрации города Новый Уренгой, заместителей Главы Администрации города по основной деятельности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</c:spPr>
          <c:invertIfNegative val="0"/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100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 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3678</c:v>
                </c:pt>
                <c:pt idx="1">
                  <c:v>3845</c:v>
                </c:pt>
                <c:pt idx="2">
                  <c:v>4283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 xml:space="preserve">Распоряжения Администрации города Новый Уренгой по кадровым вопросам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74901"/>
                <a:alpha val="99999"/>
              </a:schemeClr>
            </a:solidFill>
            <a:ln>
              <a:noFill/>
            </a:ln>
          </c:spPr>
          <c:invertIfNegative val="0"/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100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 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2459</c:v>
                </c:pt>
                <c:pt idx="1">
                  <c:v>2721</c:v>
                </c:pt>
                <c:pt idx="2">
                  <c:v>2433</c:v>
                </c:pt>
              </c:numCache>
            </c:numRef>
          </c:val>
        </c:ser>
        <c:dLbls>
          <c:dLblPos val="outEnd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spPr bwMode="auto">
            <a:prstGeom prst="rect">
              <a:avLst/>
            </a:prstGeom>
            <a:noFill/>
            <a:ln>
              <a:noFill/>
            </a:ln>
          </c:spPr>
          <c:txPr>
            <a:bodyPr/>
            <a:p>
              <a:pPr>
                <a:defRPr sz="900">
                  <a:solidFill>
                    <a:schemeClr val="tx1">
                      <a:lumMod val="75000"/>
                      <a:lumOff val="25000"/>
                    </a:schemeClr>
                  </a:solidFill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219"/>
        <c:overlap val="-22"/>
        <c:axId val="1866169543"/>
        <c:axId val="1866169544"/>
      </c:barChart>
      <c:catAx>
        <c:axId val="18661695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</c:spPr>
        <c:txPr>
          <a:bodyPr/>
          <a:p>
            <a:pPr>
              <a:defRPr sz="1200">
                <a:solidFill>
                  <a:srgbClr val="000000"/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1866169544"/>
        <c:crosses val="autoZero"/>
        <c:auto val="1"/>
        <c:lblAlgn val="ctr"/>
        <c:lblOffset val="100"/>
        <c:tickMarkSkip val="1"/>
        <c:noMultiLvlLbl val="0"/>
      </c:catAx>
      <c:valAx>
        <c:axId val="18661695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</c:spPr>
        <c:txPr>
          <a:bodyPr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1866169543"/>
        <c:crosses val="autoZero"/>
        <c:crossBetween val="between"/>
      </c:valAx>
      <c:spPr bwMode="auto">
        <a:prstGeom prst="rect">
          <a:avLst/>
        </a:prstGeom>
        <a:noFill/>
        <a:ln w="6349">
          <a:noFill/>
          <a:prstDash val="solid"/>
        </a:ln>
      </c:spPr>
    </c:plotArea>
    <c:legend>
      <c:legendPos val="b"/>
      <c:layout>
        <c:manualLayout>
          <c:x val="0"/>
          <c:y val="0.0027200000000000002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>
              <a:solidFill>
                <a:srgbClr val="000000"/>
              </a:solidFill>
              <a:latin typeface="Liberation Sans"/>
              <a:ea typeface="Liberation Sans"/>
              <a:cs typeface="Liberation Sans"/>
            </a:defRPr>
          </a:pPr>
          <a:endParaRPr lang="en-US"/>
        </a:p>
      </c:txPr>
    </c:legend>
    <c:plotVisOnly val="1"/>
    <c:dispBlanksAs val="gap"/>
    <c:showDLblsOverMax val="0"/>
  </c:chart>
  <c:spPr bwMode="auto">
    <a:xfrm rot="0" flipH="0" flipV="0">
      <a:off x="0" y="0"/>
      <a:ext cx="5471992" cy="3492205"/>
    </a:xfrm>
    <a:prstGeom prst="rect">
      <a:avLst/>
    </a:prstGeom>
    <a:solidFill>
      <a:schemeClr val="bg1"/>
    </a:solidFill>
    <a:ln w="9525" cap="flat" cmpd="sng" algn="ctr">
      <a:noFill/>
      <a:prstDash val="solid"/>
      <a:round/>
    </a:ln>
  </c:spPr>
  <c:txPr>
    <a:bodyPr/>
    <a:p>
      <a:pPr>
        <a:defRPr sz="1000">
          <a:solidFill>
            <a:schemeClr val="tx1"/>
          </a:solidFill>
          <a:latin typeface="Liberation Sans"/>
          <a:ea typeface="Liberation Sans"/>
          <a:cs typeface="Liberation Sans"/>
        </a:defRPr>
      </a:pPr>
      <a:endParaRPr/>
    </a:p>
  </c:txPr>
  <c:externalData r:id="rId3">
    <c:autoUpdate val="0"/>
  </c:externalData>
  <c:printSettings>
    <c:headerFooter/>
    <c:pageMargins l="0.69999999999999996" r="0.69999999999999996" t="0.75" b="0.75" header="0.29999999999999999" footer="0.29999999999999999"/>
    <c:pageSetup/>
  </c:printSettings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en-US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p>
            <a:pPr>
              <a:defRPr sz="1200" b="1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Количество протестов и представлений, ед.</a:t>
            </a:r>
            <a:endParaRPr sz="1200" b="1">
              <a:solidFill>
                <a:schemeClr val="tx1"/>
              </a:solidFill>
              <a:latin typeface="Liberation Sans"/>
              <a:cs typeface="Liberation Sans"/>
            </a:endParaRPr>
          </a:p>
        </c:rich>
      </c:tx>
      <c:layout>
        <c:manualLayout>
          <c:x val="-0.00348"/>
          <c:y val="0"/>
        </c:manualLayout>
      </c:layout>
      <c:overlay val="0"/>
      <c:spPr bwMode="auto">
        <a:prstGeom prst="rect">
          <a:avLst/>
        </a:prstGeom>
        <a:noFill/>
        <a:ln>
          <a:noFill/>
        </a:ln>
      </c:spPr>
      <c:txPr>
        <a:bodyPr/>
        <a:p>
          <a:pPr>
            <a:defRPr sz="1200" b="1" spc="0">
              <a:solidFill>
                <a:schemeClr val="tx1"/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029579999999999999"/>
          <c:y val="0.20607"/>
          <c:w val="0.64427000000000001"/>
          <c:h val="0.636170000000000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 xml:space="preserve">Внесено протестов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  <a:ln>
              <a:noFill/>
            </a:ln>
          </c:spPr>
          <c:invertIfNegative val="0"/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000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13</c:v>
                </c:pt>
                <c:pt idx="1">
                  <c:v>33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 xml:space="preserve">Удовлетворено протестов</c:v>
                </c:pt>
              </c:strCache>
            </c:strRef>
          </c:tx>
          <c:spPr bwMode="auto">
            <a:prstGeom prst="rect">
              <a:avLst/>
            </a:prstGeom>
            <a:solidFill>
              <a:srgbClr val="0468D9"/>
            </a:solidFill>
            <a:ln>
              <a:noFill/>
            </a:ln>
          </c:spPr>
          <c:invertIfNegative val="0"/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000" b="0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6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 xml:space="preserve">Внесено представлений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</c:spPr>
          <c:invertIfNegative val="0"/>
          <c:dPt>
            <c:idx val="0"/>
            <c:spPr bwMode="auto">
              <a:prstGeom prst="rect">
                <a:avLst/>
              </a:prstGeom>
              <a:solidFill>
                <a:schemeClr val="accent5">
                  <a:lumMod val="40000"/>
                  <a:lumOff val="60000"/>
                </a:schemeClr>
              </a:solidFill>
            </c:spPr>
          </c:dPt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000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95</c:v>
                </c:pt>
                <c:pt idx="1">
                  <c:v>75</c:v>
                </c:pt>
                <c:pt idx="2">
                  <c:v>71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 xml:space="preserve">Удовлетворено представлений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50196"/>
              </a:schemeClr>
            </a:solidFill>
            <a:ln>
              <a:noFill/>
            </a:ln>
          </c:spPr>
          <c:invertIfNegative val="0"/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000">
                    <a:solidFill>
                      <a:srgbClr val="000000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36</c:v>
                </c:pt>
                <c:pt idx="1">
                  <c:v>21</c:v>
                </c:pt>
                <c:pt idx="2">
                  <c:v>13</c:v>
                </c:pt>
              </c:numCache>
            </c:numRef>
          </c:val>
        </c:ser>
        <c:dLbls>
          <c:dLblPos val="outEnd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spPr bwMode="auto">
            <a:prstGeom prst="rect">
              <a:avLst/>
            </a:prstGeom>
            <a:noFill/>
            <a:ln>
              <a:noFill/>
            </a:ln>
          </c:spPr>
          <c:txPr>
            <a:bodyPr/>
            <a:p>
              <a:pPr>
                <a:defRPr sz="900">
                  <a:solidFill>
                    <a:schemeClr val="tx1">
                      <a:lumMod val="75000"/>
                      <a:lumOff val="25000"/>
                    </a:schemeClr>
                  </a:solidFill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219"/>
        <c:overlap val="-22"/>
        <c:axId val="1866169545"/>
        <c:axId val="1866169546"/>
      </c:barChart>
      <c:catAx>
        <c:axId val="186616954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</c:spPr>
        <c:txPr>
          <a:bodyPr/>
          <a:p>
            <a:pPr>
              <a:defRPr sz="1200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1866169546"/>
        <c:crosses val="autoZero"/>
        <c:auto val="1"/>
        <c:lblAlgn val="ctr"/>
        <c:lblOffset val="100"/>
        <c:tickMarkSkip val="1"/>
        <c:noMultiLvlLbl val="0"/>
      </c:catAx>
      <c:valAx>
        <c:axId val="186616954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</c:spPr>
        <c:txPr>
          <a:bodyPr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1866169545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67471000000000003"/>
          <c:y val="0.19247"/>
          <c:w val="0.3392"/>
          <c:h val="0.69932000000000005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>
              <a:solidFill>
                <a:schemeClr val="tx1"/>
              </a:solidFill>
              <a:latin typeface="Liberation Sans"/>
              <a:ea typeface="Liberation Sans"/>
              <a:cs typeface="Liberation Sans"/>
            </a:defRPr>
          </a:pPr>
          <a:endParaRPr lang="en-US"/>
        </a:p>
      </c:txPr>
    </c:legend>
    <c:plotVisOnly val="1"/>
    <c:dispBlanksAs val="gap"/>
    <c:showDLblsOverMax val="0"/>
  </c:chart>
  <c:spPr bwMode="auto">
    <a:xfrm rot="0" flipH="0" flipV="0">
      <a:off x="0" y="0"/>
      <a:ext cx="5471987" cy="2273392"/>
    </a:xfrm>
    <a:prstGeom prst="rect">
      <a:avLst/>
    </a:prstGeom>
    <a:solidFill>
      <a:schemeClr val="bg1"/>
    </a:solidFill>
    <a:ln w="9525" cap="flat" cmpd="sng" algn="ctr">
      <a:noFill/>
      <a:prstDash val="solid"/>
      <a:round/>
    </a:ln>
  </c:spPr>
  <c:txPr>
    <a:bodyPr/>
    <a:p>
      <a:pPr>
        <a:defRPr sz="1000">
          <a:solidFill>
            <a:schemeClr val="tx1"/>
          </a:solidFill>
          <a:latin typeface="Liberation Sans"/>
          <a:ea typeface="Liberation Sans"/>
          <a:cs typeface="Liberation Sans"/>
        </a:defRPr>
      </a:pPr>
      <a:endParaRPr/>
    </a:p>
  </c:txPr>
  <c:externalData r:id="rId3">
    <c:autoUpdate val="0"/>
  </c:externalData>
  <c:printSettings>
    <c:headerFooter/>
    <c:pageMargins l="0.69999999999999996" r="0.69999999999999996" t="0.75" b="0.75" header="0.29999999999999999" footer="0.29999999999999999"/>
    <c:pageSetup/>
  </c:printSettings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en-US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p>
            <a:pPr>
              <a:defRPr sz="1200" b="1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Количество проведенных проверок </a:t>
            </a:r>
            <a:b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</a:b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при осуществлении закупок, товаров, работ,</a:t>
            </a: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 услуг, ед.</a:t>
            </a:r>
            <a:endParaRPr sz="1200" b="1">
              <a:solidFill>
                <a:schemeClr val="tx1"/>
              </a:solidFill>
              <a:latin typeface="Liberation Sans"/>
              <a:cs typeface="Liberation Sans"/>
            </a:endParaRPr>
          </a:p>
        </c:rich>
      </c:tx>
      <c:layout/>
      <c:overlay val="0"/>
      <c:spPr bwMode="auto">
        <a:prstGeom prst="rect">
          <a:avLst/>
        </a:prstGeom>
        <a:noFill/>
        <a:ln>
          <a:noFill/>
        </a:ln>
      </c:spPr>
      <c:txPr>
        <a:bodyPr/>
        <a:p>
          <a:pPr>
            <a:defRPr sz="1200" b="1" spc="0">
              <a:solidFill>
                <a:schemeClr val="tx1"/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02436"/>
          <c:y val="0.28898000000000001"/>
          <c:w val="0.95474000000000003"/>
          <c:h val="0.422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 xml:space="preserve">Плановые проверки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74901"/>
              </a:schemeClr>
            </a:solidFill>
            <a:ln>
              <a:noFill/>
            </a:ln>
          </c:spPr>
          <c:invertIfNegative val="0"/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000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69</c:v>
                </c:pt>
                <c:pt idx="1">
                  <c:v>60</c:v>
                </c:pt>
                <c:pt idx="2">
                  <c:v>33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 xml:space="preserve">Внеплановые проверки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</c:spPr>
          <c:invertIfNegative val="0"/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000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11</c:v>
                </c:pt>
                <c:pt idx="1">
                  <c:v>20</c:v>
                </c:pt>
                <c:pt idx="2">
                  <c:v>28</c:v>
                </c:pt>
              </c:numCache>
            </c:numRef>
          </c:val>
        </c:ser>
        <c:dLbls>
          <c:dLblPos val="outEnd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spPr bwMode="auto">
            <a:prstGeom prst="rect">
              <a:avLst/>
            </a:prstGeom>
            <a:noFill/>
            <a:ln>
              <a:noFill/>
            </a:ln>
          </c:spPr>
          <c:txPr>
            <a:bodyPr/>
            <a:p>
              <a:pPr>
                <a:defRPr sz="900">
                  <a:solidFill>
                    <a:schemeClr val="tx1">
                      <a:lumMod val="75000"/>
                      <a:lumOff val="25000"/>
                    </a:schemeClr>
                  </a:solidFill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219"/>
        <c:overlap val="-23"/>
        <c:axId val="1866169547"/>
        <c:axId val="1866169548"/>
      </c:barChart>
      <c:catAx>
        <c:axId val="18661695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</c:spPr>
        <c:txPr>
          <a:bodyPr/>
          <a:p>
            <a:pPr>
              <a:defRPr sz="1200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1866169548"/>
        <c:crosses val="autoZero"/>
        <c:auto val="1"/>
        <c:lblAlgn val="ctr"/>
        <c:lblOffset val="100"/>
        <c:tickMarkSkip val="1"/>
        <c:noMultiLvlLbl val="0"/>
      </c:catAx>
      <c:valAx>
        <c:axId val="18661695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</c:spPr>
        <c:txPr>
          <a:bodyPr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1866169547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.10305"/>
          <c:y val="0.90281"/>
          <c:w val="0.78156000000000003"/>
          <c:h val="0.064869999999999997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>
              <a:solidFill>
                <a:schemeClr val="tx1"/>
              </a:solidFill>
              <a:latin typeface="Liberation Sans"/>
              <a:ea typeface="Liberation Sans"/>
              <a:cs typeface="Liberation Sans"/>
            </a:defRPr>
          </a:pPr>
          <a:endParaRPr lang="en-US"/>
        </a:p>
      </c:txPr>
    </c:legend>
    <c:plotVisOnly val="1"/>
    <c:dispBlanksAs val="gap"/>
    <c:showDLblsOverMax val="0"/>
  </c:chart>
  <c:spPr bwMode="auto">
    <a:xfrm rot="0" flipH="0" flipV="0">
      <a:off x="0" y="0"/>
      <a:ext cx="5471994" cy="2037412"/>
    </a:xfrm>
    <a:prstGeom prst="rect">
      <a:avLst/>
    </a:prstGeom>
    <a:solidFill>
      <a:schemeClr val="bg1"/>
    </a:solidFill>
    <a:ln w="9525" cap="flat" cmpd="sng" algn="ctr">
      <a:noFill/>
      <a:prstDash val="solid"/>
      <a:round/>
    </a:ln>
  </c:spPr>
  <c:txPr>
    <a:bodyPr/>
    <a:p>
      <a:pPr>
        <a:defRPr sz="1000">
          <a:solidFill>
            <a:schemeClr val="tx1"/>
          </a:solidFill>
          <a:latin typeface="Liberation Sans"/>
          <a:ea typeface="Liberation Sans"/>
          <a:cs typeface="Liberation Sans"/>
        </a:defRPr>
      </a:pPr>
      <a:endParaRPr/>
    </a:p>
  </c:txPr>
  <c:externalData r:id="rId3">
    <c:autoUpdate val="0"/>
  </c:externalData>
  <c:printSettings>
    <c:headerFooter/>
    <c:pageMargins l="0.69999999999999996" r="0.69999999999999996" t="0.75" b="0.75" header="0.29999999999999999" footer="0.29999999999999999"/>
    <c:pageSetup/>
  </c:printSettings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en-US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p>
            <a:pPr>
              <a:defRPr b="1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r>
              <a:rPr lang="ru-RU" sz="1200" b="1">
                <a:solidFill>
                  <a:schemeClr val="tx1"/>
                </a:solidFill>
                <a:latin typeface="Liberation Sans"/>
                <a:cs typeface="Liberation Sans"/>
              </a:rPr>
              <a:t>Количество дел в рамках судебной работы, ед.</a:t>
            </a:r>
            <a:endParaRPr sz="1200" b="1">
              <a:solidFill>
                <a:schemeClr val="tx1"/>
              </a:solidFill>
              <a:latin typeface="Liberation Sans"/>
              <a:cs typeface="Liberation Sans"/>
            </a:endParaRPr>
          </a:p>
        </c:rich>
      </c:tx>
      <c:layout/>
      <c:overlay val="0"/>
      <c:spPr bwMode="auto">
        <a:prstGeom prst="rect">
          <a:avLst/>
        </a:prstGeom>
        <a:noFill/>
        <a:ln>
          <a:noFill/>
        </a:ln>
      </c:spPr>
      <c:txPr>
        <a:bodyPr/>
        <a:p>
          <a:pPr>
            <a:defRPr sz="1200" b="1" spc="0">
              <a:solidFill>
                <a:schemeClr val="tx1"/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026100000000000002"/>
          <c:y val="0.12984000000000001"/>
          <c:w val="0.95472999999999997"/>
          <c:h val="0.554869999999999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 xml:space="preserve">2021 год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50196"/>
              </a:schemeClr>
            </a:solidFill>
            <a:ln>
              <a:noFill/>
            </a:ln>
          </c:spPr>
          <c:invertIfNegative val="0"/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000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Sheet1!$A$2:$A$5</c:f>
              <c:strCache>
                <c:ptCount val="4"/>
                <c:pt idx="0">
                  <c:v xml:space="preserve">В судах общей юрисдикции</c:v>
                </c:pt>
                <c:pt idx="1">
                  <c:v xml:space="preserve">Удовлетворено дел в судах общей юрисдикции</c:v>
                </c:pt>
                <c:pt idx="2">
                  <c:v xml:space="preserve">В арбитражных судах</c:v>
                </c:pt>
                <c:pt idx="3">
                  <c:v xml:space="preserve">Удовлетворено дел в арбитражных судах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307</c:v>
                </c:pt>
                <c:pt idx="1">
                  <c:v>190</c:v>
                </c:pt>
                <c:pt idx="2">
                  <c:v>25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 xml:space="preserve">2022 год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</c:spPr>
          <c:invertIfNegative val="0"/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000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Sheet1!$A$2:$A$5</c:f>
              <c:strCache>
                <c:ptCount val="4"/>
                <c:pt idx="0">
                  <c:v xml:space="preserve">В судах общей юрисдикции</c:v>
                </c:pt>
                <c:pt idx="1">
                  <c:v xml:space="preserve">Удовлетворено дел в судах общей юрисдикции</c:v>
                </c:pt>
                <c:pt idx="2">
                  <c:v xml:space="preserve">В арбитражных судах</c:v>
                </c:pt>
                <c:pt idx="3">
                  <c:v xml:space="preserve">Удовлетворено дел в арбитражных судах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380</c:v>
                </c:pt>
                <c:pt idx="1">
                  <c:v>262</c:v>
                </c:pt>
                <c:pt idx="2">
                  <c:v>15</c:v>
                </c:pt>
                <c:pt idx="3">
                  <c:v>10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 xml:space="preserve">2023 год 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74901"/>
              </a:schemeClr>
            </a:solidFill>
            <a:ln>
              <a:noFill/>
            </a:ln>
          </c:spPr>
          <c:invertIfNegative val="0"/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000">
                    <a:solidFill>
                      <a:schemeClr val="tx1"/>
                    </a:solidFill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Sheet1!$A$2:$A$5</c:f>
              <c:strCache>
                <c:ptCount val="4"/>
                <c:pt idx="0">
                  <c:v xml:space="preserve">В судах общей юрисдикции</c:v>
                </c:pt>
                <c:pt idx="1">
                  <c:v xml:space="preserve">Удовлетворено дел в судах общей юрисдикции</c:v>
                </c:pt>
                <c:pt idx="2">
                  <c:v xml:space="preserve">В арбитражных судах</c:v>
                </c:pt>
                <c:pt idx="3">
                  <c:v xml:space="preserve">Удовлетворено дел в арбитражных судах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386</c:v>
                </c:pt>
                <c:pt idx="1">
                  <c:v>212</c:v>
                </c:pt>
                <c:pt idx="2">
                  <c:v>37</c:v>
                </c:pt>
                <c:pt idx="3">
                  <c:v>23</c:v>
                </c:pt>
              </c:numCache>
            </c:numRef>
          </c:val>
        </c:ser>
        <c:dLbls>
          <c:dLblPos val="outEnd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spPr bwMode="auto">
            <a:prstGeom prst="rect">
              <a:avLst/>
            </a:prstGeom>
            <a:noFill/>
            <a:ln>
              <a:noFill/>
            </a:ln>
          </c:spPr>
          <c:txPr>
            <a:bodyPr/>
            <a:p>
              <a:pPr>
                <a:defRPr sz="900">
                  <a:solidFill>
                    <a:schemeClr val="tx1">
                      <a:lumMod val="75000"/>
                      <a:lumOff val="25000"/>
                    </a:schemeClr>
                  </a:solidFill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219"/>
        <c:overlap val="-22"/>
        <c:axId val="2140842126"/>
        <c:axId val="2140842127"/>
      </c:barChart>
      <c:catAx>
        <c:axId val="214084212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</c:spPr>
        <c:txPr>
          <a:bodyPr/>
          <a:p>
            <a:pPr>
              <a:defRPr sz="1000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127"/>
        <c:crosses val="autoZero"/>
        <c:auto val="1"/>
        <c:lblAlgn val="ctr"/>
        <c:lblOffset val="100"/>
        <c:tickMarkSkip val="1"/>
        <c:noMultiLvlLbl val="0"/>
      </c:catAx>
      <c:valAx>
        <c:axId val="2140842127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</c:spPr>
        <c:txPr>
          <a:bodyPr/>
          <a:p>
            <a:pPr>
              <a:defRPr sz="900">
                <a:solidFill>
                  <a:schemeClr val="tx1">
                    <a:lumMod val="65000"/>
                    <a:lumOff val="35000"/>
                  </a:schemeClr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126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.14824000000000001"/>
          <c:y val="0.87343000000000004"/>
          <c:w val="0.74543000000000004"/>
          <c:h val="0.082419999999999993"/>
        </c:manualLayout>
      </c:layout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>
              <a:solidFill>
                <a:schemeClr val="tx1"/>
              </a:solidFill>
              <a:latin typeface="Liberation Sans"/>
              <a:ea typeface="Liberation Sans"/>
              <a:cs typeface="Liberation Sans"/>
            </a:defRPr>
          </a:pPr>
          <a:endParaRPr lang="en-US"/>
        </a:p>
      </c:txPr>
    </c:legend>
    <c:plotVisOnly val="1"/>
    <c:dispBlanksAs val="gap"/>
    <c:showDLblsOverMax val="0"/>
  </c:chart>
  <c:spPr bwMode="auto">
    <a:xfrm rot="0" flipH="0" flipV="0">
      <a:off x="0" y="0"/>
      <a:ext cx="5764552" cy="3038021"/>
    </a:xfrm>
    <a:prstGeom prst="rect">
      <a:avLst/>
    </a:prstGeom>
    <a:solidFill>
      <a:schemeClr val="bg1"/>
    </a:solidFill>
    <a:ln w="9525" cap="flat" cmpd="sng" algn="ctr">
      <a:noFill/>
      <a:prstDash val="solid"/>
      <a:round/>
    </a:ln>
  </c:spPr>
  <c:txPr>
    <a:bodyPr/>
    <a:p>
      <a:pPr>
        <a:defRPr sz="1000">
          <a:solidFill>
            <a:schemeClr val="tx1"/>
          </a:solidFill>
          <a:latin typeface="Liberation Sans"/>
          <a:ea typeface="Liberation Sans"/>
          <a:cs typeface="Liberation Sans"/>
        </a:defRPr>
      </a:pPr>
      <a:endParaRPr/>
    </a:p>
  </c:txPr>
  <c:externalData r:id="rId3">
    <c:autoUpdate val="0"/>
  </c:externalData>
  <c:printSettings>
    <c:headerFooter/>
    <c:pageMargins l="0.69999999999999996" r="0.69999999999999996" t="0.75" b="0.75" header="0.29999999999999999" footer="0.29999999999999999"/>
    <c:pageSetup/>
  </c:printSettings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cs typeface="Liberation Sans"/>
              </a:rPr>
              <a:t>Сфера бытового обслуживания </a:t>
            </a:r>
            <a:r>
              <a:rPr lang="ru-RU" sz="1200">
                <a:latin typeface="Liberation Sans"/>
                <a:ea typeface="Liberation Sans"/>
                <a:cs typeface="Liberation Sans"/>
              </a:rPr>
              <a:t>населения</a:t>
            </a:r>
            <a:endParaRPr>
              <a:latin typeface="Liberation Sans"/>
              <a:cs typeface="Liberation Sans"/>
            </a:endParaRPr>
          </a:p>
        </c:rich>
      </c:tx>
      <c:layout/>
      <c:overlay val="0"/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title>
    <c:plotArea>
      <c:layout>
        <c:manualLayout>
          <c:layoutTarget val="inner"/>
          <c:xMode val="edge"/>
          <c:yMode val="edge"/>
          <c:x val="0.062460000000000002"/>
          <c:y val="0.13628999999999999"/>
          <c:w val="0.88732"/>
          <c:h val="0.560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 xml:space="preserve">Количество организаций, ед.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5">
                <a:lumMod val="40000"/>
                <a:lumOff val="60000"/>
              </a:schemeClr>
            </a:solidFill>
          </c:spPr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2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Лист1!$B$1:$D$1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354</c:v>
                </c:pt>
                <c:pt idx="1">
                  <c:v>357</c:v>
                </c:pt>
                <c:pt idx="2">
                  <c:v>323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 xml:space="preserve">Количество рабочих мест, ед.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50196"/>
              </a:schemeClr>
            </a:solidFill>
          </c:spPr>
          <c:dLbls>
            <c:dLbl>
              <c:idx val="0"/>
              <c:layout>
                <c:manualLayout>
                  <c:x val="0.0025000000000000001"/>
                  <c:y val="0.009329999999999999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2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dLblPos val="outEnd"/>
              <c:layout>
                <c:manualLayout>
                  <c:x val="0"/>
                  <c:y val="-0.00365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p>
                    <a:pPr>
                      <a:defRPr sz="1100" b="1"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 sz="1200" b="1"/>
                      <a:t>1044</a:t>
                    </a:r>
                    <a:endParaRPr sz="1200" b="1"/>
                  </a:p>
                </c:rich>
              </c:tx>
              <c:txPr>
                <a:bodyPr/>
                <a:lstStyle/>
                <a:p>
                  <a:pPr>
                    <a:defRPr sz="12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2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Лист1!$B$1:$D$1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Лист1!$B$3:$D$3</c:f>
              <c:numCache>
                <c:formatCode>0</c:formatCode>
                <c:ptCount val="3"/>
                <c:pt idx="0">
                  <c:v>1166</c:v>
                </c:pt>
                <c:pt idx="1">
                  <c:v>1180</c:v>
                </c:pt>
                <c:pt idx="2">
                  <c:v>1044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50"/>
        <c:axId val="2140842144"/>
        <c:axId val="2140842145"/>
      </c:barChart>
      <c:lineChart>
        <c:grouping val="standard"/>
        <c:varyColors val="0"/>
        <c:ser>
          <c:idx val="2"/>
          <c:order val="2"/>
          <c:tx>
            <c:strRef>
              <c:f>Лист1!$A$4</c:f>
              <c:strCache>
                <c:ptCount val="1"/>
                <c:pt idx="0">
                  <c:v xml:space="preserve">Количество занятых рабочих мест, чел.</c:v>
                </c:pt>
              </c:strCache>
            </c:strRef>
          </c:tx>
          <c:marker>
            <c:symbol val="diamond"/>
            <c:size val="9"/>
          </c:marker>
          <c:dLbls>
            <c:dLbl>
              <c:idx val="0"/>
              <c:dLblPos val="r"/>
              <c:layout>
                <c:manualLayout>
                  <c:x val="-0.098989999999999995"/>
                  <c:y val="-0.0034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2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1"/>
              <c:dLblPos val="r"/>
              <c:layout>
                <c:manualLayout>
                  <c:x val="-0.088959999999999997"/>
                  <c:y val="-0.02973999999999999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Pr>
                <a:bodyPr/>
                <a:lstStyle/>
                <a:p>
                  <a:pPr>
                    <a:defRPr sz="12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2"/>
              <c:dLblPos val="r"/>
              <c:layout>
                <c:manualLayout>
                  <c:x val="-0.08269"/>
                  <c:y val="-0.02696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  <c:tx>
                <c:rich>
                  <a:bodyPr/>
                  <a:p>
                    <a:pPr>
                      <a:defRPr sz="1100" b="1">
                        <a:latin typeface="Liberation Sans"/>
                        <a:ea typeface="Liberation Sans"/>
                        <a:cs typeface="Liberation Sans"/>
                      </a:defRPr>
                    </a:pPr>
                    <a:r>
                      <a:rPr sz="1200" b="1"/>
                      <a:t>974</a:t>
                    </a:r>
                    <a:endParaRPr sz="1200" b="1"/>
                  </a:p>
                </c:rich>
              </c:tx>
              <c:txPr>
                <a:bodyPr/>
                <a:lstStyle/>
                <a:p>
                  <a:pPr>
                    <a:defRPr sz="1200" b="1">
                      <a:latin typeface="Liberation Sans"/>
                      <a:ea typeface="Liberation Sans"/>
                      <a:cs typeface="Liberation Sans"/>
                    </a:defRPr>
                  </a:pPr>
                  <a:endParaRPr lang="ru-RU"/>
                </a:p>
              </c:txPr>
            </c:dLbl>
            <c:dLbl>
              <c:idx val="3"/>
              <c:dLblPos val="r"/>
              <c:layout>
                <c:manualLayout>
                  <c:x val="-0.075170000000000001"/>
                  <c:y val="-0.013990000000000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dLblPos val="r"/>
              <c:layout>
                <c:manualLayout>
                  <c:x val="-0.072669999999999998"/>
                  <c:y val="-0.009329999999999999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Pos val="l"/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2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Лист1!$B$1:$D$1</c:f>
              <c:strCache>
                <c:ptCount val="3"/>
                <c:pt idx="0">
                  <c:v xml:space="preserve">2021 год</c:v>
                </c:pt>
                <c:pt idx="1">
                  <c:v xml:space="preserve">2022 год</c:v>
                </c:pt>
                <c:pt idx="2">
                  <c:v xml:space="preserve">2023 год</c:v>
                </c:pt>
              </c:strCache>
            </c:strRef>
          </c:cat>
          <c:val>
            <c:numRef>
              <c:f>Лист1!$B$4:$D$4</c:f>
              <c:numCache>
                <c:formatCode>0</c:formatCode>
                <c:ptCount val="3"/>
                <c:pt idx="0">
                  <c:v>1100</c:v>
                </c:pt>
                <c:pt idx="1">
                  <c:v>1116</c:v>
                </c:pt>
                <c:pt idx="2">
                  <c:v>974</c:v>
                </c:pt>
              </c:numCache>
            </c:numRef>
          </c:val>
          <c:smooth val="0"/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marker val="1"/>
        <c:smooth val="0"/>
        <c:axId val="2140842147"/>
        <c:axId val="2140842146"/>
      </c:lineChart>
      <c:catAx>
        <c:axId val="214084214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2140842145"/>
        <c:crosses val="autoZero"/>
        <c:auto val="1"/>
        <c:lblAlgn val="ctr"/>
        <c:lblOffset val="100"/>
        <c:noMultiLvlLbl val="0"/>
      </c:catAx>
      <c:valAx>
        <c:axId val="214084214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one"/>
        <c:spPr bwMode="auto">
          <a:prstGeom prst="rect">
            <a:avLst/>
          </a:prstGeom>
          <a:ln>
            <a:noFill/>
          </a:ln>
        </c:spPr>
        <c:crossAx val="2140842144"/>
        <c:crosses val="autoZero"/>
        <c:crossBetween val="between"/>
      </c:valAx>
      <c:valAx>
        <c:axId val="2140842146"/>
        <c:scaling>
          <c:orientation val="minMax"/>
        </c:scaling>
        <c:delete val="1"/>
        <c:axPos val="r"/>
        <c:numFmt formatCode="#,##0" sourceLinked="1"/>
        <c:majorTickMark val="out"/>
        <c:minorTickMark val="none"/>
        <c:tickLblPos val="none"/>
        <c:crossAx val="2140842147"/>
        <c:crosses val="max"/>
        <c:crossBetween val="between"/>
      </c:valAx>
      <c:catAx>
        <c:axId val="2140842147"/>
        <c:scaling>
          <c:orientation val="minMax"/>
        </c:scaling>
        <c:delete val="1"/>
        <c:axPos val="b"/>
        <c:majorTickMark val="out"/>
        <c:minorTickMark val="none"/>
        <c:tickLblPos val="none"/>
        <c:crossAx val="2140842146"/>
        <c:crosses val="autoZero"/>
        <c:auto val="1"/>
        <c:lblAlgn val="ctr"/>
        <c:lblOffset val="100"/>
        <c:noMultiLvlLbl val="0"/>
      </c:catAx>
      <c:spPr bwMode="auto">
        <a:prstGeom prst="rect">
          <a:avLst/>
        </a:prstGeom>
        <a:ln>
          <a:noFill/>
        </a:ln>
      </c:spPr>
    </c:plotArea>
    <c:legend>
      <c:legendPos val="b"/>
      <c:layout>
        <c:manualLayout>
          <c:xMode val="edge"/>
          <c:yMode val="edge"/>
          <c:x val="0"/>
          <c:y val="0.97560000000000002"/>
          <c:w val="1.05233"/>
          <c:h val="0.16242000000000001"/>
        </c:manualLayout>
      </c:layout>
      <c:overlay val="0"/>
      <c:txPr>
        <a:bodyPr/>
        <a:lstStyle/>
        <a:p>
          <a:pPr>
            <a:defRPr sz="1000">
              <a:latin typeface="Liberation Sans"/>
              <a:ea typeface="Liberation Sans"/>
              <a:cs typeface="Liberation Sans"/>
            </a:defRPr>
          </a:pPr>
          <a:endParaRPr lang="ru-RU"/>
        </a:p>
      </c:txPr>
    </c:legend>
    <c:plotVisOnly val="1"/>
    <c:dispBlanksAs val="gap"/>
    <c:showDLblsOverMax val="0"/>
  </c:chart>
  <c:spPr bwMode="auto">
    <a:xfrm rot="0" flipH="0" flipV="0">
      <a:off x="0" y="0"/>
      <a:ext cx="6004264" cy="2768134"/>
    </a:xfrm>
    <a:prstGeom prst="rect">
      <a:avLst/>
    </a:prstGeom>
    <a:ln>
      <a:noFill/>
      <a:round/>
    </a:ln>
  </c:spPr>
  <c:txPr>
    <a:bodyPr/>
    <a:lstStyle/>
    <a:p>
      <a:pPr>
        <a:defRPr sz="1200">
          <a:latin typeface="Liberation Serif"/>
          <a:ea typeface="PT Astra Serif"/>
        </a:defRPr>
      </a:pPr>
      <a:endParaRPr lang="ru-RU"/>
    </a:p>
  </c:txPr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0"/>
  <c:lang val="en-US"/>
  <c:roundedCorners val="0"/>
  <mc:AlternateContent>
    <mc:Choice Requires="c14">
      <c14:style val="102"/>
    </mc:Choice>
    <mc:Fallback>
      <c:style val="2"/>
    </mc:Fallback>
  </mc:AlternateContent>
  <c:chart>
    <c:title>
      <c:tx>
        <c:rich>
          <a:bodyPr/>
          <a:p>
            <a:pPr>
              <a:defRPr lang="ru-RU" sz="1200" b="1" spc="0">
                <a:solidFill>
                  <a:schemeClr val="tx1"/>
                </a:solidFill>
                <a:latin typeface="Liberation Serif"/>
                <a:ea typeface="Liberation Serif"/>
                <a:cs typeface="Liberation Serif"/>
              </a:defRPr>
            </a:pPr>
            <a:r>
              <a:rPr lang="ru-RU" sz="1200" b="1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rPr>
              <a:t>Оценка населением ситуации в городе, в %</a:t>
            </a:r>
            <a:endParaRPr sz="1200" b="1">
              <a:solidFill>
                <a:schemeClr val="tx1"/>
              </a:solidFill>
              <a:latin typeface="Liberation Sans"/>
              <a:cs typeface="Liberation Sans"/>
            </a:endParaRPr>
          </a:p>
        </c:rich>
      </c:tx>
      <c:layout/>
      <c:overlay val="0"/>
      <c:spPr bwMode="auto">
        <a:prstGeom prst="rect">
          <a:avLst/>
        </a:prstGeom>
        <a:noFill/>
        <a:ln>
          <a:noFill/>
        </a:ln>
      </c:spPr>
      <c:txPr>
        <a:bodyPr/>
        <a:p>
          <a:pPr>
            <a:defRPr lang="ru-RU" sz="1200" b="1" spc="0">
              <a:solidFill>
                <a:schemeClr val="tx1"/>
              </a:solidFill>
              <a:latin typeface="Liberation Serif"/>
              <a:ea typeface="Liberation Serif"/>
              <a:cs typeface="Liberation Serif"/>
            </a:defRPr>
          </a:pPr>
          <a:endParaRPr/>
        </a:p>
      </c:txPr>
    </c:title>
    <c:autoTitleDeleted val="0"/>
    <c:plotArea>
      <c:layout>
        <c:manualLayout>
          <c:layoutTarget val="inner"/>
          <c:xMode val="edge"/>
          <c:yMode val="edge"/>
          <c:x val="0.24304999999999999"/>
          <c:y val="0.13327"/>
          <c:w val="0.70584000000000002"/>
          <c:h val="0.5209700000000000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 xml:space="preserve">Есть отдельные проблемы, но в целом ситуация стабильная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  <a:ln>
              <a:noFill/>
            </a:ln>
          </c:spPr>
          <c:invertIfNegative val="0"/>
          <c:dLbls>
            <c:dLblPos val="ctr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200" b="1">
                    <a:solidFill>
                      <a:schemeClr val="tx1"/>
                    </a:solidFill>
                    <a:latin typeface="Liberation Serif"/>
                    <a:ea typeface="Liberation Serif"/>
                    <a:cs typeface="Liberation Serif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2023 год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65</c:v>
                </c:pt>
                <c:pt idx="1">
                  <c:v>61</c:v>
                </c:pt>
                <c:pt idx="2">
                  <c:v>64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 xml:space="preserve">Ситуация нормальная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</c:spPr>
          <c:invertIfNegative val="0"/>
          <c:dLbls>
            <c:dLblPos val="ctr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200" b="1">
                    <a:solidFill>
                      <a:schemeClr val="tx1"/>
                    </a:solidFill>
                    <a:latin typeface="Liberation Serif"/>
                    <a:ea typeface="Liberation Serif"/>
                    <a:cs typeface="Liberation Serif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2023 год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25</c:v>
                </c:pt>
                <c:pt idx="1">
                  <c:v>26</c:v>
                </c:pt>
                <c:pt idx="2">
                  <c:v>20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 xml:space="preserve">Ситуация тяжелая, терпеть такое положение уже невозможно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3"/>
            </a:solidFill>
            <a:ln>
              <a:noFill/>
            </a:ln>
          </c:spPr>
          <c:invertIfNegative val="0"/>
          <c:dLbls>
            <c:dLblPos val="ctr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200" b="1">
                    <a:solidFill>
                      <a:schemeClr val="tx1"/>
                    </a:solidFill>
                    <a:latin typeface="Liberation Serif"/>
                    <a:ea typeface="Liberation Serif"/>
                    <a:cs typeface="Liberation Serif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2023 год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4</c:v>
                </c:pt>
                <c:pt idx="1">
                  <c:v>5</c:v>
                </c:pt>
                <c:pt idx="2">
                  <c:v>7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 xml:space="preserve">Затрудняюсь ответить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tx2">
                <a:lumMod val="60000"/>
                <a:lumOff val="40000"/>
              </a:schemeClr>
            </a:solidFill>
            <a:ln>
              <a:noFill/>
            </a:ln>
          </c:spPr>
          <c:invertIfNegative val="0"/>
          <c:dLbls>
            <c:dLblPos val="ctr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>
                <a:noFill/>
              </a:ln>
            </c:spPr>
            <c:txPr>
              <a:bodyPr/>
              <a:p>
                <a:pPr>
                  <a:defRPr sz="1200" b="1">
                    <a:solidFill>
                      <a:schemeClr val="tx1"/>
                    </a:solidFill>
                    <a:latin typeface="Liberation Serif"/>
                    <a:ea typeface="Liberation Serif"/>
                    <a:cs typeface="Liberation Serif"/>
                  </a:defRPr>
                </a:pPr>
                <a:endParaRPr/>
              </a:p>
            </c:txPr>
          </c:dLbls>
          <c:cat>
            <c:strRef>
              <c:f>Sheet1!$A$2:$A$4</c:f>
              <c:strCache>
                <c:ptCount val="3"/>
                <c:pt idx="0">
                  <c:v xml:space="preserve">2023 год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6</c:v>
                </c:pt>
                <c:pt idx="1">
                  <c:v>8</c:v>
                </c:pt>
                <c:pt idx="2">
                  <c:v>9</c:v>
                </c:pt>
              </c:numCache>
            </c:numRef>
          </c:val>
        </c:ser>
        <c:dLbls>
          <c:dLblPos val="ctr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spPr bwMode="auto">
            <a:prstGeom prst="rect">
              <a:avLst/>
            </a:prstGeom>
            <a:noFill/>
            <a:ln>
              <a:noFill/>
            </a:ln>
          </c:spPr>
          <c:txPr>
            <a:bodyPr/>
            <a:p>
              <a:pPr>
                <a:defRPr sz="1000" b="1">
                  <a:solidFill>
                    <a:schemeClr val="tx1"/>
                  </a:solidFill>
                  <a:latin typeface="Liberation Serif"/>
                  <a:ea typeface="Liberation Serif"/>
                  <a:cs typeface="Liberation Serif"/>
                </a:defRPr>
              </a:pPr>
              <a:endParaRPr/>
            </a:p>
          </c:txPr>
        </c:dLbls>
        <c:gapWidth val="150"/>
        <c:overlap val="100"/>
        <c:axId val="2140842010"/>
        <c:axId val="2140842011"/>
      </c:barChart>
      <c:catAx>
        <c:axId val="214084201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</c:spPr>
        <c:txPr>
          <a:bodyPr/>
          <a:p>
            <a:pPr>
              <a:defRPr sz="1200" b="0">
                <a:solidFill>
                  <a:schemeClr val="tx1"/>
                </a:solidFill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2011"/>
        <c:crosses val="autoZero"/>
        <c:auto val="1"/>
        <c:lblAlgn val="ctr"/>
        <c:lblOffset val="100"/>
        <c:tickMarkSkip val="1"/>
        <c:noMultiLvlLbl val="0"/>
      </c:catAx>
      <c:valAx>
        <c:axId val="2140842011"/>
        <c:scaling>
          <c:orientation val="minMax"/>
        </c:scaling>
        <c:delete val="1"/>
        <c:axPos val="b"/>
        <c:majorGridlines>
          <c:spPr bwMode="auto">
            <a:prstGeom prst="rect">
              <a:avLst/>
            </a:prstGeom>
            <a:noFill/>
            <a:ln w="9525" cap="flat" cmpd="sng" algn="ctr">
              <a:noFill/>
              <a:round/>
            </a:ln>
          </c:spPr>
        </c:majorGridlines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>
            <a:noFill/>
          </a:ln>
        </c:spPr>
        <c:txPr>
          <a:bodyPr/>
          <a:p>
            <a:pPr>
              <a:defRPr sz="1000" b="1">
                <a:solidFill>
                  <a:schemeClr val="tx1"/>
                </a:solidFill>
                <a:latin typeface="Liberation Serif"/>
                <a:ea typeface="Liberation Serif"/>
                <a:cs typeface="Liberation Serif"/>
              </a:defRPr>
            </a:pPr>
            <a:endParaRPr/>
          </a:p>
        </c:txPr>
        <c:crossAx val="2140842010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.01107"/>
          <c:y val="0.72926999999999997"/>
          <c:w val="0.94404999999999994"/>
          <c:h val="0.23913000000000001"/>
        </c:manualLayout>
      </c:layout>
      <c:overlay val="0"/>
      <c:spPr bwMode="auto">
        <a:prstGeom prst="rect">
          <a:avLst/>
        </a:prstGeom>
        <a:noFill/>
        <a:ln>
          <a:noFill/>
        </a:ln>
      </c:spPr>
      <c:txPr>
        <a:bodyPr/>
        <a:p>
          <a:pPr>
            <a:defRPr sz="1100" b="0">
              <a:solidFill>
                <a:schemeClr val="tx1"/>
              </a:solidFill>
              <a:latin typeface="Liberation Sans"/>
              <a:ea typeface="Liberation Sans"/>
              <a:cs typeface="Liberation Sans"/>
            </a:defRPr>
          </a:pPr>
          <a:endParaRPr/>
        </a:p>
      </c:txPr>
    </c:legend>
    <c:plotVisOnly val="1"/>
    <c:dispBlanksAs val="gap"/>
    <c:showDLblsOverMax val="0"/>
  </c:chart>
  <c:spPr bwMode="auto">
    <a:xfrm>
      <a:off x="0" y="0"/>
      <a:ext cx="5964573" cy="2231469"/>
    </a:xfrm>
    <a:prstGeom prst="rect">
      <a:avLst/>
    </a:prstGeom>
    <a:solidFill>
      <a:schemeClr val="bg1"/>
    </a:solidFill>
    <a:ln w="9525" cap="flat" cmpd="sng" algn="ctr">
      <a:noFill/>
      <a:round/>
    </a:ln>
  </c:spPr>
  <c:txPr>
    <a:bodyPr/>
    <a:p>
      <a:pPr>
        <a:defRPr sz="1000" b="1">
          <a:solidFill>
            <a:schemeClr val="tx1"/>
          </a:solidFill>
          <a:latin typeface="Liberation Serif"/>
          <a:ea typeface="Liberation Serif"/>
          <a:cs typeface="Liberation Serif"/>
        </a:defRPr>
      </a:pPr>
      <a:endParaRPr/>
    </a:p>
  </c:txPr>
  <c:externalData r:id="rId3">
    <c:autoUpdate val="0"/>
  </c:externalData>
  <c:printSettings>
    <c:headerFooter/>
    <c:pageMargins l="0.69999999999999996" r="0.69999999999999996" t="0.75" b="0.75" header="0.29999999999999999" footer="0.29999999999999999"/>
    <c:pageSetup/>
  </c:printSettings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cs typeface="Liberation Sans"/>
              </a:rPr>
              <a:t>Оценка изменений в</a:t>
            </a:r>
            <a:r>
              <a:rPr lang="ru-RU" sz="1200">
                <a:latin typeface="Liberation Sans"/>
                <a:cs typeface="Liberation Sans"/>
              </a:rPr>
              <a:t> благоустройстве города, </a:t>
            </a:r>
            <a:r>
              <a:rPr lang="ru-RU" sz="1200">
                <a:latin typeface="Liberation Sans"/>
                <a:cs typeface="Liberation Sans"/>
              </a:rPr>
              <a:t>%</a:t>
            </a:r>
            <a:endParaRPr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16861000000000001"/>
          <c:y val="0.025479999999999999"/>
        </c:manualLayout>
      </c:layout>
      <c:overlay val="0"/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title>
    <c:plotArea>
      <c:layout>
        <c:manualLayout>
          <c:layoutTarget val="inner"/>
          <c:xMode val="edge"/>
          <c:yMode val="edge"/>
          <c:x val="0.19148000000000001"/>
          <c:y val="0.21268999999999999"/>
          <c:w val="0.77146999999999999"/>
          <c:h val="0.5294999999999999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Город изменился в лучшую сторону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</c:spPr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1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2023 год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85</c:v>
                </c:pt>
                <c:pt idx="1">
                  <c:v>81</c:v>
                </c:pt>
                <c:pt idx="2">
                  <c:v>73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 xml:space="preserve">Ничего не изменилось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60000"/>
                <a:lumOff val="40000"/>
              </a:schemeClr>
            </a:solidFill>
          </c:spPr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1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2023 год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</c:v>
                </c:pt>
                <c:pt idx="1">
                  <c:v>11</c:v>
                </c:pt>
                <c:pt idx="2">
                  <c:v>14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 xml:space="preserve">Город изменился в худшую сторону</c:v>
                </c:pt>
              </c:strCache>
            </c:strRef>
          </c:tx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1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2023 год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 xml:space="preserve">Затрудняюсь ответить</c:v>
                </c:pt>
              </c:strCache>
            </c:strRef>
          </c:tx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1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2023 год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4</c:v>
                </c:pt>
                <c:pt idx="1">
                  <c:v>5</c:v>
                </c:pt>
                <c:pt idx="2">
                  <c:v>8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55"/>
        <c:overlap val="100"/>
        <c:axId val="2140841658"/>
        <c:axId val="2140841659"/>
      </c:barChart>
      <c:catAx>
        <c:axId val="214084165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1659"/>
        <c:crosses val="autoZero"/>
        <c:auto val="1"/>
        <c:lblAlgn val="ctr"/>
        <c:lblOffset val="100"/>
        <c:noMultiLvlLbl val="0"/>
      </c:catAx>
      <c:valAx>
        <c:axId val="214084165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214084165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5810999999999995"/>
          <c:w val="0.96199999999999997"/>
          <c:h val="0.21573000000000001"/>
        </c:manualLayout>
      </c:layout>
      <c:overlay val="0"/>
      <c:txPr>
        <a:bodyPr/>
        <a:p>
          <a:pPr>
            <a:defRPr sz="1200">
              <a:latin typeface="Liberation Sans"/>
              <a:ea typeface="Liberation Sans"/>
              <a:cs typeface="Liberation Sans"/>
            </a:defRPr>
          </a:pPr>
          <a:endParaRPr/>
        </a:p>
      </c:txPr>
    </c:legend>
    <c:plotVisOnly val="1"/>
    <c:showDLblsOverMax val="0"/>
  </c:chart>
  <c:spPr bwMode="auto">
    <a:xfrm>
      <a:off x="0" y="0"/>
      <a:ext cx="5753096" cy="2285997"/>
    </a:xfrm>
    <a:prstGeom prst="rect">
      <a:avLst/>
    </a:prstGeom>
    <a:ln>
      <a:noFill/>
    </a:ln>
  </c:spPr>
  <c:txPr>
    <a:bodyPr/>
    <a:lstStyle/>
    <a:p>
      <a:pPr>
        <a:defRPr>
          <a:latin typeface="Liberation Serif"/>
        </a:defRPr>
      </a:pPr>
      <a:endParaRPr lang="ru-RU"/>
    </a:p>
  </c:txPr>
  <c:externalData r:id="rId1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p>
            <a:pPr>
              <a:defRPr lang="ru-RU" sz="1200">
                <a:latin typeface="Liberation Sans"/>
                <a:ea typeface="Liberation Sans"/>
                <a:cs typeface="Liberation Sans"/>
              </a:defRPr>
            </a:pPr>
            <a:r>
              <a:rPr lang="ru-RU">
                <a:latin typeface="Liberation Sans"/>
                <a:cs typeface="Liberation Sans"/>
              </a:rPr>
              <a:t>Мероприятия, необходимые для улучшения </a:t>
            </a:r>
            <a:endParaRPr lang="ru-RU">
              <a:latin typeface="Liberation Sans"/>
              <a:cs typeface="Liberation Sans"/>
            </a:endParaRPr>
          </a:p>
          <a:p>
            <a:pPr>
              <a:defRPr lang="ru-RU" sz="1200">
                <a:latin typeface="Liberation Sans"/>
                <a:ea typeface="Liberation Sans"/>
                <a:cs typeface="Liberation Sans"/>
              </a:defRPr>
            </a:pPr>
            <a:r>
              <a:rPr lang="ru-RU">
                <a:latin typeface="Liberation Sans"/>
                <a:cs typeface="Liberation Sans"/>
              </a:rPr>
              <a:t>внешнего облика города, %</a:t>
            </a:r>
            <a:endParaRPr lang="ru-RU">
              <a:latin typeface="Liberation Sans"/>
              <a:cs typeface="Liberation Sans"/>
            </a:endParaRPr>
          </a:p>
        </c:rich>
      </c:tx>
      <c:layout/>
      <c:overlay val="0"/>
      <c:txPr>
        <a:bodyPr/>
        <a:p>
          <a:pPr>
            <a:defRPr lang="ru-RU" sz="1200">
              <a:latin typeface="Liberation Sans"/>
              <a:ea typeface="Liberation Sans"/>
              <a:cs typeface="Liberation Sans"/>
            </a:defRPr>
          </a:pPr>
          <a:endParaRPr/>
        </a:p>
      </c:txPr>
    </c:title>
    <c:autoTitleDeleted val="1"/>
    <c:plotArea>
      <c:layout>
        <c:manualLayout>
          <c:layoutTarget val="inner"/>
          <c:xMode val="edge"/>
          <c:yMode val="edge"/>
          <c:x val="0.10115"/>
          <c:y val="0.20635999999999999"/>
          <c:w val="0.83333000000000002"/>
          <c:h val="0.477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>2022</c:v>
                </c:pt>
              </c:strCache>
            </c:strRef>
          </c:tx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1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'Лист1'!$A$2:$A$6</c:f>
              <c:strCache>
                <c:ptCount val="5"/>
                <c:pt idx="0">
                  <c:v xml:space="preserve">Изменение фасадов зданий</c:v>
                </c:pt>
                <c:pt idx="1">
                  <c:v xml:space="preserve">Озеленение территорий</c:v>
                </c:pt>
                <c:pt idx="2">
                  <c:v xml:space="preserve">Установка малых декоративных форм</c:v>
                </c:pt>
                <c:pt idx="3">
                  <c:v xml:space="preserve">Устройство пешеходных дорожек</c:v>
                </c:pt>
                <c:pt idx="4">
                  <c:v xml:space="preserve">Обустройство скверов, площадей, зеленых зон</c:v>
                </c:pt>
              </c:strCache>
            </c:strRef>
          </c:cat>
          <c:val>
            <c:numRef>
              <c:f>'Лист1'!$B$2:$B$6</c:f>
              <c:numCache>
                <c:formatCode>General</c:formatCode>
                <c:ptCount val="5"/>
                <c:pt idx="0">
                  <c:v>50</c:v>
                </c:pt>
                <c:pt idx="1">
                  <c:v>43</c:v>
                </c:pt>
                <c:pt idx="2">
                  <c:v>36</c:v>
                </c:pt>
                <c:pt idx="3">
                  <c:v>21</c:v>
                </c:pt>
                <c:pt idx="4">
                  <c:v>16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2023</c:v>
                </c:pt>
              </c:strCache>
            </c:strRef>
          </c:tx>
          <c:dLbls>
            <c:dLblPos val="outEnd"/>
            <c:separator xml:space="preserve"> </c:separator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p>
                <a:pPr>
                  <a:defRPr sz="1100" b="1">
                    <a:latin typeface="Liberation Sans"/>
                    <a:ea typeface="Liberation Sans"/>
                    <a:cs typeface="Liberation Sans"/>
                  </a:defRPr>
                </a:pPr>
                <a:endParaRPr/>
              </a:p>
            </c:txPr>
          </c:dLbls>
          <c:cat>
            <c:strRef>
              <c:f>'Лист1'!$A$2:$A$6</c:f>
              <c:strCache>
                <c:ptCount val="5"/>
                <c:pt idx="0">
                  <c:v xml:space="preserve">Изменение фасадов зданий</c:v>
                </c:pt>
                <c:pt idx="1">
                  <c:v xml:space="preserve">Озеленение территорий</c:v>
                </c:pt>
                <c:pt idx="2">
                  <c:v xml:space="preserve">Установка малых декоративных форм</c:v>
                </c:pt>
                <c:pt idx="3">
                  <c:v xml:space="preserve">Устройство пешеходных дорожек</c:v>
                </c:pt>
                <c:pt idx="4">
                  <c:v xml:space="preserve">Обустройство скверов, площадей, зеленых зон</c:v>
                </c:pt>
              </c:strCache>
            </c:strRef>
          </c:cat>
          <c:val>
            <c:numRef>
              <c:f>'Лист1'!$C$2:$C$6</c:f>
              <c:numCache>
                <c:formatCode>General</c:formatCode>
                <c:ptCount val="5"/>
                <c:pt idx="0">
                  <c:v>55</c:v>
                </c:pt>
                <c:pt idx="1">
                  <c:v>46</c:v>
                </c:pt>
                <c:pt idx="2">
                  <c:v>40</c:v>
                </c:pt>
                <c:pt idx="3">
                  <c:v>18</c:v>
                </c:pt>
                <c:pt idx="4">
                  <c:v>13</c:v>
                </c:pt>
              </c:numCache>
            </c:numRef>
          </c:val>
        </c:ser>
        <c:dLbls>
          <c:dLblPos val="outEnd"/>
          <c:separator xml:space="preserve"> </c:separator>
          <c:showBubbleSize val="0"/>
          <c:showCatName val="0"/>
          <c:showLeaderLines val="0"/>
          <c:showLegendKey val="0"/>
          <c:showPercent val="0"/>
          <c:showSerName val="0"/>
          <c:showVal val="1"/>
          <c:txPr>
            <a:bodyPr/>
            <a:p>
              <a:pPr>
                <a:defRPr>
                  <a:latin typeface="Liberation Serif"/>
                  <a:ea typeface="Liberation Serif"/>
                  <a:cs typeface="Liberation Serif"/>
                </a:defRPr>
              </a:pPr>
              <a:endParaRPr/>
            </a:p>
          </c:txPr>
        </c:dLbls>
        <c:gapWidth val="150"/>
        <c:axId val="2140842026"/>
        <c:axId val="2140842027"/>
      </c:barChart>
      <c:catAx>
        <c:axId val="214084202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endParaRPr lang="ru-RU"/>
          </a:p>
        </c:txPr>
        <c:crossAx val="2140842027"/>
        <c:crosses val="autoZero"/>
        <c:auto val="1"/>
        <c:lblAlgn val="ctr"/>
        <c:lblOffset val="100"/>
        <c:tickMarkSkip val="1"/>
        <c:noMultiLvlLbl val="0"/>
      </c:catAx>
      <c:valAx>
        <c:axId val="2140842027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txPr>
          <a:bodyPr/>
          <a:p>
            <a:pPr>
              <a:defRPr>
                <a:latin typeface="Liberation Serif"/>
                <a:ea typeface="Liberation Serif"/>
                <a:cs typeface="Liberation Serif"/>
              </a:defRPr>
            </a:pPr>
            <a:endParaRPr/>
          </a:p>
        </c:txPr>
        <c:crossAx val="2140842026"/>
        <c:crosses val="autoZero"/>
        <c:crossBetween val="between"/>
      </c:valAx>
      <c:spPr bwMode="auto">
        <a:prstGeom prst="rect">
          <a:avLst/>
        </a:prstGeom>
        <a:ln>
          <a:noFill/>
        </a:ln>
      </c:spPr>
    </c:plotArea>
    <c:legend>
      <c:legendPos val="r"/>
      <c:layout>
        <c:manualLayout>
          <c:xMode val="edge"/>
          <c:yMode val="edge"/>
          <c:x val="0.83109"/>
          <c:y val="0.19289000000000001"/>
          <c:w val="0.11326"/>
          <c:h val="0.22034000000000001"/>
        </c:manualLayout>
      </c:layout>
      <c:overlay val="0"/>
      <c:txPr>
        <a:bodyPr/>
        <a:p>
          <a:pPr>
            <a:defRPr sz="1200">
              <a:latin typeface="Liberation Sans"/>
              <a:ea typeface="Liberation Sans"/>
              <a:cs typeface="Liberation Sans"/>
            </a:defRPr>
          </a:pPr>
          <a:endParaRPr/>
        </a:p>
      </c:txPr>
    </c:legend>
    <c:plotVisOnly val="1"/>
    <c:showDLblsOverMax val="0"/>
  </c:chart>
  <c:spPr bwMode="auto">
    <a:xfrm>
      <a:off x="0" y="0"/>
      <a:ext cx="5766130" cy="2525085"/>
    </a:xfrm>
    <a:prstGeom prst="rect">
      <a:avLst/>
    </a:prstGeom>
    <a:ln>
      <a:noFill/>
    </a:ln>
  </c:spPr>
  <c:txPr>
    <a:bodyPr/>
    <a:p>
      <a:pPr>
        <a:defRPr>
          <a:latin typeface="Liberation Serif"/>
          <a:ea typeface="Liberation Serif"/>
          <a:cs typeface="Liberation Serif"/>
        </a:defRPr>
      </a:pPr>
      <a:endParaRPr/>
    </a:p>
  </c:txPr>
  <c:externalData r:id="rId1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cs typeface="Liberation Sans"/>
              </a:rPr>
              <a:t>Оценка уровня криминогенности </a:t>
            </a:r>
            <a:endParaRPr lang="ru-RU" sz="1200">
              <a:latin typeface="Liberation Sans"/>
              <a:cs typeface="Liberation Sans"/>
            </a:endParaRPr>
          </a:p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cs typeface="Liberation Sans"/>
              </a:rPr>
              <a:t>в муниципальном образовании, %</a:t>
            </a:r>
            <a:endParaRPr>
              <a:latin typeface="Liberation Sans"/>
              <a:cs typeface="Liberation Sans"/>
            </a:endParaRPr>
          </a:p>
        </c:rich>
      </c:tx>
      <c:layout/>
      <c:overlay val="0"/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title>
    <c:plotArea>
      <c:layout>
        <c:manualLayout>
          <c:layoutTarget val="inner"/>
          <c:xMode val="edge"/>
          <c:yMode val="edge"/>
          <c:x val="0.17591999999999999"/>
          <c:y val="0.21268999999999999"/>
          <c:w val="0.78703000000000001"/>
          <c:h val="0.5533099999999999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Высокий 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/>
            </a:solidFill>
          </c:spPr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1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2023 год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5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 bwMode="auto">
            <a:prstGeom prst="rect">
              <a:avLst/>
            </a:prstGeom>
            <a:solidFill>
              <a:schemeClr val="accent1">
                <a:lumMod val="60000"/>
                <a:lumOff val="40000"/>
              </a:schemeClr>
            </a:solidFill>
          </c:spPr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1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2023 год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34</c:v>
                </c:pt>
                <c:pt idx="1">
                  <c:v>38</c:v>
                </c:pt>
                <c:pt idx="2">
                  <c:v>38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 xml:space="preserve">Низкий </c:v>
                </c:pt>
              </c:strCache>
            </c:strRef>
          </c:tx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lang="ru-RU" sz="11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2023 год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31</c:v>
                </c:pt>
                <c:pt idx="1">
                  <c:v>37</c:v>
                </c:pt>
                <c:pt idx="2">
                  <c:v>33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 xml:space="preserve">Затрудняюсь ответить</c:v>
                </c:pt>
              </c:strCache>
            </c:strRef>
          </c:tx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100"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Лист1!$A$2:$A$4</c:f>
              <c:strCache>
                <c:ptCount val="3"/>
                <c:pt idx="0">
                  <c:v xml:space="preserve">2023 год</c:v>
                </c:pt>
                <c:pt idx="1">
                  <c:v xml:space="preserve">2022 год</c:v>
                </c:pt>
                <c:pt idx="2">
                  <c:v xml:space="preserve">2021 год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33</c:v>
                </c:pt>
                <c:pt idx="1">
                  <c:v>20</c:v>
                </c:pt>
                <c:pt idx="2">
                  <c:v>22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  <c:txPr>
            <a:bodyPr/>
            <a:p>
              <a:pPr>
                <a:defRPr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gapWidth val="55"/>
        <c:overlap val="100"/>
        <c:axId val="2140841662"/>
        <c:axId val="2140841663"/>
      </c:barChart>
      <c:catAx>
        <c:axId val="214084166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1663"/>
        <c:crosses val="autoZero"/>
        <c:auto val="1"/>
        <c:lblAlgn val="ctr"/>
        <c:lblOffset val="100"/>
        <c:noMultiLvlLbl val="0"/>
      </c:catAx>
      <c:valAx>
        <c:axId val="2140841663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txPr>
          <a:bodyPr/>
          <a:p>
            <a:pPr>
              <a:defRPr>
                <a:latin typeface="Liberation Sans"/>
                <a:ea typeface="Liberation Sans"/>
                <a:cs typeface="Liberation Sans"/>
              </a:defRPr>
            </a:pPr>
            <a:endParaRPr/>
          </a:p>
        </c:txPr>
        <c:crossAx val="214084166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083180000000000004"/>
          <c:y val="0.79378000000000004"/>
          <c:w val="0.90607000000000004"/>
          <c:h val="0.11890000000000001"/>
        </c:manualLayout>
      </c:layout>
      <c:overlay val="0"/>
      <c:txPr>
        <a:bodyPr/>
        <a:p>
          <a:pPr>
            <a:defRPr sz="1100">
              <a:latin typeface="Liberation Sans"/>
              <a:ea typeface="Liberation Sans"/>
              <a:cs typeface="Liberation Sans"/>
            </a:defRPr>
          </a:pPr>
          <a:endParaRPr/>
        </a:p>
      </c:txPr>
    </c:legend>
    <c:plotVisOnly val="1"/>
    <c:showDLblsOverMax val="0"/>
  </c:chart>
  <c:spPr bwMode="auto">
    <a:xfrm>
      <a:off x="0" y="0"/>
      <a:ext cx="5487442" cy="2632661"/>
    </a:xfrm>
    <a:prstGeom prst="rect">
      <a:avLst/>
    </a:prstGeom>
    <a:ln>
      <a:noFill/>
    </a:ln>
  </c:spPr>
  <c:txPr>
    <a:bodyPr/>
    <a:lstStyle/>
    <a:p>
      <a:pPr>
        <a:defRPr>
          <a:latin typeface="Liberation Sans"/>
          <a:ea typeface="Liberation Sans"/>
          <a:cs typeface="Liberation Sans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4="http://schemas.microsoft.com/office/drawing/2007/8/2/chart">
  <c:date1904 val="1"/>
  <c:lang val="ru-RU"/>
  <c:roundedCorners val="0"/>
  <mc:AlternateContent>
    <mc:Choice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200">
                <a:latin typeface="Liberation Sans"/>
                <a:ea typeface="Liberation Sans"/>
                <a:cs typeface="Liberation Sans"/>
              </a:defRPr>
            </a:pPr>
            <a:r>
              <a:rPr lang="ru-RU" sz="1200">
                <a:latin typeface="Liberation Sans"/>
                <a:ea typeface="Liberation Sans"/>
                <a:cs typeface="Liberation Sans"/>
              </a:rPr>
              <a:t>Сфера бытового обслуживания по отдельным видам услуг, ед.</a:t>
            </a:r>
            <a:endParaRPr>
              <a:latin typeface="Liberation Sans"/>
              <a:cs typeface="Liberation Sans"/>
            </a:endParaRPr>
          </a:p>
        </c:rich>
      </c:tx>
      <c:layout>
        <c:manualLayout>
          <c:xMode val="edge"/>
          <c:yMode val="edge"/>
          <c:x val="0.060290000000000003"/>
          <c:y val="0"/>
        </c:manualLayout>
      </c:layout>
      <c:overlay val="0"/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title>
    <c:plotArea>
      <c:layout>
        <c:manualLayout>
          <c:layoutTarget val="inner"/>
          <c:xMode val="edge"/>
          <c:yMode val="edge"/>
          <c:x val="0.08992"/>
          <c:y val="0.16952"/>
          <c:w val="0.30842000000000003"/>
          <c:h val="0.72785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1"/>
            <c:spPr bwMode="auto">
              <a:prstGeom prst="rect">
                <a:avLst/>
              </a:prstGeom>
              <a:solidFill>
                <a:schemeClr val="accent2">
                  <a:lumMod val="40000"/>
                  <a:lumOff val="60000"/>
                </a:schemeClr>
              </a:solidFill>
            </c:spPr>
          </c:dPt>
          <c:dPt>
            <c:idx val="2"/>
            <c:spPr bwMode="auto">
              <a:prstGeom prst="rect">
                <a:avLst/>
              </a:prstGeom>
              <a:solidFill>
                <a:schemeClr val="accent6">
                  <a:lumMod val="40000"/>
                  <a:lumOff val="60000"/>
                </a:schemeClr>
              </a:solidFill>
            </c:spPr>
          </c:dPt>
          <c:dPt>
            <c:idx val="3"/>
            <c:spPr bwMode="auto">
              <a:prstGeom prst="rect">
                <a:avLst/>
              </a:prstGeom>
              <a:solidFill>
                <a:schemeClr val="accent4">
                  <a:lumMod val="40000"/>
                  <a:lumOff val="60000"/>
                </a:schemeClr>
              </a:solidFill>
            </c:spPr>
          </c:dPt>
          <c:dPt>
            <c:idx val="4"/>
            <c:spPr bwMode="auto">
              <a:prstGeom prst="rect">
                <a:avLst/>
              </a:prstGeom>
              <a:solidFill>
                <a:schemeClr val="accent3">
                  <a:lumMod val="60000"/>
                  <a:lumOff val="40000"/>
                </a:schemeClr>
              </a:solidFill>
            </c:spPr>
          </c:dPt>
          <c:dPt>
            <c:idx val="7"/>
            <c:spPr bwMode="auto">
              <a:prstGeom prst="rect">
                <a:avLst/>
              </a:prstGeom>
              <a:solidFill>
                <a:srgbClr val="3859AB"/>
              </a:solidFill>
            </c:spPr>
          </c:dPt>
          <c:dPt>
            <c:idx val="5"/>
            <c:spPr bwMode="auto">
              <a:prstGeom prst="rect">
                <a:avLst/>
              </a:prstGeom>
              <a:solidFill>
                <a:srgbClr val="25829E"/>
              </a:solidFill>
            </c:spPr>
          </c:dPt>
          <c:dLbls>
            <c:showBubbleSize val="0"/>
            <c:showCatName val="0"/>
            <c:showLeaderLines val="1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b="1">
                    <a:latin typeface="Liberation Sans"/>
                    <a:ea typeface="Liberation Sans"/>
                    <a:cs typeface="Liberation Sans"/>
                  </a:defRPr>
                </a:pPr>
                <a:endParaRPr lang="ru-RU"/>
              </a:p>
            </c:txPr>
          </c:dLbls>
          <c:cat>
            <c:strRef>
              <c:f>Лист1!$A$2:$A$9</c:f>
              <c:strCache>
                <c:ptCount val="8"/>
                <c:pt idx="0">
                  <c:v xml:space="preserve">Парикмахерские и косметологические услуги</c:v>
                </c:pt>
                <c:pt idx="1">
                  <c:v>Автосервис</c:v>
                </c:pt>
                <c:pt idx="2">
                  <c:v xml:space="preserve">Пошив, ремонт одежды и обуви</c:v>
                </c:pt>
                <c:pt idx="3">
                  <c:v xml:space="preserve">Ремонт, обслуживание бытовой аппаратуры, изготовление металлоизделий </c:v>
                </c:pt>
                <c:pt idx="4">
                  <c:v xml:space="preserve">Услуги фотографии</c:v>
                </c:pt>
                <c:pt idx="5">
                  <c:v xml:space="preserve">Услуги бань, саун</c:v>
                </c:pt>
                <c:pt idx="6">
                  <c:v xml:space="preserve">Объекты, оказывающие услуги по ремонту и строительству жилищ и др. построек</c:v>
                </c:pt>
                <c:pt idx="7">
                  <c:v>Прочие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136</c:v>
                </c:pt>
                <c:pt idx="1">
                  <c:v>60</c:v>
                </c:pt>
                <c:pt idx="2">
                  <c:v>33</c:v>
                </c:pt>
                <c:pt idx="3">
                  <c:v>23</c:v>
                </c:pt>
                <c:pt idx="4">
                  <c:v>15</c:v>
                </c:pt>
                <c:pt idx="5">
                  <c:v>10</c:v>
                </c:pt>
                <c:pt idx="6">
                  <c:v>4</c:v>
                </c:pt>
                <c:pt idx="7">
                  <c:v>42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  <c:txPr>
            <a:bodyPr/>
            <a:p>
              <a:pPr>
                <a:defRPr>
                  <a:latin typeface="Liberation Sans"/>
                  <a:ea typeface="Liberation Sans"/>
                  <a:cs typeface="Liberation Sans"/>
                </a:defRPr>
              </a:pPr>
              <a:endParaRPr/>
            </a:p>
          </c:txPr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43403000000000003"/>
          <c:y val="0.088650000000000007"/>
          <c:w val="0.49534"/>
          <c:h val="0.86053999999999997"/>
        </c:manualLayout>
      </c:layout>
      <c:overlay val="0"/>
      <c:txPr>
        <a:bodyPr/>
        <a:p>
          <a:pPr>
            <a:defRPr>
              <a:latin typeface="Liberation Sans"/>
              <a:ea typeface="Liberation Sans"/>
              <a:cs typeface="Liberation Sans"/>
            </a:defRPr>
          </a:pPr>
          <a:endParaRPr/>
        </a:p>
      </c:txPr>
    </c:legend>
    <c:plotVisOnly val="1"/>
    <c:showDLblsOverMax val="0"/>
  </c:chart>
  <c:spPr bwMode="auto">
    <a:xfrm rot="0" flipH="0" flipV="0">
      <a:off x="0" y="0"/>
      <a:ext cx="6318589" cy="3067216"/>
    </a:xfrm>
    <a:prstGeom prst="rect">
      <a:avLst/>
    </a:prstGeom>
    <a:ln>
      <a:noFill/>
    </a:ln>
  </c:spPr>
  <c:txPr>
    <a:bodyPr/>
    <a:lstStyle/>
    <a:p>
      <a:pPr>
        <a:defRPr>
          <a:latin typeface="Liberation Sans"/>
          <a:ea typeface="Liberation Sans"/>
          <a:cs typeface="Liberation Sans"/>
        </a:defRPr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Point>
    <cs:lnRef idx="0"/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solidFill>
        <a:schemeClr val="phClr"/>
      </a:solidFill>
      <a:ln w="9525">
        <a:solidFill>
          <a:schemeClr val="phClr"/>
        </a:solidFill>
      </a:ln>
    </cs:spPr>
  </cs:dataPointMarker>
  <cs:dataPointWirefram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  <cs:dataPointMarkerLayout symbol="circle" size="5"/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9525">
        <a:solidFill>
          <a:schemeClr val="phClr"/>
        </a:solidFill>
      </a:ln>
    </cs:spPr>
  </cs:dataPointMarker>
  <cs:dataPointWirefram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  <cs:dataPointMarkerLayout symbol="circle" size="5"/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Point>
    <cs:lnRef idx="0"/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25400">
        <a:solidFill>
          <a:schemeClr val="lt1"/>
        </a:solidFill>
        <a:miter/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9525">
        <a:solidFill>
          <a:schemeClr val="phClr"/>
        </a:solidFill>
      </a:ln>
    </cs:spPr>
  </cs:dataPointMarker>
  <cs:dataPointWirefram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  <cs:dataPointMarkerLayout symbol="circle" size="5"/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9525">
        <a:solidFill>
          <a:schemeClr val="phClr"/>
        </a:solidFill>
      </a:ln>
    </cs:spPr>
  </cs:dataPointMarker>
  <cs:dataPointWirefram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  <cs:dataPointMarkerLayout symbol="circle" size="5"/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Point>
    <cs:lnRef idx="0"/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9525">
        <a:solidFill>
          <a:schemeClr val="phClr"/>
        </a:solidFill>
      </a:ln>
    </cs:spPr>
  </cs:dataPointMarker>
  <cs:dataPointWirefram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  <cs:dataPointMarkerLayout symbol="circle" size="5"/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9525">
        <a:solidFill>
          <a:schemeClr val="phClr"/>
        </a:solidFill>
      </a:ln>
    </cs:spPr>
  </cs:dataPointMarker>
  <cs:dataPointWirefram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  <cs:dataPointMarkerLayout symbol="circle" size="5"/>
</cs:chartStyle>
</file>

<file path=word/charts/style1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9525">
        <a:solidFill>
          <a:schemeClr val="phClr"/>
        </a:solidFill>
      </a:ln>
    </cs:spPr>
  </cs:dataPointMarker>
  <cs:dataPointWirefram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  <cs:dataPointMarkerLayout symbol="circle" size="5"/>
</cs:chartStyle>
</file>

<file path=word/charts/style1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9525">
        <a:solidFill>
          <a:schemeClr val="phClr"/>
        </a:solidFill>
        <a:miter/>
      </a:ln>
    </cs:spPr>
  </cs:dataPointMarker>
  <cs:dataPointWirefram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  <cs:dataPointMarkerLayout symbol="circle" size="5"/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9525">
        <a:solidFill>
          <a:schemeClr val="phClr"/>
        </a:solidFill>
      </a:ln>
    </cs:spPr>
  </cs:dataPointMarker>
  <cs:dataPointWirefram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  <cs:dataPointMarkerLayout symbol="circle" size="5"/>
</cs:chartStyle>
</file>

<file path=word/charts/style18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cap="none" spc="18"/>
  </cs:categoryAxis>
  <cs:chartArea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Point>
    <cs:lnRef idx="0"/>
    <cs:fillRef idx="0">
      <cs:styleClr val="auto"/>
    </cs:fillRef>
    <cs:effectRef idx="0"/>
    <cs:fontRef idx="minor">
      <a:schemeClr val="dk1"/>
    </cs:fontRef>
    <cs:spPr bwMode="auto">
      <a:prstGeom prst="rect">
        <a:avLst/>
      </a:prstGeom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 bwMode="auto">
      <a:prstGeom prst="rect">
        <a:avLst/>
      </a:prstGeom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 bwMode="auto">
      <a:prstGeom prst="rect">
        <a:avLst/>
      </a:prstGeom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 bwMode="auto">
      <a:prstGeom prst="rect">
        <a:avLst/>
      </a:prstGeom>
      <a:solidFill>
        <a:schemeClr val="phClr">
          <a:alpha val="70000"/>
        </a:schemeClr>
      </a:solidFill>
    </cs:spPr>
  </cs:dataPointMarker>
  <cs:dataPointWireframe>
    <cs:lnRef idx="0">
      <cs:styleClr val="auto"/>
    </cs:lnRef>
    <cs:fillRef idx="0"/>
    <cs:effectRef idx="0"/>
    <cs:fontRef idx="minor">
      <a:schemeClr val="dk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 bwMode="auto">
      <a:prstGeom prst="rect">
        <a:avLst/>
      </a:prstGeom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 bwMode="auto">
      <a:prstGeom prst="rect">
        <a:avLst/>
      </a:prstGeom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 bwMode="auto">
      <a:prstGeom prst="rect">
        <a:avLst/>
      </a:prstGeom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 bwMode="auto">
      <a:prstGeom prst="rect">
        <a:avLst/>
      </a:prstGeom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 bwMode="auto">
      <a:prstGeom prst="rect">
        <a:avLst/>
      </a:prstGeom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dk1"/>
    </cs:fontRef>
    <cs:spPr bwMode="auto">
      <a:prstGeom prst="rect">
        <a:avLst/>
      </a:prstGeom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cap="none" spc="45"/>
  </cs:title>
  <cs:trendline>
    <cs:lnRef idx="0">
      <cs:styleClr val="auto"/>
    </cs:lnRef>
    <cs:fillRef idx="0"/>
    <cs:effectRef idx="0"/>
    <cs:fontRef idx="minor">
      <a:schemeClr val="dk1"/>
    </cs:fontRef>
    <cs:spPr bwMode="auto">
      <a:prstGeom prst="rect">
        <a:avLst/>
      </a:prstGeom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  <a:miter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spc="18"/>
  </cs:valueAxis>
  <cs:wall>
    <cs:lnRef idx="0"/>
    <cs:fillRef idx="0"/>
    <cs:effectRef idx="0"/>
    <cs:fontRef idx="minor">
      <a:schemeClr val="dk1"/>
    </cs:fontRef>
  </cs:wall>
  <cs:dataPointMarkerLayout symbol="circle" size="6"/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9525">
        <a:solidFill>
          <a:schemeClr val="phClr"/>
        </a:solidFill>
      </a:ln>
    </cs:spPr>
  </cs:dataPointMarker>
  <cs:dataPointWirefram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  <cs:dataPointMarkerLayout symbol="circle" size="5"/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Point>
    <cs:lnRef idx="0"/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solidFill>
        <a:schemeClr val="phClr"/>
      </a:solidFill>
      <a:ln w="9525">
        <a:solidFill>
          <a:schemeClr val="phClr"/>
        </a:solidFill>
      </a:ln>
    </cs:spPr>
  </cs:dataPointMarker>
  <cs:dataPointWirefram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  <cs:dataPointMarkerLayout symbol="circle" size="5"/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9525">
        <a:solidFill>
          <a:schemeClr val="phClr"/>
        </a:solidFill>
        <a:round/>
      </a:ln>
    </cs:spPr>
  </cs:dataPointMarker>
  <cs:dataPointWirefram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  <cs:dataPointMarkerLayout symbol="circle" size="5"/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9525">
        <a:solidFill>
          <a:schemeClr val="phClr"/>
        </a:solidFill>
        <a:round/>
      </a:ln>
    </cs:spPr>
  </cs:dataPointMarker>
  <cs:dataPointWirefram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  <cs:dataPointMarkerLayout symbol="circle" size="5"/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9525">
        <a:solidFill>
          <a:schemeClr val="phClr"/>
        </a:solidFill>
        <a:bevel/>
      </a:ln>
    </cs:spPr>
  </cs:dataPointMarker>
  <cs:dataPointWirefram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  <cs:dataPointMarkerLayout symbol="circle" size="5"/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9525">
        <a:solidFill>
          <a:schemeClr val="phClr"/>
        </a:solidFill>
      </a:ln>
    </cs:spPr>
  </cs:dataPointMarker>
  <cs:dataPointWirefram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  <cs:dataPointMarkerLayout symbol="circle" size="5"/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9525">
        <a:solidFill>
          <a:schemeClr val="phClr"/>
        </a:solidFill>
        <a:miter/>
      </a:ln>
    </cs:spPr>
  </cs:dataPointMarker>
  <cs:dataPointWirefram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  <cs:dataPointMarkerLayout symbol="circle" size="5"/>
</cs:chartStyle>
</file>

<file path=word/charts/style4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2"/>
    </cs:fontRef>
    <cs:defRPr sz="900"/>
  </cs:dataLabel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  <a:miter/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charts/style5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/>
  </cs:axisTitle>
  <cs:category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2"/>
    </cs:fontRef>
    <cs:defRPr sz="900"/>
  </cs:dataLabel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 bwMode="auto">
      <a:prstGeom prst="rect">
        <a:avLst/>
      </a:prstGeom>
      <a:ln w="12700">
        <a:solidFill>
          <a:schemeClr val="lt2"/>
        </a:solidFill>
        <a:round/>
      </a:ln>
    </cs:spPr>
  </cs:dataPointMarker>
  <cs:dataPointWireframe>
    <cs:lnRef idx="0">
      <cs:styleClr val="auto"/>
    </cs:lnRef>
    <cs:fillRef idx="3"/>
    <cs:effectRef idx="2"/>
    <cs:fontRef idx="minor">
      <a:schemeClr val="tx2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 bwMode="auto">
      <a:prstGeom prst="rect">
        <a:avLst/>
      </a:prstGeom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 bwMode="auto">
      <a:prstGeom prst="rect">
        <a:avLst/>
      </a:prstGeom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2"/>
    </cs:fontRef>
    <cs:spPr bwMode="auto">
      <a:prstGeom prst="rect">
        <a:avLst/>
      </a:prstGeom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/>
  </cs:title>
  <cs:trendline>
    <cs:lnRef idx="0">
      <cs:styleClr val="auto"/>
    </cs:lnRef>
    <cs:fillRef idx="0"/>
    <cs:effectRef idx="0"/>
    <cs:fontRef idx="minor">
      <a:schemeClr val="tx2"/>
    </cs:fontRef>
    <cs:spPr bwMode="auto">
      <a:prstGeom prst="rect">
        <a:avLst/>
      </a:prstGeom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/>
  </cs:trendlineLabel>
  <cs:upBar>
    <cs:lnRef idx="0"/>
    <cs:fillRef idx="0"/>
    <cs:effectRef idx="0"/>
    <cs:fontRef idx="minor">
      <a:schemeClr val="tx2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/>
  </cs:valueAxis>
  <cs:wall>
    <cs:lnRef idx="0"/>
    <cs:fillRef idx="0"/>
    <cs:effectRef idx="0"/>
    <cs:fontRef idx="minor">
      <a:schemeClr val="tx2"/>
    </cs:fontRef>
  </cs:wall>
  <cs:dataPointMarkerLayout symbol="circle" size="6"/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9525">
        <a:solidFill>
          <a:schemeClr val="phClr"/>
        </a:solidFill>
        <a:miter/>
      </a:ln>
    </cs:spPr>
  </cs:dataPointMarker>
  <cs:dataPointWirefram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  <cs:dataPointMarkerLayout symbol="circle" size="5"/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9525">
        <a:solidFill>
          <a:schemeClr val="phClr"/>
        </a:solidFill>
        <a:miter/>
      </a:ln>
    </cs:spPr>
  </cs:dataPointMarker>
  <cs:dataPointWirefram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  <cs:dataPointMarkerLayout symbol="circle" size="5"/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Point>
    <cs:lnRef idx="0"/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19050">
        <a:solidFill>
          <a:schemeClr val="lt1"/>
        </a:solidFill>
        <a:miter/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25400">
        <a:solidFill>
          <a:schemeClr val="lt1"/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9525">
        <a:solidFill>
          <a:schemeClr val="phClr"/>
        </a:solidFill>
      </a:ln>
    </cs:spPr>
  </cs:dataPointMarker>
  <cs:dataPointWirefram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  <cs:dataPointMarkerLayout symbol="circle" size="5"/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>
    <cs:lnRef idx="0"/>
    <cs:fillRef idx="0"/>
    <cs:effectRef idx="0"/>
    <cs:fontRef idx="minor">
      <a:schemeClr val="tx1"/>
    </cs:fontRef>
    <cs:spPr bwMode="auto">
      <a:prstGeom prst="rect">
        <a:avLst/>
      </a:prstGeom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/>
  </cs:dataLabel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 bwMode="auto">
      <a:prstGeom prst="rect">
        <a:avLst/>
      </a:prstGeom>
      <a:ln w="9525">
        <a:solidFill>
          <a:schemeClr val="phClr"/>
        </a:solidFill>
      </a:ln>
    </cs:spPr>
  </cs:dataPointMarker>
  <cs:dataPointWireframe>
    <cs:lnRef idx="0">
      <cs:styleClr val="auto"/>
    </cs:lnRef>
    <cs:fillRef idx="1"/>
    <cs:effectRef idx="0"/>
    <cs:fontRef idx="minor">
      <a:schemeClr val="tx1"/>
    </cs:fontRef>
    <cs:spPr bwMode="auto">
      <a:prstGeom prst="rect">
        <a:avLst/>
      </a:prstGeom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 bwMode="auto">
      <a:prstGeom prst="rect">
        <a:avLst/>
      </a:prstGeom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dataTable>
  <cs:down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 bwMode="auto">
      <a:prstGeom prst="rect">
        <a:avLst/>
      </a:prstGeom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spc="0"/>
  </cs:title>
  <cs:trendline>
    <cs:lnRef idx="0">
      <cs:styleClr val="auto"/>
    </cs:lnRef>
    <cs:fillRef idx="0"/>
    <cs:effectRef idx="0"/>
    <cs:fontRef idx="minor">
      <a:schemeClr val="tx1"/>
    </cs:fontRef>
    <cs:spPr bwMode="auto">
      <a:prstGeom prst="rect">
        <a:avLst/>
      </a:prstGeom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 bwMode="auto">
      <a:prstGeom prst="rect">
        <a:avLst/>
      </a:prstGeom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  <cs:spPr bwMode="auto">
      <a:prstGeom prst="rect">
        <a:avLst/>
      </a:prstGeom>
      <a:noFill/>
      <a:ln>
        <a:noFill/>
      </a:ln>
    </cs:spPr>
  </cs:wall>
  <cs:dataPointMarkerLayout symbol="circle" size="5"/>
</cs:chartStyle>
</file>

<file path=word/drawings/_rels/.rels><?xml version="1.0" encoding="UTF-8" standalone="yes"?><Relationships xmlns="http://schemas.openxmlformats.org/package/2006/relationships"></Relationships>
</file>

<file path=word/drawings/drawing1.xml><?xml version="1.0" encoding="utf-8"?>
<c:userShapes xmlns:c="http://schemas.openxmlformats.org/drawingml/2006/chart" xmlns:cdr="http://schemas.openxmlformats.org/drawingml/2006/chartDrawing" xmlns:a="http://schemas.openxmlformats.org/drawingml/2006/main" xmlns:r="http://schemas.openxmlformats.org/officeDocument/2006/relationships">
  <cdr:relSizeAnchor>
    <cdr:from>
      <cdr:x>0.76315999999999995</cdr:x>
      <cdr:y>0.15947</cdr:y>
    </cdr:from>
    <cdr:to>
      <cdr:x>0.93859999999999999</cdr:x>
      <cdr:y>0.31892999999999999</cdr:y>
    </cdr:to>
    <cdr:sp>
      <cdr:nvSpPr>
        <cdr:cNvPr id="692834516" name="TextBox 2" hidden="0"/>
        <cdr:cNvSpPr txBox="1"/>
      </cdr:nvSpPr>
      <cdr:spPr bwMode="auto">
        <a:xfrm>
          <a:off x="6264693" y="648072"/>
          <a:ext cx="1440155" cy="648072"/>
        </a:xfrm>
        <a:prstGeom prst="rect">
          <a:avLst/>
        </a:prstGeom>
      </cdr:spPr>
      <cdr:txBody>
        <a:bodyPr vertOverflow="clip" wrap="square" rtlCol="0"/>
        <a:lstStyle/>
        <a:p>
          <a:pPr>
            <a:defRPr/>
          </a:pPr>
          <a:endParaRPr lang="ru-RU"/>
        </a:p>
      </cdr:txBody>
    </cdr:sp>
  </cdr:relSizeAnchor>
</c:userShape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docParts>
    <w:docPart>
      <w:docPartPr>
        <w:name w:val="DefaultPlaceholder_TEXT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Your text here</w:t>
          </w:r>
          <w:r/>
          <w:r/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633" w:default="1">
    <w:name w:val="Normal"/>
    <w:qFormat/>
  </w:style>
  <w:style w:type="character" w:styleId="1634" w:default="1">
    <w:name w:val="Default Paragraph Font"/>
    <w:uiPriority w:val="1"/>
    <w:semiHidden/>
    <w:unhideWhenUsed/>
  </w:style>
  <w:style w:type="numbering" w:styleId="1635" w:default="1">
    <w:name w:val="No List"/>
    <w:uiPriority w:val="99"/>
    <w:semiHidden/>
    <w:unhideWhenUsed/>
  </w:style>
  <w:style w:type="paragraph" w:styleId="1636">
    <w:name w:val="Heading 1"/>
    <w:basedOn w:val="1633"/>
    <w:next w:val="1633"/>
    <w:link w:val="163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637">
    <w:name w:val="Heading 1 Char"/>
    <w:basedOn w:val="1634"/>
    <w:link w:val="1636"/>
    <w:uiPriority w:val="9"/>
    <w:rPr>
      <w:rFonts w:ascii="Arial" w:hAnsi="Arial" w:eastAsia="Arial" w:cs="Arial"/>
      <w:sz w:val="40"/>
      <w:szCs w:val="40"/>
    </w:rPr>
  </w:style>
  <w:style w:type="paragraph" w:styleId="1638">
    <w:name w:val="Heading 2"/>
    <w:basedOn w:val="1633"/>
    <w:next w:val="1633"/>
    <w:link w:val="163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39">
    <w:name w:val="Heading 2 Char"/>
    <w:basedOn w:val="1634"/>
    <w:link w:val="1638"/>
    <w:uiPriority w:val="9"/>
    <w:rPr>
      <w:rFonts w:ascii="Arial" w:hAnsi="Arial" w:eastAsia="Arial" w:cs="Arial"/>
      <w:sz w:val="34"/>
    </w:rPr>
  </w:style>
  <w:style w:type="paragraph" w:styleId="1640">
    <w:name w:val="Heading 3"/>
    <w:basedOn w:val="1633"/>
    <w:next w:val="1633"/>
    <w:link w:val="164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641">
    <w:name w:val="Heading 3 Char"/>
    <w:basedOn w:val="1634"/>
    <w:link w:val="1640"/>
    <w:uiPriority w:val="9"/>
    <w:rPr>
      <w:rFonts w:ascii="Arial" w:hAnsi="Arial" w:eastAsia="Arial" w:cs="Arial"/>
      <w:sz w:val="30"/>
      <w:szCs w:val="30"/>
    </w:rPr>
  </w:style>
  <w:style w:type="paragraph" w:styleId="1642">
    <w:name w:val="Heading 4"/>
    <w:basedOn w:val="1633"/>
    <w:next w:val="1633"/>
    <w:link w:val="164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643">
    <w:name w:val="Heading 4 Char"/>
    <w:basedOn w:val="1634"/>
    <w:link w:val="1642"/>
    <w:uiPriority w:val="9"/>
    <w:rPr>
      <w:rFonts w:ascii="Arial" w:hAnsi="Arial" w:eastAsia="Arial" w:cs="Arial"/>
      <w:b/>
      <w:bCs/>
      <w:sz w:val="26"/>
      <w:szCs w:val="26"/>
    </w:rPr>
  </w:style>
  <w:style w:type="paragraph" w:styleId="1644">
    <w:name w:val="Heading 5"/>
    <w:basedOn w:val="1633"/>
    <w:next w:val="1633"/>
    <w:link w:val="164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1645">
    <w:name w:val="Heading 5 Char"/>
    <w:basedOn w:val="1634"/>
    <w:link w:val="1644"/>
    <w:uiPriority w:val="9"/>
    <w:rPr>
      <w:rFonts w:ascii="Arial" w:hAnsi="Arial" w:eastAsia="Arial" w:cs="Arial"/>
      <w:b/>
      <w:bCs/>
      <w:sz w:val="24"/>
      <w:szCs w:val="24"/>
    </w:rPr>
  </w:style>
  <w:style w:type="paragraph" w:styleId="1646">
    <w:name w:val="Heading 6"/>
    <w:basedOn w:val="1633"/>
    <w:next w:val="1633"/>
    <w:link w:val="164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1647">
    <w:name w:val="Heading 6 Char"/>
    <w:basedOn w:val="1634"/>
    <w:link w:val="1646"/>
    <w:uiPriority w:val="9"/>
    <w:rPr>
      <w:rFonts w:ascii="Arial" w:hAnsi="Arial" w:eastAsia="Arial" w:cs="Arial"/>
      <w:b/>
      <w:bCs/>
      <w:sz w:val="22"/>
      <w:szCs w:val="22"/>
    </w:rPr>
  </w:style>
  <w:style w:type="paragraph" w:styleId="1648">
    <w:name w:val="Heading 7"/>
    <w:basedOn w:val="1633"/>
    <w:next w:val="1633"/>
    <w:link w:val="164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1649">
    <w:name w:val="Heading 7 Char"/>
    <w:basedOn w:val="1634"/>
    <w:link w:val="164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1650">
    <w:name w:val="Heading 8"/>
    <w:basedOn w:val="1633"/>
    <w:next w:val="1633"/>
    <w:link w:val="165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1651">
    <w:name w:val="Heading 8 Char"/>
    <w:basedOn w:val="1634"/>
    <w:link w:val="1650"/>
    <w:uiPriority w:val="9"/>
    <w:rPr>
      <w:rFonts w:ascii="Arial" w:hAnsi="Arial" w:eastAsia="Arial" w:cs="Arial"/>
      <w:i/>
      <w:iCs/>
      <w:sz w:val="22"/>
      <w:szCs w:val="22"/>
    </w:rPr>
  </w:style>
  <w:style w:type="paragraph" w:styleId="1652">
    <w:name w:val="Heading 9"/>
    <w:basedOn w:val="1633"/>
    <w:next w:val="1633"/>
    <w:link w:val="165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1653">
    <w:name w:val="Heading 9 Char"/>
    <w:basedOn w:val="1634"/>
    <w:link w:val="1652"/>
    <w:uiPriority w:val="9"/>
    <w:rPr>
      <w:rFonts w:ascii="Arial" w:hAnsi="Arial" w:eastAsia="Arial" w:cs="Arial"/>
      <w:i/>
      <w:iCs/>
      <w:sz w:val="21"/>
      <w:szCs w:val="21"/>
    </w:rPr>
  </w:style>
  <w:style w:type="paragraph" w:styleId="1654">
    <w:name w:val="List Paragraph"/>
    <w:basedOn w:val="1633"/>
    <w:uiPriority w:val="34"/>
    <w:qFormat/>
    <w:pPr>
      <w:contextualSpacing/>
      <w:ind w:left="720"/>
    </w:pPr>
  </w:style>
  <w:style w:type="table" w:styleId="165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1656">
    <w:name w:val="No Spacing"/>
    <w:uiPriority w:val="1"/>
    <w:qFormat/>
    <w:pPr>
      <w:spacing w:before="0" w:after="0" w:line="240" w:lineRule="auto"/>
    </w:pPr>
  </w:style>
  <w:style w:type="paragraph" w:styleId="1657">
    <w:name w:val="Title"/>
    <w:basedOn w:val="1633"/>
    <w:next w:val="1633"/>
    <w:link w:val="165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1658">
    <w:name w:val="Title Char"/>
    <w:basedOn w:val="1634"/>
    <w:link w:val="1657"/>
    <w:uiPriority w:val="10"/>
    <w:rPr>
      <w:sz w:val="48"/>
      <w:szCs w:val="48"/>
    </w:rPr>
  </w:style>
  <w:style w:type="paragraph" w:styleId="1659">
    <w:name w:val="Subtitle"/>
    <w:basedOn w:val="1633"/>
    <w:next w:val="1633"/>
    <w:link w:val="1660"/>
    <w:uiPriority w:val="11"/>
    <w:qFormat/>
    <w:pPr>
      <w:spacing w:before="200" w:after="200"/>
    </w:pPr>
    <w:rPr>
      <w:sz w:val="24"/>
      <w:szCs w:val="24"/>
    </w:rPr>
  </w:style>
  <w:style w:type="character" w:styleId="1660">
    <w:name w:val="Subtitle Char"/>
    <w:basedOn w:val="1634"/>
    <w:link w:val="1659"/>
    <w:uiPriority w:val="11"/>
    <w:rPr>
      <w:sz w:val="24"/>
      <w:szCs w:val="24"/>
    </w:rPr>
  </w:style>
  <w:style w:type="paragraph" w:styleId="1661">
    <w:name w:val="Quote"/>
    <w:basedOn w:val="1633"/>
    <w:next w:val="1633"/>
    <w:link w:val="1662"/>
    <w:uiPriority w:val="29"/>
    <w:qFormat/>
    <w:pPr>
      <w:ind w:left="720" w:right="720"/>
    </w:pPr>
    <w:rPr>
      <w:i/>
    </w:rPr>
  </w:style>
  <w:style w:type="character" w:styleId="1662">
    <w:name w:val="Quote Char"/>
    <w:link w:val="1661"/>
    <w:uiPriority w:val="29"/>
    <w:rPr>
      <w:i/>
    </w:rPr>
  </w:style>
  <w:style w:type="paragraph" w:styleId="1663">
    <w:name w:val="Intense Quote"/>
    <w:basedOn w:val="1633"/>
    <w:next w:val="1633"/>
    <w:link w:val="166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1664">
    <w:name w:val="Intense Quote Char"/>
    <w:link w:val="1663"/>
    <w:uiPriority w:val="30"/>
    <w:rPr>
      <w:i/>
    </w:rPr>
  </w:style>
  <w:style w:type="paragraph" w:styleId="1665">
    <w:name w:val="Header"/>
    <w:basedOn w:val="1633"/>
    <w:link w:val="166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666">
    <w:name w:val="Header Char"/>
    <w:basedOn w:val="1634"/>
    <w:link w:val="1665"/>
    <w:uiPriority w:val="99"/>
  </w:style>
  <w:style w:type="paragraph" w:styleId="1667">
    <w:name w:val="Footer"/>
    <w:basedOn w:val="1633"/>
    <w:link w:val="167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668">
    <w:name w:val="Footer Char"/>
    <w:basedOn w:val="1634"/>
    <w:link w:val="1667"/>
    <w:uiPriority w:val="99"/>
  </w:style>
  <w:style w:type="paragraph" w:styleId="1669">
    <w:name w:val="Caption"/>
    <w:basedOn w:val="1633"/>
    <w:next w:val="163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1670">
    <w:name w:val="Caption Char"/>
    <w:basedOn w:val="1669"/>
    <w:link w:val="1667"/>
    <w:uiPriority w:val="99"/>
  </w:style>
  <w:style w:type="table" w:styleId="1671">
    <w:name w:val="Table Grid"/>
    <w:basedOn w:val="165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672">
    <w:name w:val="Table Grid Light"/>
    <w:basedOn w:val="16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673">
    <w:name w:val="Plain Table 1"/>
    <w:basedOn w:val="165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674">
    <w:name w:val="Plain Table 2"/>
    <w:basedOn w:val="165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675">
    <w:name w:val="Plain Table 3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676">
    <w:name w:val="Plain Table 4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77">
    <w:name w:val="Plain Table 5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678">
    <w:name w:val="Grid Table 1 Light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79">
    <w:name w:val="Grid Table 1 Light - Accent 1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80">
    <w:name w:val="Grid Table 1 Light - Accent 2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81">
    <w:name w:val="Grid Table 1 Light - Accent 3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82">
    <w:name w:val="Grid Table 1 Light - Accent 4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83">
    <w:name w:val="Grid Table 1 Light - Accent 5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84">
    <w:name w:val="Grid Table 1 Light - Accent 6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685">
    <w:name w:val="Grid Table 2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86">
    <w:name w:val="Grid Table 2 - Accent 1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87">
    <w:name w:val="Grid Table 2 - Accent 2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88">
    <w:name w:val="Grid Table 2 - Accent 3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89">
    <w:name w:val="Grid Table 2 - Accent 4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90">
    <w:name w:val="Grid Table 2 - Accent 5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91">
    <w:name w:val="Grid Table 2 - Accent 6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92">
    <w:name w:val="Grid Table 3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93">
    <w:name w:val="Grid Table 3 - Accent 1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94">
    <w:name w:val="Grid Table 3 - Accent 2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95">
    <w:name w:val="Grid Table 3 - Accent 3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96">
    <w:name w:val="Grid Table 3 - Accent 4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97">
    <w:name w:val="Grid Table 3 - Accent 5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98">
    <w:name w:val="Grid Table 3 - Accent 6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699">
    <w:name w:val="Grid Table 4"/>
    <w:basedOn w:val="1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700">
    <w:name w:val="Grid Table 4 - Accent 1"/>
    <w:basedOn w:val="1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1701">
    <w:name w:val="Grid Table 4 - Accent 2"/>
    <w:basedOn w:val="1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1702">
    <w:name w:val="Grid Table 4 - Accent 3"/>
    <w:basedOn w:val="1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1703">
    <w:name w:val="Grid Table 4 - Accent 4"/>
    <w:basedOn w:val="1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1704">
    <w:name w:val="Grid Table 4 - Accent 5"/>
    <w:basedOn w:val="1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1705">
    <w:name w:val="Grid Table 4 - Accent 6"/>
    <w:basedOn w:val="1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1706">
    <w:name w:val="Grid Table 5 Dark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1707">
    <w:name w:val="Grid Table 5 Dark- Accent 1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1708">
    <w:name w:val="Grid Table 5 Dark - Accent 2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1709">
    <w:name w:val="Grid Table 5 Dark - Accent 3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1710">
    <w:name w:val="Grid Table 5 Dark- Accent 4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1711">
    <w:name w:val="Grid Table 5 Dark - Accent 5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1712">
    <w:name w:val="Grid Table 5 Dark - Accent 6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1713">
    <w:name w:val="Grid Table 6 Colorful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1714">
    <w:name w:val="Grid Table 6 Colorful - Accent 1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1715">
    <w:name w:val="Grid Table 6 Colorful - Accent 2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1716">
    <w:name w:val="Grid Table 6 Colorful - Accent 3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1717">
    <w:name w:val="Grid Table 6 Colorful - Accent 4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1718">
    <w:name w:val="Grid Table 6 Colorful - Accent 5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719">
    <w:name w:val="Grid Table 6 Colorful - Accent 6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720">
    <w:name w:val="Grid Table 7 Colorful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21">
    <w:name w:val="Grid Table 7 Colorful - Accent 1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22">
    <w:name w:val="Grid Table 7 Colorful - Accent 2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23">
    <w:name w:val="Grid Table 7 Colorful - Accent 3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24">
    <w:name w:val="Grid Table 7 Colorful - Accent 4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25">
    <w:name w:val="Grid Table 7 Colorful - Accent 5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26">
    <w:name w:val="Grid Table 7 Colorful - Accent 6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27">
    <w:name w:val="List Table 1 Light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28">
    <w:name w:val="List Table 1 Light - Accent 1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29">
    <w:name w:val="List Table 1 Light - Accent 2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30">
    <w:name w:val="List Table 1 Light - Accent 3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31">
    <w:name w:val="List Table 1 Light - Accent 4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32">
    <w:name w:val="List Table 1 Light - Accent 5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33">
    <w:name w:val="List Table 1 Light - Accent 6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734">
    <w:name w:val="List Table 2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735">
    <w:name w:val="List Table 2 - Accent 1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736">
    <w:name w:val="List Table 2 - Accent 2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737">
    <w:name w:val="List Table 2 - Accent 3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738">
    <w:name w:val="List Table 2 - Accent 4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739">
    <w:name w:val="List Table 2 - Accent 5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740">
    <w:name w:val="List Table 2 - Accent 6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741">
    <w:name w:val="List Table 3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42">
    <w:name w:val="List Table 3 - Accent 1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43">
    <w:name w:val="List Table 3 - Accent 2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44">
    <w:name w:val="List Table 3 - Accent 3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45">
    <w:name w:val="List Table 3 - Accent 4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46">
    <w:name w:val="List Table 3 - Accent 5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47">
    <w:name w:val="List Table 3 - Accent 6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48">
    <w:name w:val="List Table 4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49">
    <w:name w:val="List Table 4 - Accent 1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50">
    <w:name w:val="List Table 4 - Accent 2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51">
    <w:name w:val="List Table 4 - Accent 3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52">
    <w:name w:val="List Table 4 - Accent 4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53">
    <w:name w:val="List Table 4 - Accent 5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54">
    <w:name w:val="List Table 4 - Accent 6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755">
    <w:name w:val="List Table 5 Dark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756">
    <w:name w:val="List Table 5 Dark - Accent 1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757">
    <w:name w:val="List Table 5 Dark - Accent 2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758">
    <w:name w:val="List Table 5 Dark - Accent 3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759">
    <w:name w:val="List Table 5 Dark - Accent 4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760">
    <w:name w:val="List Table 5 Dark - Accent 5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761">
    <w:name w:val="List Table 5 Dark - Accent 6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762">
    <w:name w:val="List Table 6 Colorful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763">
    <w:name w:val="List Table 6 Colorful - Accent 1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764">
    <w:name w:val="List Table 6 Colorful - Accent 2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765">
    <w:name w:val="List Table 6 Colorful - Accent 3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766">
    <w:name w:val="List Table 6 Colorful - Accent 4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767">
    <w:name w:val="List Table 6 Colorful - Accent 5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768">
    <w:name w:val="List Table 6 Colorful - Accent 6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769">
    <w:name w:val="List Table 7 Colorful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770">
    <w:name w:val="List Table 7 Colorful - Accent 1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771">
    <w:name w:val="List Table 7 Colorful - Accent 2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772">
    <w:name w:val="List Table 7 Colorful - Accent 3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773">
    <w:name w:val="List Table 7 Colorful - Accent 4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774">
    <w:name w:val="List Table 7 Colorful - Accent 5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775">
    <w:name w:val="List Table 7 Colorful - Accent 6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776">
    <w:name w:val="Lined - Accent"/>
    <w:basedOn w:val="1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777">
    <w:name w:val="Lined - Accent 1"/>
    <w:basedOn w:val="1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778">
    <w:name w:val="Lined - Accent 2"/>
    <w:basedOn w:val="1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779">
    <w:name w:val="Lined - Accent 3"/>
    <w:basedOn w:val="1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780">
    <w:name w:val="Lined - Accent 4"/>
    <w:basedOn w:val="1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781">
    <w:name w:val="Lined - Accent 5"/>
    <w:basedOn w:val="1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782">
    <w:name w:val="Lined - Accent 6"/>
    <w:basedOn w:val="1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783">
    <w:name w:val="Bordered &amp; Lined - Accent"/>
    <w:basedOn w:val="1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784">
    <w:name w:val="Bordered &amp; Lined - Accent 1"/>
    <w:basedOn w:val="1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785">
    <w:name w:val="Bordered &amp; Lined - Accent 2"/>
    <w:basedOn w:val="1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786">
    <w:name w:val="Bordered &amp; Lined - Accent 3"/>
    <w:basedOn w:val="1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787">
    <w:name w:val="Bordered &amp; Lined - Accent 4"/>
    <w:basedOn w:val="1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788">
    <w:name w:val="Bordered &amp; Lined - Accent 5"/>
    <w:basedOn w:val="1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789">
    <w:name w:val="Bordered &amp; Lined - Accent 6"/>
    <w:basedOn w:val="165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790">
    <w:name w:val="Bordered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791">
    <w:name w:val="Bordered - Accent 1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92">
    <w:name w:val="Bordered - Accent 2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93">
    <w:name w:val="Bordered - Accent 3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94">
    <w:name w:val="Bordered - Accent 4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95">
    <w:name w:val="Bordered - Accent 5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96">
    <w:name w:val="Bordered - Accent 6"/>
    <w:basedOn w:val="1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97">
    <w:name w:val="Hyperlink"/>
    <w:uiPriority w:val="99"/>
    <w:unhideWhenUsed/>
    <w:rPr>
      <w:color w:val="0000ff" w:themeColor="hyperlink"/>
      <w:u w:val="single"/>
    </w:rPr>
  </w:style>
  <w:style w:type="paragraph" w:styleId="1798">
    <w:name w:val="footnote text"/>
    <w:basedOn w:val="1633"/>
    <w:link w:val="1799"/>
    <w:uiPriority w:val="99"/>
    <w:semiHidden/>
    <w:unhideWhenUsed/>
    <w:pPr>
      <w:spacing w:after="40" w:line="240" w:lineRule="auto"/>
    </w:pPr>
    <w:rPr>
      <w:sz w:val="18"/>
    </w:rPr>
  </w:style>
  <w:style w:type="character" w:styleId="1799">
    <w:name w:val="Footnote Text Char"/>
    <w:link w:val="1798"/>
    <w:uiPriority w:val="99"/>
    <w:rPr>
      <w:sz w:val="18"/>
    </w:rPr>
  </w:style>
  <w:style w:type="character" w:styleId="1800">
    <w:name w:val="footnote reference"/>
    <w:basedOn w:val="1634"/>
    <w:uiPriority w:val="99"/>
    <w:unhideWhenUsed/>
    <w:rPr>
      <w:vertAlign w:val="superscript"/>
    </w:rPr>
  </w:style>
  <w:style w:type="paragraph" w:styleId="1801">
    <w:name w:val="endnote text"/>
    <w:basedOn w:val="1633"/>
    <w:link w:val="1802"/>
    <w:uiPriority w:val="99"/>
    <w:semiHidden/>
    <w:unhideWhenUsed/>
    <w:pPr>
      <w:spacing w:after="0" w:line="240" w:lineRule="auto"/>
    </w:pPr>
    <w:rPr>
      <w:sz w:val="20"/>
    </w:rPr>
  </w:style>
  <w:style w:type="character" w:styleId="1802">
    <w:name w:val="Endnote Text Char"/>
    <w:link w:val="1801"/>
    <w:uiPriority w:val="99"/>
    <w:rPr>
      <w:sz w:val="20"/>
    </w:rPr>
  </w:style>
  <w:style w:type="character" w:styleId="1803">
    <w:name w:val="endnote reference"/>
    <w:basedOn w:val="1634"/>
    <w:uiPriority w:val="99"/>
    <w:semiHidden/>
    <w:unhideWhenUsed/>
    <w:rPr>
      <w:vertAlign w:val="superscript"/>
    </w:rPr>
  </w:style>
  <w:style w:type="paragraph" w:styleId="1804">
    <w:name w:val="toc 1"/>
    <w:basedOn w:val="1633"/>
    <w:next w:val="1633"/>
    <w:uiPriority w:val="39"/>
    <w:unhideWhenUsed/>
    <w:pPr>
      <w:ind w:left="0" w:right="0" w:firstLine="0"/>
      <w:spacing w:after="57"/>
    </w:pPr>
  </w:style>
  <w:style w:type="paragraph" w:styleId="1805">
    <w:name w:val="toc 2"/>
    <w:basedOn w:val="1633"/>
    <w:next w:val="1633"/>
    <w:uiPriority w:val="39"/>
    <w:unhideWhenUsed/>
    <w:pPr>
      <w:ind w:left="283" w:right="0" w:firstLine="0"/>
      <w:spacing w:after="57"/>
    </w:pPr>
  </w:style>
  <w:style w:type="paragraph" w:styleId="1806">
    <w:name w:val="toc 3"/>
    <w:basedOn w:val="1633"/>
    <w:next w:val="1633"/>
    <w:uiPriority w:val="39"/>
    <w:unhideWhenUsed/>
    <w:pPr>
      <w:ind w:left="567" w:right="0" w:firstLine="0"/>
      <w:spacing w:after="57"/>
    </w:pPr>
  </w:style>
  <w:style w:type="paragraph" w:styleId="1807">
    <w:name w:val="toc 4"/>
    <w:basedOn w:val="1633"/>
    <w:next w:val="1633"/>
    <w:uiPriority w:val="39"/>
    <w:unhideWhenUsed/>
    <w:pPr>
      <w:ind w:left="850" w:right="0" w:firstLine="0"/>
      <w:spacing w:after="57"/>
    </w:pPr>
  </w:style>
  <w:style w:type="paragraph" w:styleId="1808">
    <w:name w:val="toc 5"/>
    <w:basedOn w:val="1633"/>
    <w:next w:val="1633"/>
    <w:uiPriority w:val="39"/>
    <w:unhideWhenUsed/>
    <w:pPr>
      <w:ind w:left="1134" w:right="0" w:firstLine="0"/>
      <w:spacing w:after="57"/>
    </w:pPr>
  </w:style>
  <w:style w:type="paragraph" w:styleId="1809">
    <w:name w:val="toc 6"/>
    <w:basedOn w:val="1633"/>
    <w:next w:val="1633"/>
    <w:uiPriority w:val="39"/>
    <w:unhideWhenUsed/>
    <w:pPr>
      <w:ind w:left="1417" w:right="0" w:firstLine="0"/>
      <w:spacing w:after="57"/>
    </w:pPr>
  </w:style>
  <w:style w:type="paragraph" w:styleId="1810">
    <w:name w:val="toc 7"/>
    <w:basedOn w:val="1633"/>
    <w:next w:val="1633"/>
    <w:uiPriority w:val="39"/>
    <w:unhideWhenUsed/>
    <w:pPr>
      <w:ind w:left="1701" w:right="0" w:firstLine="0"/>
      <w:spacing w:after="57"/>
    </w:pPr>
  </w:style>
  <w:style w:type="paragraph" w:styleId="1811">
    <w:name w:val="toc 8"/>
    <w:basedOn w:val="1633"/>
    <w:next w:val="1633"/>
    <w:uiPriority w:val="39"/>
    <w:unhideWhenUsed/>
    <w:pPr>
      <w:ind w:left="1984" w:right="0" w:firstLine="0"/>
      <w:spacing w:after="57"/>
    </w:pPr>
  </w:style>
  <w:style w:type="paragraph" w:styleId="1812">
    <w:name w:val="toc 9"/>
    <w:basedOn w:val="1633"/>
    <w:next w:val="1633"/>
    <w:uiPriority w:val="39"/>
    <w:unhideWhenUsed/>
    <w:pPr>
      <w:ind w:left="2268" w:right="0" w:firstLine="0"/>
      <w:spacing w:after="57"/>
    </w:pPr>
  </w:style>
  <w:style w:type="paragraph" w:styleId="1813">
    <w:name w:val="TOC Heading"/>
    <w:uiPriority w:val="39"/>
    <w:unhideWhenUsed/>
  </w:style>
  <w:style w:type="paragraph" w:styleId="1814">
    <w:name w:val="table of figures"/>
    <w:basedOn w:val="1633"/>
    <w:next w:val="1633"/>
    <w:uiPriority w:val="99"/>
    <w:unhideWhenUsed/>
    <w:pPr>
      <w:spacing w:after="0" w:afterAutospacing="0"/>
    </w:pPr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 xmlns:r="http://schemas.openxmlformats.org/officeDocument/2006/relationships" xmlns:p="http://schemas.openxmlformats.org/presentation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KKar20qM5ZACGc1DdIPkpi1LvsBVD9eihsX8tzRu8Ns=</DigestValue>
    </Reference>
    <Reference Type="http://www.w3.org/2000/09/xmldsig#Object" URI="#idOfficeObject">
      <DigestMethod Algorithm="urn:ietf:params:xml:ns:cpxmlsec:algorithms:gostr34112012-256"/>
      <DigestValue>OjrkNnaB3/2coEEhcFJSuU3z70ZVfRVCUPVq/6PnnlU=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inMWzH7U36DdZtAh9R4tFkLS6v2moOcpC+TsOEfagjU=</DigestValue>
    </Reference>
  </SignedInfo>
  <SignatureValue>FNMNBkIom+8FoFIBm5VPgNirEAk3Stw/2L2R4UqeUS1/zAA4dSyfi72kXeDFVz5Rir/G9OyVMAKU
K1U2/ckU6Q==</SignatureValue>
  <KeyInfo>
    <X509Data>
      <X509Certificate>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  <mdssi:RelationshipReference xmlns:mdssi="http://schemas.openxmlformats.org/package/2006/digital-signature" SourceId="rId3"/>
            <mdssi:RelationshipReference xmlns:mdssi="http://schemas.openxmlformats.org/package/2006/digital-signature" SourceId="rId4"/>
            <mdssi:RelationshipReference xmlns:mdssi="http://schemas.openxmlformats.org/package/2006/digital-signature" SourceId="rId5"/>
            <mdssi:RelationshipReference xmlns:mdssi="http://schemas.openxmlformats.org/package/2006/digital-signature" SourceId="rId6"/>
            <mdssi:RelationshipReference xmlns:mdssi="http://schemas.openxmlformats.org/package/2006/digital-signature" SourceId="rId7"/>
            <mdssi:RelationshipReference xmlns:mdssi="http://schemas.openxmlformats.org/package/2006/digital-signature" SourceId="rId8"/>
            <mdssi:RelationshipReference xmlns:mdssi="http://schemas.openxmlformats.org/package/2006/digital-signature" SourceId="rId9"/>
            <mdssi:RelationshipReference xmlns:mdssi="http://schemas.openxmlformats.org/package/2006/digital-signature" SourceId="rId10"/>
            <mdssi:RelationshipReference xmlns:mdssi="http://schemas.openxmlformats.org/package/2006/digital-signature" SourceId="rId11"/>
            <mdssi:RelationshipReference xmlns:mdssi="http://schemas.openxmlformats.org/package/2006/digital-signature" SourceId="rId12"/>
            <mdssi:RelationshipReference xmlns:mdssi="http://schemas.openxmlformats.org/package/2006/digital-signature" SourceId="rId13"/>
            <mdssi:RelationshipReference xmlns:mdssi="http://schemas.openxmlformats.org/package/2006/digital-signature" SourceId="rId14"/>
            <mdssi:RelationshipReference xmlns:mdssi="http://schemas.openxmlformats.org/package/2006/digital-signature" SourceId="rId15"/>
            <mdssi:RelationshipReference xmlns:mdssi="http://schemas.openxmlformats.org/package/2006/digital-signature" SourceId="rId16"/>
            <mdssi:RelationshipReference xmlns:mdssi="http://schemas.openxmlformats.org/package/2006/digital-signature" SourceId="rId17"/>
            <mdssi:RelationshipReference xmlns:mdssi="http://schemas.openxmlformats.org/package/2006/digital-signature" SourceId="rId18"/>
            <mdssi:RelationshipReference xmlns:mdssi="http://schemas.openxmlformats.org/package/2006/digital-signature" SourceId="rId19"/>
            <mdssi:RelationshipReference xmlns:mdssi="http://schemas.openxmlformats.org/package/2006/digital-signature" SourceId="rId20"/>
            <mdssi:RelationshipReference xmlns:mdssi="http://schemas.openxmlformats.org/package/2006/digital-signature" SourceId="rId21"/>
            <mdssi:RelationshipReference xmlns:mdssi="http://schemas.openxmlformats.org/package/2006/digital-signature" SourceId="rId22"/>
            <mdssi:RelationshipReference xmlns:mdssi="http://schemas.openxmlformats.org/package/2006/digital-signature" SourceId="rId23"/>
            <mdssi:RelationshipReference xmlns:mdssi="http://schemas.openxmlformats.org/package/2006/digital-signature" SourceId="rId24"/>
            <mdssi:RelationshipReference xmlns:mdssi="http://schemas.openxmlformats.org/package/2006/digital-signature" SourceId="rId25"/>
            <mdssi:RelationshipReference xmlns:mdssi="http://schemas.openxmlformats.org/package/2006/digital-signature" SourceId="rId26"/>
            <mdssi:RelationshipReference xmlns:mdssi="http://schemas.openxmlformats.org/package/2006/digital-signature" SourceId="rId27"/>
            <mdssi:RelationshipReference xmlns:mdssi="http://schemas.openxmlformats.org/package/2006/digital-signature" SourceId="rId28"/>
            <mdssi:RelationshipReference xmlns:mdssi="http://schemas.openxmlformats.org/package/2006/digital-signature" SourceId="rId29"/>
            <mdssi:RelationshipReference xmlns:mdssi="http://schemas.openxmlformats.org/package/2006/digital-signature" SourceId="rId30"/>
            <mdssi:RelationshipReference xmlns:mdssi="http://schemas.openxmlformats.org/package/2006/digital-signature" SourceId="rId31"/>
            <mdssi:RelationshipReference xmlns:mdssi="http://schemas.openxmlformats.org/package/2006/digital-signature" SourceId="rId32"/>
            <mdssi:RelationshipReference xmlns:mdssi="http://schemas.openxmlformats.org/package/2006/digital-signature" SourceId="rId33"/>
            <mdssi:RelationshipReference xmlns:mdssi="http://schemas.openxmlformats.org/package/2006/digital-signature" SourceId="rId34"/>
            <mdssi:RelationshipReference xmlns:mdssi="http://schemas.openxmlformats.org/package/2006/digital-signature" SourceId="rId35"/>
            <mdssi:RelationshipReference xmlns:mdssi="http://schemas.openxmlformats.org/package/2006/digital-signature" SourceId="rId36"/>
            <mdssi:RelationshipReference xmlns:mdssi="http://schemas.openxmlformats.org/package/2006/digital-signature" SourceId="rId37"/>
            <mdssi:RelationshipReference xmlns:mdssi="http://schemas.openxmlformats.org/package/2006/digital-signature" SourceId="rId38"/>
            <mdssi:RelationshipReference xmlns:mdssi="http://schemas.openxmlformats.org/package/2006/digital-signature" SourceId="rId39"/>
            <mdssi:RelationshipReference xmlns:mdssi="http://schemas.openxmlformats.org/package/2006/digital-signature" SourceId="rId40"/>
            <mdssi:RelationshipReference xmlns:mdssi="http://schemas.openxmlformats.org/package/2006/digital-signature" SourceId="rId41"/>
            <mdssi:RelationshipReference xmlns:mdssi="http://schemas.openxmlformats.org/package/2006/digital-signature" SourceId="rId42"/>
            <mdssi:RelationshipReference xmlns:mdssi="http://schemas.openxmlformats.org/package/2006/digital-signature" SourceId="rId43"/>
            <mdssi:RelationshipReference xmlns:mdssi="http://schemas.openxmlformats.org/package/2006/digital-signature" SourceId="rId44"/>
            <mdssi:RelationshipReference xmlns:mdssi="http://schemas.openxmlformats.org/package/2006/digital-signature" SourceId="rId45"/>
            <mdssi:RelationshipReference xmlns:mdssi="http://schemas.openxmlformats.org/package/2006/digital-signature" SourceId="rId46"/>
            <mdssi:RelationshipReference xmlns:mdssi="http://schemas.openxmlformats.org/package/2006/digital-signature" SourceId="rId47"/>
            <mdssi:RelationshipReference xmlns:mdssi="http://schemas.openxmlformats.org/package/2006/digital-signature" SourceId="rId48"/>
            <mdssi:RelationshipReference xmlns:mdssi="http://schemas.openxmlformats.org/package/2006/digital-signature" SourceId="rId49"/>
            <mdssi:RelationshipReference xmlns:mdssi="http://schemas.openxmlformats.org/package/2006/digital-signature" SourceId="rId50"/>
            <mdssi:RelationshipReference xmlns:mdssi="http://schemas.openxmlformats.org/package/2006/digital-signature" SourceId="rId51"/>
            <mdssi:RelationshipReference xmlns:mdssi="http://schemas.openxmlformats.org/package/2006/digital-signature" SourceId="rId52"/>
            <mdssi:RelationshipReference xmlns:mdssi="http://schemas.openxmlformats.org/package/2006/digital-signature" SourceId="rId53"/>
            <mdssi:RelationshipReference xmlns:mdssi="http://schemas.openxmlformats.org/package/2006/digital-signature" SourceId="rId54"/>
            <mdssi:RelationshipReference xmlns:mdssi="http://schemas.openxmlformats.org/package/2006/digital-signature" SourceId="rId55"/>
            <mdssi:RelationshipReference xmlns:mdssi="http://schemas.openxmlformats.org/package/2006/digital-signature" SourceId="rId56"/>
            <mdssi:RelationshipReference xmlns:mdssi="http://schemas.openxmlformats.org/package/2006/digital-signature" SourceId="rId57"/>
            <mdssi:RelationshipReference xmlns:mdssi="http://schemas.openxmlformats.org/package/2006/digital-signature" SourceId="rId58"/>
            <mdssi:RelationshipReference xmlns:mdssi="http://schemas.openxmlformats.org/package/2006/digital-signature" SourceId="rId59"/>
            <mdssi:RelationshipReference xmlns:mdssi="http://schemas.openxmlformats.org/package/2006/digital-signature" SourceId="rId60"/>
            <mdssi:RelationshipReference xmlns:mdssi="http://schemas.openxmlformats.org/package/2006/digital-signature" SourceId="rId61"/>
            <mdssi:RelationshipReference xmlns:mdssi="http://schemas.openxmlformats.org/package/2006/digital-signature" SourceId="rId62"/>
            <mdssi:RelationshipReference xmlns:mdssi="http://schemas.openxmlformats.org/package/2006/digital-signature" SourceId="rId63"/>
            <mdssi:RelationshipReference xmlns:mdssi="http://schemas.openxmlformats.org/package/2006/digital-signature" SourceId="rId64"/>
            <mdssi:RelationshipReference xmlns:mdssi="http://schemas.openxmlformats.org/package/2006/digital-signature" SourceId="rId65"/>
            <mdssi:RelationshipReference xmlns:mdssi="http://schemas.openxmlformats.org/package/2006/digital-signature" SourceId="rId66"/>
            <mdssi:RelationshipReference xmlns:mdssi="http://schemas.openxmlformats.org/package/2006/digital-signature" SourceId="rId67"/>
            <mdssi:RelationshipReference xmlns:mdssi="http://schemas.openxmlformats.org/package/2006/digital-signature" SourceId="rId68"/>
            <mdssi:RelationshipReference xmlns:mdssi="http://schemas.openxmlformats.org/package/2006/digital-signature" SourceId="rId69"/>
            <mdssi:RelationshipReference xmlns:mdssi="http://schemas.openxmlformats.org/package/2006/digital-signature" SourceId="rId70"/>
            <mdssi:RelationshipReference xmlns:mdssi="http://schemas.openxmlformats.org/package/2006/digital-signature" SourceId="rId71"/>
            <mdssi:RelationshipReference xmlns:mdssi="http://schemas.openxmlformats.org/package/2006/digital-signature" SourceId="rId72"/>
            <mdssi:RelationshipReference xmlns:mdssi="http://schemas.openxmlformats.org/package/2006/digital-signature" SourceId="rId73"/>
            <mdssi:RelationshipReference xmlns:mdssi="http://schemas.openxmlformats.org/package/2006/digital-signature" SourceId="rId74"/>
            <mdssi:RelationshipReference xmlns:mdssi="http://schemas.openxmlformats.org/package/2006/digital-signature" SourceId="rId75"/>
            <mdssi:RelationshipReference xmlns:mdssi="http://schemas.openxmlformats.org/package/2006/digital-signature" SourceId="rId76"/>
            <mdssi:RelationshipReference xmlns:mdssi="http://schemas.openxmlformats.org/package/2006/digital-signature" SourceId="rId77"/>
            <mdssi:RelationshipReference xmlns:mdssi="http://schemas.openxmlformats.org/package/2006/digital-signature" SourceId="rId78"/>
            <mdssi:RelationshipReference xmlns:mdssi="http://schemas.openxmlformats.org/package/2006/digital-signature" SourceId="rId79"/>
            <mdssi:RelationshipReference xmlns:mdssi="http://schemas.openxmlformats.org/package/2006/digital-signature" SourceId="rId80"/>
            <mdssi:RelationshipReference xmlns:mdssi="http://schemas.openxmlformats.org/package/2006/digital-signature" SourceId="rId81"/>
            <mdssi:RelationshipReference xmlns:mdssi="http://schemas.openxmlformats.org/package/2006/digital-signature" SourceId="rId82"/>
            <mdssi:RelationshipReference xmlns:mdssi="http://schemas.openxmlformats.org/package/2006/digital-signature" SourceId="rId83"/>
            <mdssi:RelationshipReference xmlns:mdssi="http://schemas.openxmlformats.org/package/2006/digital-signature" SourceId="rId84"/>
            <mdssi:RelationshipReference xmlns:mdssi="http://schemas.openxmlformats.org/package/2006/digital-signature" SourceId="rId85"/>
            <mdssi:RelationshipReference xmlns:mdssi="http://schemas.openxmlformats.org/package/2006/digital-signature" SourceId="rId86"/>
            <mdssi:RelationshipReference xmlns:mdssi="http://schemas.openxmlformats.org/package/2006/digital-signature" SourceId="rId87"/>
            <mdssi:RelationshipReference xmlns:mdssi="http://schemas.openxmlformats.org/package/2006/digital-signature" SourceId="rId88"/>
            <mdssi:RelationshipReference xmlns:mdssi="http://schemas.openxmlformats.org/package/2006/digital-signature" SourceId="rId89"/>
            <mdssi:RelationshipReference xmlns:mdssi="http://schemas.openxmlformats.org/package/2006/digital-signature" SourceId="rId90"/>
            <mdssi:RelationshipReference xmlns:mdssi="http://schemas.openxmlformats.org/package/2006/digital-signature" SourceId="rId91"/>
            <mdssi:RelationshipReference xmlns:mdssi="http://schemas.openxmlformats.org/package/2006/digital-signature" SourceId="rId92"/>
            <mdssi:RelationshipReference xmlns:mdssi="http://schemas.openxmlformats.org/package/2006/digital-signature" SourceId="rId93"/>
            <mdssi:RelationshipReference xmlns:mdssi="http://schemas.openxmlformats.org/package/2006/digital-signature" SourceId="rId94"/>
            <mdssi:RelationshipReference xmlns:mdssi="http://schemas.openxmlformats.org/package/2006/digital-signature" SourceId="rId95"/>
            <mdssi:RelationshipReference xmlns:mdssi="http://schemas.openxmlformats.org/package/2006/digital-signature" SourceId="rId96"/>
            <mdssi:RelationshipReference xmlns:mdssi="http://schemas.openxmlformats.org/package/2006/digital-signature" SourceId="rId97"/>
            <mdssi:RelationshipReference xmlns:mdssi="http://schemas.openxmlformats.org/package/2006/digital-signature" SourceId="rId98"/>
            <mdssi:RelationshipReference xmlns:mdssi="http://schemas.openxmlformats.org/package/2006/digital-signature" SourceId="rId99"/>
            <mdssi:RelationshipReference xmlns:mdssi="http://schemas.openxmlformats.org/package/2006/digital-signature" SourceId="rId100"/>
            <mdssi:RelationshipReference xmlns:mdssi="http://schemas.openxmlformats.org/package/2006/digital-signature" SourceId="rId101"/>
            <mdssi:RelationshipReference xmlns:mdssi="http://schemas.openxmlformats.org/package/2006/digital-signature" SourceId="rId102"/>
            <mdssi:RelationshipReference xmlns:mdssi="http://schemas.openxmlformats.org/package/2006/digital-signature" SourceId="rId103"/>
          </Transform>
          <Transform Algorithm="http://www.w3.org/TR/2001/REC-xml-c14n-20010315"/>
        </Transforms>
        <DigestMethod Algorithm="urn:ietf:params:xml:ns:cpxmlsec:algorithms:gostr34112012-256"/>
        <DigestValue>GSmE777tCeJ5HybYuiN2Aqgaq61VI6AFPA5Ln+8tzjQ=</DigestValue>
      </Reference>
      <Reference URI="/word/charts/_rels/chart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gAgRt6hv/6e3dA8SP9lbIPMJGUXlz62WmhcI76WUpn0=</DigestValue>
      </Reference>
      <Reference URI="/word/charts/_rels/chart10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fyySrisRAcVOHPgbE/vPw9zga7wxWx0MuHSHkZIngPA=</DigestValue>
      </Reference>
      <Reference URI="/word/charts/_rels/chart1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Ut/iTw6gzxdgTqbLww/BKBFYizEJejnkH5nK+XlmAjI=</DigestValue>
      </Reference>
      <Reference URI="/word/charts/_rels/chart1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O+yO1/BNLWEja4SqVjp5eIsI3ME0gwzxZIAFPLb3DS4=</DigestValue>
      </Reference>
      <Reference URI="/word/charts/_rels/chart1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usR9dlCK1D9p0YFJSVT86FXSQx/uC53OKDOqOOdVFkY=</DigestValue>
      </Reference>
      <Reference URI="/word/charts/_rels/chart1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7wF3LH3HdPbjSJjOTMjUZgqbotxYYbhX6zaC5PBCALs=</DigestValue>
      </Reference>
      <Reference URI="/word/charts/_rels/chart15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s50XIBNYokX/JoeCetg4Ho9FyJkAWNti32acmoLw+LQ=</DigestValue>
      </Reference>
      <Reference URI="/word/charts/_rels/chart16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NUfVMMlOvoPvNCZiM1/P/DY3UzvJPdwaEgbF8YnWISg=</DigestValue>
      </Reference>
      <Reference URI="/word/charts/_rels/chart17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cs1RS2idsscsagWK6TTkLLkxFFH69pROmj50jlHbpNQ=</DigestValue>
      </Reference>
      <Reference URI="/word/charts/_rels/chart18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R/xlZHtPDbiZasoridsXXN0CzyZqnnHVFvFgkJFLdMA=</DigestValue>
      </Reference>
      <Reference URI="/word/charts/_rels/chart19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rpB5pf/PB4ca0+fUZEOYzur3mwOcHDViQdmvBNKbsG8=</DigestValue>
      </Reference>
      <Reference URI="/word/charts/_rels/chart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pL6dWWSt50Svw5SrNqakSztNGx7n2ksad811B2wfMYY=</DigestValue>
      </Reference>
      <Reference URI="/word/charts/_rels/chart20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AlgaAGXY74q+iJFAPbGXXB+Oyr1jmUiTr3ZSnhTmNBY=</DigestValue>
      </Reference>
      <Reference URI="/word/charts/_rels/chart2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LMF6LtKANmrWFO3R0jlW4rdxRSeiokZcwUn4ryrrw3E=</DigestValue>
      </Reference>
      <Reference URI="/word/charts/_rels/chart2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leOjRpgEAsjj4Z/MNBjiqj3BftBJwE2cg4X3W/HstBA=</DigestValue>
      </Reference>
      <Reference URI="/word/charts/_rels/chart2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Qtkqm1KrdtFyxE2oxrp5/NYHpre0KBSHLejJyOcTZCk=</DigestValue>
      </Reference>
      <Reference URI="/word/charts/_rels/chart2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RzSO7gSoLSuall/4/e1hvJlbj1vij3IWj+0+DLh9iw8=</DigestValue>
      </Reference>
      <Reference URI="/word/charts/_rels/chart25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72OYS9xb4HRl86Ha5VSolRHOOomJJxr3CBmrCppAOe4=</DigestValue>
      </Reference>
      <Reference URI="/word/charts/_rels/chart26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rWRfaW2JKYQt9bzDNBB3vNPV4Mki9YqGhVzKKKxiUE0=</DigestValue>
      </Reference>
      <Reference URI="/word/charts/_rels/chart27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ZPWqKmJjTL254MWYaxw/TwX5RZ7Llv4FgYJa232TYvQ=</DigestValue>
      </Reference>
      <Reference URI="/word/charts/_rels/chart28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1Nzddkc268hb80hk2ah3L/RT+p/mSO8F3ZSVknDVEpw=</DigestValue>
      </Reference>
      <Reference URI="/word/charts/_rels/chart29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5W/zr245WWcAnyrG6Pg3KmPwGqbr3n1L0mMhOB6xoYE=</DigestValue>
      </Reference>
      <Reference URI="/word/charts/_rels/chart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/SX0jmJUtLFBxwjRqFE0TOn3ZULgkI6WHQsBdhzoVAQ=</DigestValue>
      </Reference>
      <Reference URI="/word/charts/_rels/chart30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urn:ietf:params:xml:ns:cpxmlsec:algorithms:gostr34112012-256"/>
        <DigestValue>iUPPoNJ49/1DtqMvU0bVM+ZJivcqwjYrlJZfnj8F6Pw=</DigestValue>
      </Reference>
      <Reference URI="/word/charts/_rels/chart3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xEkVT+9dpHidam8UgeVmc/Lt08ssTR/1fRj8DiX1DTg=</DigestValue>
      </Reference>
      <Reference URI="/word/charts/_rels/chart3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3//vei1VV3EEdBbQ83conexmGlecMruFZxpfjhjEV7M=</DigestValue>
      </Reference>
      <Reference URI="/word/charts/_rels/chart3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cQ6wBj+PnwD0dkbifVT9AJWwB1cqAyq+htl/bs71pfY=</DigestValue>
      </Reference>
      <Reference URI="/word/charts/_rels/chart3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eIG0BDvl/5uIfORyNr61+iqSxFbtZt5QH1xCJZ8GxjA=</DigestValue>
      </Reference>
      <Reference URI="/word/charts/_rels/chart35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M4YnRfyUzRFd3lfLyYO/NQSvjeDjMfhIYLLa0ld2V94=</DigestValue>
      </Reference>
      <Reference URI="/word/charts/_rels/chart36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ytG/1Ll4kc8v7kBlXv83tIi0MOre0N/Yus6TO2oD3Ls=</DigestValue>
      </Reference>
      <Reference URI="/word/charts/_rels/chart37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I78OmQ8hB125Tdkq6s2xcbYBoYmOdUAODVBQNn92YQM=</DigestValue>
      </Reference>
      <Reference URI="/word/charts/_rels/chart38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urn:ietf:params:xml:ns:cpxmlsec:algorithms:gostr34112012-256"/>
        <DigestValue>x9+5yU9jNwwT0kifxXwBh5e7in46DvgwKBNa+2w8stM=</DigestValue>
      </Reference>
      <Reference URI="/word/charts/_rels/chart39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xiBY1H2aTcEK3wzk7XKZlPrfDw8xvStmlc36lAT1R3w=</DigestValue>
      </Reference>
      <Reference URI="/word/charts/_rels/chart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gAYvV6+uvPTCYwRm5QdNjXEpEYB+OVjjP2ksPAeaaDs=</DigestValue>
      </Reference>
      <Reference URI="/word/charts/_rels/chart40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FmCiEE38OrXkMPpwr9lqVMGqoFfD9uveviDo5J977ak=</DigestValue>
      </Reference>
      <Reference URI="/word/charts/_rels/chart4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6z3WKrxZz5LbCrml/8T/Eb/vi+mAaFg2SUtHw65JY6I=</DigestValue>
      </Reference>
      <Reference URI="/word/charts/_rels/chart4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Inxf5AjwA9W9ZZzpXai1VaIPBfkWGgg4xdsCZukAfWw=</DigestValue>
      </Reference>
      <Reference URI="/word/charts/_rels/chart4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CtVbt/DqlL7/zOG4IDNO4Jb2TXjOlWL5LSv8sSwCZ40=</DigestValue>
      </Reference>
      <Reference URI="/word/charts/_rels/chart4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HC4+EcKJMOnrmztp2suiW8+ckZDtJ7dP/wYx1kUPu1Y=</DigestValue>
      </Reference>
      <Reference URI="/word/charts/_rels/chart45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GP/IS9LG01ac6czks9zf321MijLz6rjmWqM11RmzmOo=</DigestValue>
      </Reference>
      <Reference URI="/word/charts/_rels/chart46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mHEJUt4Nsrg8FIHmEPSI9cyY9OJzw6e1Y5E2LrKL8b4=</DigestValue>
      </Reference>
      <Reference URI="/word/charts/_rels/chart47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Y+BPoOVsTBQcAcoPcmVoCSIEyxd+we+ggrBush4hSEY=</DigestValue>
      </Reference>
      <Reference URI="/word/charts/_rels/chart48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9LwGYtmYS38/yWWObRTW59yQYYnhZEE0KnuokPVWhzY=</DigestValue>
      </Reference>
      <Reference URI="/word/charts/_rels/chart49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gwgtXrSYjFr7/HLefSlwKx683A+TDnrLZS7caOksxlA=</DigestValue>
      </Reference>
      <Reference URI="/word/charts/_rels/chart5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uVl3v1Fwsnj3Xa9rohC0X+ENiTLBV4577glShOdssKI=</DigestValue>
      </Reference>
      <Reference URI="/word/charts/_rels/chart50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nIYUlHzW/bs0cMEJTb8MZUp7a61kBcGK/XbyxwE7SJ8=</DigestValue>
      </Reference>
      <Reference URI="/word/charts/_rels/chart5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JAz9SVX9qqYHnZFeFpEiBqcSrz4abtCsjUxXx80u2fs=</DigestValue>
      </Reference>
      <Reference URI="/word/charts/_rels/chart5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fBvCNX2F7ymAzxX07tTWv6UNOnXUqGWBPDqpRP+Cu9c=</DigestValue>
      </Reference>
      <Reference URI="/word/charts/_rels/chart5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W8BQr8fvDPFOqD5M58WtSTR91s7FU8KPXsMJ4sj7/YI=</DigestValue>
      </Reference>
      <Reference URI="/word/charts/_rels/chart5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G6087GlAti+Z4MulL8N++5/P9b6zY55KYD20yq1lR4E=</DigestValue>
      </Reference>
      <Reference URI="/word/charts/_rels/chart55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Dw1EZhANNdRFtMAbOWIHoYVxqeOcJvopy3S+92C/dG4=</DigestValue>
      </Reference>
      <Reference URI="/word/charts/_rels/chart56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676lihmBQkoueSqHx/i9Of5oX0htIaZ3ao6c0tXHTUc=</DigestValue>
      </Reference>
      <Reference URI="/word/charts/_rels/chart57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KsTkJS1ooARwB08AbeybYs3Lnd6QKdv09EtA9/N27Mg=</DigestValue>
      </Reference>
      <Reference URI="/word/charts/_rels/chart58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EABPYjEb68GyMXP6jfvQzaiTGhb4iLsjcjCM4X4DRX4=</DigestValue>
      </Reference>
      <Reference URI="/word/charts/_rels/chart59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Zc+Q7clJc/XiMO5NIhEKyZiO58XVxv9X78bZeerCbng=</DigestValue>
      </Reference>
      <Reference URI="/word/charts/_rels/chart6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qBLBJ8j0LC2O9DRhvjbJvGZkMGDLFqPm2x55h/0YytM=</DigestValue>
      </Reference>
      <Reference URI="/word/charts/_rels/chart60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B9HelfsjusuGUb4Yx0nOBR+9Cnd41nie+OIaA56H4+M=</DigestValue>
      </Reference>
      <Reference URI="/word/charts/_rels/chart6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HDMo0DfxXPiFYIVq8O37rf2Nv+gSHZ1ylFvzzoo5fFY=</DigestValue>
      </Reference>
      <Reference URI="/word/charts/_rels/chart6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izGLISc3YQnH2lgjISLoILIjw1WhoywpXMuK4z5ileY=</DigestValue>
      </Reference>
      <Reference URI="/word/charts/_rels/chart6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y7BzGUzg8nLoHS/NXtfYaVH3Y9dtskRIoLkTB5V4S7k=</DigestValue>
      </Reference>
      <Reference URI="/word/charts/_rels/chart6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RKCjb8xZ9zpmXGFp1ZiCGybmtEYMG2noy/90DDgQyY0=</DigestValue>
      </Reference>
      <Reference URI="/word/charts/_rels/chart65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y3DvJuEYsHfRrLW4iKWzRKqdsuimtzHEJTRV0ZYDhTw=</DigestValue>
      </Reference>
      <Reference URI="/word/charts/_rels/chart66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xVsTYby0egqKRbl7QCDPiOBseuuEebdMLGg1gmh4lHc=</DigestValue>
      </Reference>
      <Reference URI="/word/charts/_rels/chart67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tIFabOKo9jVvbuQIvdh+1uoIDie50BtYuC/jGT5UHpE=</DigestValue>
      </Reference>
      <Reference URI="/word/charts/_rels/chart68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VmoWFLH2Qhc0iF1rrQiqF4yr4YSQXUOqZZRjKMOms2Y=</DigestValue>
      </Reference>
      <Reference URI="/word/charts/_rels/chart69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sOSjPnVNFSqBP8zsSRkn48+GUW7CiKxHeGnh+BWEXco=</DigestValue>
      </Reference>
      <Reference URI="/word/charts/_rels/chart7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we0WoUCplP5CQblfPox4fc+KnAumBks2ZXBcfAygBbQ=</DigestValue>
      </Reference>
      <Reference URI="/word/charts/_rels/chart70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ELwE1IoHiKS8/bWIBWpU1CIdJG3SO9iCovBmxXcsX/c=</DigestValue>
      </Reference>
      <Reference URI="/word/charts/_rels/chart7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urn:ietf:params:xml:ns:cpxmlsec:algorithms:gostr34112012-256"/>
        <DigestValue>JexJxmZ6TrPbsIZIuIBGExX7cS3TBhNWvu/mkkUT2RI=</DigestValue>
      </Reference>
      <Reference URI="/word/charts/_rels/chart7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vR6f6+3BWIMSXebVdEy7MJ0bldCw65ZExLlCZOEKQ80=</DigestValue>
      </Reference>
      <Reference URI="/word/charts/_rels/chart7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ViYS/WLUOFDsX0cp+GY1zgzPIaMEuaAosE58RpMLl04=</DigestValue>
      </Reference>
      <Reference URI="/word/charts/_rels/chart7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UD/an4WaglrdsQJPs02bUG7sReAGgOXqCunQK+0JlNc=</DigestValue>
      </Reference>
      <Reference URI="/word/charts/_rels/chart75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GpABqIk1IEX7icQoPE+bCjfq3IznKra/l59zobk6Cfs=</DigestValue>
      </Reference>
      <Reference URI="/word/charts/_rels/chart76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rw6TOH+vjMLAVRSqXGGyMBRQ4TjE+Hu6Xg2BBx2pz0g=</DigestValue>
      </Reference>
      <Reference URI="/word/charts/_rels/chart77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gN6+S8jVlW6/ti6gDwHe05HgUm7AhgSPZ5TaHDiMmoU=</DigestValue>
      </Reference>
      <Reference URI="/word/charts/_rels/chart78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xntNTjC3Q9z0HE5PzKQZguXddBB9tfwzKzKsmfJeZs8=</DigestValue>
      </Reference>
      <Reference URI="/word/charts/_rels/chart79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3bD3wfhSd8sGEymaW0doOMKf1GgVB33FeC1wygooz7A=</DigestValue>
      </Reference>
      <Reference URI="/word/charts/_rels/chart8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ecECi6QkR23DNTgSnZyfwu24TppQo20lU1/oZdUL92I=</DigestValue>
      </Reference>
      <Reference URI="/word/charts/_rels/chart80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WokzZKL1/S1iXgH4iA4KelYu5ptuWQY3eXi8lfr992E=</DigestValue>
      </Reference>
      <Reference URI="/word/charts/_rels/chart8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OXlzROhQW6EGuGQYQw8TFuL7PhKOeT2AsYf2QjCjmfE=</DigestValue>
      </Reference>
      <Reference URI="/word/charts/_rels/chart8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hWop7thY0SnFRyCbUZ5vVbaSYgL0D18bL3FBA/xqhak=</DigestValue>
      </Reference>
      <Reference URI="/word/charts/_rels/chart8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dmelfRUCis3eElgnXphNLO+J/rf/350IH02D9J43NVE=</DigestValue>
      </Reference>
      <Reference URI="/word/charts/_rels/chart9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4lx4LISNfJERmDANb0Qeoxql4yZcqg6zXbgvg7YUKzA=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  <mdssi:RelationshipReference xmlns:mdssi="http://schemas.openxmlformats.org/package/2006/digital-signature" SourceId="rId3"/>
            <mdssi:RelationshipReference xmlns:mdssi="http://schemas.openxmlformats.org/package/2006/digital-signature" SourceId="rId4"/>
            <mdssi:RelationshipReference xmlns:mdssi="http://schemas.openxmlformats.org/package/2006/digital-signature" SourceId="rId5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urn:ietf:params:xml:ns:cpxmlsec:algorithms:gostr34112012-256"/>
        <DigestValue>I3qMbpvasazAcNBb44B3osVlcU+BXqXuLFg6srABgtQ=</DigestValue>
      </Reference>
      <Reference URI="/word/charts/chart1.xml?ContentType=application/vnd.openxmlformats-officedocument.drawingml.chart+xml">
        <DigestMethod Algorithm="urn:ietf:params:xml:ns:cpxmlsec:algorithms:gostr34112012-256"/>
        <DigestValue>ynw0i8A0rgU48wTSWuq1UXh65Rzaq1Hk/uEWi2jBw90=</DigestValue>
      </Reference>
      <Reference URI="/word/charts/chart10.xml?ContentType=application/vnd.openxmlformats-officedocument.drawingml.chart+xml">
        <DigestMethod Algorithm="urn:ietf:params:xml:ns:cpxmlsec:algorithms:gostr34112012-256"/>
        <DigestValue>rKb9GuOV8Iu6ZNAOgvL7Ou3dCUMj4AgMdbLJf2dUEsg=</DigestValue>
      </Reference>
      <Reference URI="/word/charts/chart11.xml?ContentType=application/vnd.openxmlformats-officedocument.drawingml.chart+xml">
        <DigestMethod Algorithm="urn:ietf:params:xml:ns:cpxmlsec:algorithms:gostr34112012-256"/>
        <DigestValue>1eFogkdkd0HUk3DLUeE4u06waOwYUwjfNm6unjvwkkQ=</DigestValue>
      </Reference>
      <Reference URI="/word/charts/chart12.xml?ContentType=application/vnd.openxmlformats-officedocument.drawingml.chart+xml">
        <DigestMethod Algorithm="urn:ietf:params:xml:ns:cpxmlsec:algorithms:gostr34112012-256"/>
        <DigestValue>YVZpttz3VdX6tINKfP7V8Qy4sq0OjilLWZTXje2lD4M=</DigestValue>
      </Reference>
      <Reference URI="/word/charts/chart13.xml?ContentType=application/vnd.openxmlformats-officedocument.drawingml.chart+xml">
        <DigestMethod Algorithm="urn:ietf:params:xml:ns:cpxmlsec:algorithms:gostr34112012-256"/>
        <DigestValue>Ycq5WjCUfXjW6JAgfEcdcSjkxND1tXm/Vfqym064Kgg=</DigestValue>
      </Reference>
      <Reference URI="/word/charts/chart14.xml?ContentType=application/vnd.openxmlformats-officedocument.drawingml.chart+xml">
        <DigestMethod Algorithm="urn:ietf:params:xml:ns:cpxmlsec:algorithms:gostr34112012-256"/>
        <DigestValue>Fc2ngEIciuZKkss8s5Onzd0r5upV6yXPLeSMMjEbKzQ=</DigestValue>
      </Reference>
      <Reference URI="/word/charts/chart15.xml?ContentType=application/vnd.openxmlformats-officedocument.drawingml.chart+xml">
        <DigestMethod Algorithm="urn:ietf:params:xml:ns:cpxmlsec:algorithms:gostr34112012-256"/>
        <DigestValue>IYXlOVRrabZZI/WV8Pqn4F0RT8Z2S+w1/kkxzh8QAAU=</DigestValue>
      </Reference>
      <Reference URI="/word/charts/chart16.xml?ContentType=application/vnd.openxmlformats-officedocument.drawingml.chart+xml">
        <DigestMethod Algorithm="urn:ietf:params:xml:ns:cpxmlsec:algorithms:gostr34112012-256"/>
        <DigestValue>Gf8vQNVF3tUQnmNdqIAgdyYyjGQzyg9i8dJB4M9kAVk=</DigestValue>
      </Reference>
      <Reference URI="/word/charts/chart17.xml?ContentType=application/vnd.openxmlformats-officedocument.drawingml.chart+xml">
        <DigestMethod Algorithm="urn:ietf:params:xml:ns:cpxmlsec:algorithms:gostr34112012-256"/>
        <DigestValue>O42GlTLBRMcmwpSujxU02HLX0qeoNNUnLybeKP90MZY=</DigestValue>
      </Reference>
      <Reference URI="/word/charts/chart18.xml?ContentType=application/vnd.openxmlformats-officedocument.drawingml.chart+xml">
        <DigestMethod Algorithm="urn:ietf:params:xml:ns:cpxmlsec:algorithms:gostr34112012-256"/>
        <DigestValue>QPXyNk0m2m+1839x/eGDrjnW3ZycIR7NDJU6G+CRwow=</DigestValue>
      </Reference>
      <Reference URI="/word/charts/chart19.xml?ContentType=application/vnd.openxmlformats-officedocument.drawingml.chart+xml">
        <DigestMethod Algorithm="urn:ietf:params:xml:ns:cpxmlsec:algorithms:gostr34112012-256"/>
        <DigestValue>b4eAqq4PJlKUai1deYMe0OVgNvjKTSEBMPhJie0KTHQ=</DigestValue>
      </Reference>
      <Reference URI="/word/charts/chart2.xml?ContentType=application/vnd.openxmlformats-officedocument.drawingml.chart+xml">
        <DigestMethod Algorithm="urn:ietf:params:xml:ns:cpxmlsec:algorithms:gostr34112012-256"/>
        <DigestValue>x+QflNfy8dhZXPhm8zMj5VtsrzuQtR7rXN2khifsMVM=</DigestValue>
      </Reference>
      <Reference URI="/word/charts/chart20.xml?ContentType=application/vnd.openxmlformats-officedocument.drawingml.chart+xml">
        <DigestMethod Algorithm="urn:ietf:params:xml:ns:cpxmlsec:algorithms:gostr34112012-256"/>
        <DigestValue>jxRzjXubsFwLq8+STCzmFVO4L4k+Skb23efTFYRZKYo=</DigestValue>
      </Reference>
      <Reference URI="/word/charts/chart21.xml?ContentType=application/vnd.openxmlformats-officedocument.drawingml.chart+xml">
        <DigestMethod Algorithm="urn:ietf:params:xml:ns:cpxmlsec:algorithms:gostr34112012-256"/>
        <DigestValue>h76fAnNjcBThqnmes9F5bFk/9/BCD6sMa+WSwo54nnM=</DigestValue>
      </Reference>
      <Reference URI="/word/charts/chart22.xml?ContentType=application/vnd.openxmlformats-officedocument.drawingml.chart+xml">
        <DigestMethod Algorithm="urn:ietf:params:xml:ns:cpxmlsec:algorithms:gostr34112012-256"/>
        <DigestValue>vat0Qpjc3WzKLx5WK2IzwT/7MJoC8gdrrwtwfCnjOzk=</DigestValue>
      </Reference>
      <Reference URI="/word/charts/chart23.xml?ContentType=application/vnd.openxmlformats-officedocument.drawingml.chart+xml">
        <DigestMethod Algorithm="urn:ietf:params:xml:ns:cpxmlsec:algorithms:gostr34112012-256"/>
        <DigestValue>M3pYOhaou2Pp0bGd2wazTtB+qI2uO6P+dAlL/Y+hE0k=</DigestValue>
      </Reference>
      <Reference URI="/word/charts/chart24.xml?ContentType=application/vnd.openxmlformats-officedocument.drawingml.chart+xml">
        <DigestMethod Algorithm="urn:ietf:params:xml:ns:cpxmlsec:algorithms:gostr34112012-256"/>
        <DigestValue>WUkV14qdrYzdhm9ip8ymiGSnNDKnYvSWH5NZ46YYUSM=</DigestValue>
      </Reference>
      <Reference URI="/word/charts/chart25.xml?ContentType=application/vnd.openxmlformats-officedocument.drawingml.chart+xml">
        <DigestMethod Algorithm="urn:ietf:params:xml:ns:cpxmlsec:algorithms:gostr34112012-256"/>
        <DigestValue>lqFPARNS/hxzm1DisSt/R8BHQwDz3Z1f33Ahoa5Iuow=</DigestValue>
      </Reference>
      <Reference URI="/word/charts/chart26.xml?ContentType=application/vnd.openxmlformats-officedocument.drawingml.chart+xml">
        <DigestMethod Algorithm="urn:ietf:params:xml:ns:cpxmlsec:algorithms:gostr34112012-256"/>
        <DigestValue>us8M7dvO2Lot5esi9WEQsgQULh8fGpJtvOsZ3Y6BYSQ=</DigestValue>
      </Reference>
      <Reference URI="/word/charts/chart27.xml?ContentType=application/vnd.openxmlformats-officedocument.drawingml.chart+xml">
        <DigestMethod Algorithm="urn:ietf:params:xml:ns:cpxmlsec:algorithms:gostr34112012-256"/>
        <DigestValue>84PIsat6S0y9lIwjMtdj0LQ/9dWKBO+I8SR/wpHEbi8=</DigestValue>
      </Reference>
      <Reference URI="/word/charts/chart28.xml?ContentType=application/vnd.openxmlformats-officedocument.drawingml.chart+xml">
        <DigestMethod Algorithm="urn:ietf:params:xml:ns:cpxmlsec:algorithms:gostr34112012-256"/>
        <DigestValue>ritR+aIe2ZOTIABWQ3z+THzQZ8N00OCjMDSwMmA8fHw=</DigestValue>
      </Reference>
      <Reference URI="/word/charts/chart29.xml?ContentType=application/vnd.openxmlformats-officedocument.drawingml.chart+xml">
        <DigestMethod Algorithm="urn:ietf:params:xml:ns:cpxmlsec:algorithms:gostr34112012-256"/>
        <DigestValue>0P2TjQqT0cEL90usLUJsOMfPXmj4yarUWQEFM8pnStM=</DigestValue>
      </Reference>
      <Reference URI="/word/charts/chart3.xml?ContentType=application/vnd.openxmlformats-officedocument.drawingml.chart+xml">
        <DigestMethod Algorithm="urn:ietf:params:xml:ns:cpxmlsec:algorithms:gostr34112012-256"/>
        <DigestValue>o5kS00pCErBIWDd4Z/wWH0sMQ+3bQ6mXiscctDV/0Fg=</DigestValue>
      </Reference>
      <Reference URI="/word/charts/chart30.xml?ContentType=application/vnd.openxmlformats-officedocument.drawingml.chart+xml">
        <DigestMethod Algorithm="urn:ietf:params:xml:ns:cpxmlsec:algorithms:gostr34112012-256"/>
        <DigestValue>Z4v9snc4aW5rTBCzCuwAcWCnlY03UWdsObpKnPQ4ez0=</DigestValue>
      </Reference>
      <Reference URI="/word/charts/chart31.xml?ContentType=application/vnd.openxmlformats-officedocument.drawingml.chart+xml">
        <DigestMethod Algorithm="urn:ietf:params:xml:ns:cpxmlsec:algorithms:gostr34112012-256"/>
        <DigestValue>Kzrd2o/c25TqSkI3w0JdMkw+klV5nZfdKgwhBhUcSX4=</DigestValue>
      </Reference>
      <Reference URI="/word/charts/chart32.xml?ContentType=application/vnd.openxmlformats-officedocument.drawingml.chart+xml">
        <DigestMethod Algorithm="urn:ietf:params:xml:ns:cpxmlsec:algorithms:gostr34112012-256"/>
        <DigestValue>2EvfawB3zeZXJ30QLfoYiGxfUVMTizaxKLogIFa0RA4=</DigestValue>
      </Reference>
      <Reference URI="/word/charts/chart33.xml?ContentType=application/vnd.openxmlformats-officedocument.drawingml.chart+xml">
        <DigestMethod Algorithm="urn:ietf:params:xml:ns:cpxmlsec:algorithms:gostr34112012-256"/>
        <DigestValue>6FCOcqbZNUsQWsd24RuOXCH6z48EqyWAdLNMxtpckro=</DigestValue>
      </Reference>
      <Reference URI="/word/charts/chart34.xml?ContentType=application/vnd.openxmlformats-officedocument.drawingml.chart+xml">
        <DigestMethod Algorithm="urn:ietf:params:xml:ns:cpxmlsec:algorithms:gostr34112012-256"/>
        <DigestValue>PMz/MOo1f9vcbVWgX5joFBGrQyFevfWLPXKjYd19EJg=</DigestValue>
      </Reference>
      <Reference URI="/word/charts/chart35.xml?ContentType=application/vnd.openxmlformats-officedocument.drawingml.chart+xml">
        <DigestMethod Algorithm="urn:ietf:params:xml:ns:cpxmlsec:algorithms:gostr34112012-256"/>
        <DigestValue>hb7vI/VMsrGwF3odM4hm5VQQg2X/3Qg/AR5sw+WF/yE=</DigestValue>
      </Reference>
      <Reference URI="/word/charts/chart36.xml?ContentType=application/vnd.openxmlformats-officedocument.drawingml.chart+xml">
        <DigestMethod Algorithm="urn:ietf:params:xml:ns:cpxmlsec:algorithms:gostr34112012-256"/>
        <DigestValue>VaFZNzK6fpIPjA5I9KXyCc77gCPz/MHqEOJo5SadvT4=</DigestValue>
      </Reference>
      <Reference URI="/word/charts/chart37.xml?ContentType=application/vnd.openxmlformats-officedocument.drawingml.chart+xml">
        <DigestMethod Algorithm="urn:ietf:params:xml:ns:cpxmlsec:algorithms:gostr34112012-256"/>
        <DigestValue>A+pBsphlAfdEwQkK2aEz8HJb2/jRkTkp7oamGNt3HAU=</DigestValue>
      </Reference>
      <Reference URI="/word/charts/chart38.xml?ContentType=application/vnd.openxmlformats-officedocument.drawingml.chart+xml">
        <DigestMethod Algorithm="urn:ietf:params:xml:ns:cpxmlsec:algorithms:gostr34112012-256"/>
        <DigestValue>JFMqJuTDAvo2VkehSYQn0QfYZTyc7jMyLPoPsaNHmlw=</DigestValue>
      </Reference>
      <Reference URI="/word/charts/chart39.xml?ContentType=application/vnd.openxmlformats-officedocument.drawingml.chart+xml">
        <DigestMethod Algorithm="urn:ietf:params:xml:ns:cpxmlsec:algorithms:gostr34112012-256"/>
        <DigestValue>iI3v6CuqQmUqURJhQsp/sy3oOVn0/l2oVxYLoVGQjV4=</DigestValue>
      </Reference>
      <Reference URI="/word/charts/chart4.xml?ContentType=application/vnd.openxmlformats-officedocument.drawingml.chart+xml">
        <DigestMethod Algorithm="urn:ietf:params:xml:ns:cpxmlsec:algorithms:gostr34112012-256"/>
        <DigestValue>s1SjOxJq8q2KToYPk3ZV/fFkJNJvcag21GruUTqQrls=</DigestValue>
      </Reference>
      <Reference URI="/word/charts/chart40.xml?ContentType=application/vnd.openxmlformats-officedocument.drawingml.chart+xml">
        <DigestMethod Algorithm="urn:ietf:params:xml:ns:cpxmlsec:algorithms:gostr34112012-256"/>
        <DigestValue>qLBJJ5I6FX5ghkcCmGyzO2QVJgohTA/47+I2ljnS4CE=</DigestValue>
      </Reference>
      <Reference URI="/word/charts/chart41.xml?ContentType=application/vnd.openxmlformats-officedocument.drawingml.chart+xml">
        <DigestMethod Algorithm="urn:ietf:params:xml:ns:cpxmlsec:algorithms:gostr34112012-256"/>
        <DigestValue>WAvAhWomoVfAQ0gmdxUwJpAKMs0Vv1Z3oBYoQv64RV4=</DigestValue>
      </Reference>
      <Reference URI="/word/charts/chart42.xml?ContentType=application/vnd.openxmlformats-officedocument.drawingml.chart+xml">
        <DigestMethod Algorithm="urn:ietf:params:xml:ns:cpxmlsec:algorithms:gostr34112012-256"/>
        <DigestValue>+zEOz4ZCPnvrVJqfd4x+voREH45G3PRZ8X0/kT8flyE=</DigestValue>
      </Reference>
      <Reference URI="/word/charts/chart43.xml?ContentType=application/vnd.openxmlformats-officedocument.drawingml.chart+xml">
        <DigestMethod Algorithm="urn:ietf:params:xml:ns:cpxmlsec:algorithms:gostr34112012-256"/>
        <DigestValue>NAyYgZw6xy/PDBLr/ULLBO31JIB1YphS2wl1tbHeTkE=</DigestValue>
      </Reference>
      <Reference URI="/word/charts/chart44.xml?ContentType=application/vnd.openxmlformats-officedocument.drawingml.chart+xml">
        <DigestMethod Algorithm="urn:ietf:params:xml:ns:cpxmlsec:algorithms:gostr34112012-256"/>
        <DigestValue>4aiH+DJL4Tr6qy0uu8g/1c7xzdhwIp7dIhVp7WL0n2I=</DigestValue>
      </Reference>
      <Reference URI="/word/charts/chart45.xml?ContentType=application/vnd.openxmlformats-officedocument.drawingml.chart+xml">
        <DigestMethod Algorithm="urn:ietf:params:xml:ns:cpxmlsec:algorithms:gostr34112012-256"/>
        <DigestValue>H65SeUnZ7KCpb9uA+oGhQD4fA8XPASiZMVtAvvOCW/c=</DigestValue>
      </Reference>
      <Reference URI="/word/charts/chart46.xml?ContentType=application/vnd.openxmlformats-officedocument.drawingml.chart+xml">
        <DigestMethod Algorithm="urn:ietf:params:xml:ns:cpxmlsec:algorithms:gostr34112012-256"/>
        <DigestValue>vICBvXXwh1vF28dvSjfBXPADtOyiEojxTqqQ9CKK0NE=</DigestValue>
      </Reference>
      <Reference URI="/word/charts/chart47.xml?ContentType=application/vnd.openxmlformats-officedocument.drawingml.chart+xml">
        <DigestMethod Algorithm="urn:ietf:params:xml:ns:cpxmlsec:algorithms:gostr34112012-256"/>
        <DigestValue>a0yLdpPcS6GhtR5fmQ+mcNfoDo4X4s3irIyWpCEx/Jo=</DigestValue>
      </Reference>
      <Reference URI="/word/charts/chart48.xml?ContentType=application/vnd.openxmlformats-officedocument.drawingml.chart+xml">
        <DigestMethod Algorithm="urn:ietf:params:xml:ns:cpxmlsec:algorithms:gostr34112012-256"/>
        <DigestValue>DKE0Pqwd5SOsLEE9786BhYZFW527luIOsb3YxjoXyN8=</DigestValue>
      </Reference>
      <Reference URI="/word/charts/chart49.xml?ContentType=application/vnd.openxmlformats-officedocument.drawingml.chart+xml">
        <DigestMethod Algorithm="urn:ietf:params:xml:ns:cpxmlsec:algorithms:gostr34112012-256"/>
        <DigestValue>tGUay9DtHpK23Ag21uNiOEv51AMgu429RlbFDV186Jo=</DigestValue>
      </Reference>
      <Reference URI="/word/charts/chart5.xml?ContentType=application/vnd.openxmlformats-officedocument.drawingml.chart+xml">
        <DigestMethod Algorithm="urn:ietf:params:xml:ns:cpxmlsec:algorithms:gostr34112012-256"/>
        <DigestValue>QaqVzfB6j5WsqzyKXolF6kStFtI2GQ0Gmq0VCn8X8ow=</DigestValue>
      </Reference>
      <Reference URI="/word/charts/chart50.xml?ContentType=application/vnd.openxmlformats-officedocument.drawingml.chart+xml">
        <DigestMethod Algorithm="urn:ietf:params:xml:ns:cpxmlsec:algorithms:gostr34112012-256"/>
        <DigestValue>G3OUzKe2/QVgFDlK8SICgT1cK9mX5G1ivjsBw4lOhNU=</DigestValue>
      </Reference>
      <Reference URI="/word/charts/chart51.xml?ContentType=application/vnd.openxmlformats-officedocument.drawingml.chart+xml">
        <DigestMethod Algorithm="urn:ietf:params:xml:ns:cpxmlsec:algorithms:gostr34112012-256"/>
        <DigestValue>N9ol/0NZfA43QXcxBZsN0K7/bI769pbu/2gwERGyz1g=</DigestValue>
      </Reference>
      <Reference URI="/word/charts/chart52.xml?ContentType=application/vnd.openxmlformats-officedocument.drawingml.chart+xml">
        <DigestMethod Algorithm="urn:ietf:params:xml:ns:cpxmlsec:algorithms:gostr34112012-256"/>
        <DigestValue>X8WxT2Vzm1vp9EO74TAVURH687ja8XfgzeCX+X2+UKQ=</DigestValue>
      </Reference>
      <Reference URI="/word/charts/chart53.xml?ContentType=application/vnd.openxmlformats-officedocument.drawingml.chart+xml">
        <DigestMethod Algorithm="urn:ietf:params:xml:ns:cpxmlsec:algorithms:gostr34112012-256"/>
        <DigestValue>aX6ps/5uQB/8mU6q2OJFhDJcoNHhbNAwPuYLwiJ6jP8=</DigestValue>
      </Reference>
      <Reference URI="/word/charts/chart54.xml?ContentType=application/vnd.openxmlformats-officedocument.drawingml.chart+xml">
        <DigestMethod Algorithm="urn:ietf:params:xml:ns:cpxmlsec:algorithms:gostr34112012-256"/>
        <DigestValue>DR5ViMhH7a6SRs43vhIBnFM//giFkMMrOWtOrKdcYXE=</DigestValue>
      </Reference>
      <Reference URI="/word/charts/chart55.xml?ContentType=application/vnd.openxmlformats-officedocument.drawingml.chart+xml">
        <DigestMethod Algorithm="urn:ietf:params:xml:ns:cpxmlsec:algorithms:gostr34112012-256"/>
        <DigestValue>dgWmBK+MYjWJ6yzSKTq7lQTlM8xR8/0aLTzGmmkqINM=</DigestValue>
      </Reference>
      <Reference URI="/word/charts/chart56.xml?ContentType=application/vnd.openxmlformats-officedocument.drawingml.chart+xml">
        <DigestMethod Algorithm="urn:ietf:params:xml:ns:cpxmlsec:algorithms:gostr34112012-256"/>
        <DigestValue>bsujn4kAuDzE3z0gjSu5H7R6Qc5twk0HXD5elrwgaOs=</DigestValue>
      </Reference>
      <Reference URI="/word/charts/chart57.xml?ContentType=application/vnd.openxmlformats-officedocument.drawingml.chart+xml">
        <DigestMethod Algorithm="urn:ietf:params:xml:ns:cpxmlsec:algorithms:gostr34112012-256"/>
        <DigestValue>YsC7QBTyKN2D8zkXP76A1Bd14LZeD1ZSI4TBT0AwvEY=</DigestValue>
      </Reference>
      <Reference URI="/word/charts/chart58.xml?ContentType=application/vnd.openxmlformats-officedocument.drawingml.chart+xml">
        <DigestMethod Algorithm="urn:ietf:params:xml:ns:cpxmlsec:algorithms:gostr34112012-256"/>
        <DigestValue>Yp3D53op/sasyoup9yQghp4rS0zqJmOlXqNYl1vH2/Q=</DigestValue>
      </Reference>
      <Reference URI="/word/charts/chart59.xml?ContentType=application/vnd.openxmlformats-officedocument.drawingml.chart+xml">
        <DigestMethod Algorithm="urn:ietf:params:xml:ns:cpxmlsec:algorithms:gostr34112012-256"/>
        <DigestValue>y7IZICfgMlvLUKOCl2VPtY3x24H7L2jSbtcmTvv24+s=</DigestValue>
      </Reference>
      <Reference URI="/word/charts/chart6.xml?ContentType=application/vnd.openxmlformats-officedocument.drawingml.chart+xml">
        <DigestMethod Algorithm="urn:ietf:params:xml:ns:cpxmlsec:algorithms:gostr34112012-256"/>
        <DigestValue>1lat1eG52TUwROxSjEBrdK30dcsj1LBQTS6tqtwzFi4=</DigestValue>
      </Reference>
      <Reference URI="/word/charts/chart60.xml?ContentType=application/vnd.openxmlformats-officedocument.drawingml.chart+xml">
        <DigestMethod Algorithm="urn:ietf:params:xml:ns:cpxmlsec:algorithms:gostr34112012-256"/>
        <DigestValue>20BJ7V3TMngBCx8r5B6qPD9xbZ4eOS7HRr8AR/+njRo=</DigestValue>
      </Reference>
      <Reference URI="/word/charts/chart61.xml?ContentType=application/vnd.openxmlformats-officedocument.drawingml.chart+xml">
        <DigestMethod Algorithm="urn:ietf:params:xml:ns:cpxmlsec:algorithms:gostr34112012-256"/>
        <DigestValue>LOQi/BIndgUP9Bhd5qIUnAAP0cfeH/oMNoLYXH6h5Ps=</DigestValue>
      </Reference>
      <Reference URI="/word/charts/chart62.xml?ContentType=application/vnd.openxmlformats-officedocument.drawingml.chart+xml">
        <DigestMethod Algorithm="urn:ietf:params:xml:ns:cpxmlsec:algorithms:gostr34112012-256"/>
        <DigestValue>kcCksC9MElzUNewwNmVqetgj+Zt09XpKMGBpuQIy8Bs=</DigestValue>
      </Reference>
      <Reference URI="/word/charts/chart63.xml?ContentType=application/vnd.openxmlformats-officedocument.drawingml.chart+xml">
        <DigestMethod Algorithm="urn:ietf:params:xml:ns:cpxmlsec:algorithms:gostr34112012-256"/>
        <DigestValue>rTLqqN7x1+LzyrpE3BN1CCAgFYdjsh23m6sFNv/7lms=</DigestValue>
      </Reference>
      <Reference URI="/word/charts/chart64.xml?ContentType=application/vnd.openxmlformats-officedocument.drawingml.chart+xml">
        <DigestMethod Algorithm="urn:ietf:params:xml:ns:cpxmlsec:algorithms:gostr34112012-256"/>
        <DigestValue>nBZsSepQtDabBI/X5RRCtcZY+gIBbngRUGiRlsS+u+0=</DigestValue>
      </Reference>
      <Reference URI="/word/charts/chart65.xml?ContentType=application/vnd.openxmlformats-officedocument.drawingml.chart+xml">
        <DigestMethod Algorithm="urn:ietf:params:xml:ns:cpxmlsec:algorithms:gostr34112012-256"/>
        <DigestValue>dzRRr02QB/wpXnPgf2fkORJfUrXdij+Qg9amjX+0fdE=</DigestValue>
      </Reference>
      <Reference URI="/word/charts/chart66.xml?ContentType=application/vnd.openxmlformats-officedocument.drawingml.chart+xml">
        <DigestMethod Algorithm="urn:ietf:params:xml:ns:cpxmlsec:algorithms:gostr34112012-256"/>
        <DigestValue>MWBBIUS5IgZcyR8enwOLWJBQn4bCjKS0k1fuhdATpnA=</DigestValue>
      </Reference>
      <Reference URI="/word/charts/chart67.xml?ContentType=application/vnd.openxmlformats-officedocument.drawingml.chart+xml">
        <DigestMethod Algorithm="urn:ietf:params:xml:ns:cpxmlsec:algorithms:gostr34112012-256"/>
        <DigestValue>W+P4YL5rpPnhT14l+fm4rG9ugGa2fze6xzrJD2+euMM=</DigestValue>
      </Reference>
      <Reference URI="/word/charts/chart68.xml?ContentType=application/vnd.openxmlformats-officedocument.drawingml.chart+xml">
        <DigestMethod Algorithm="urn:ietf:params:xml:ns:cpxmlsec:algorithms:gostr34112012-256"/>
        <DigestValue>/OUdarKIKuDI1Z4wJbJLt+dF81W0pQ5xk+NEFUjwjCU=</DigestValue>
      </Reference>
      <Reference URI="/word/charts/chart69.xml?ContentType=application/vnd.openxmlformats-officedocument.drawingml.chart+xml">
        <DigestMethod Algorithm="urn:ietf:params:xml:ns:cpxmlsec:algorithms:gostr34112012-256"/>
        <DigestValue>c4P7vkcEl9WcnH7D9ML54ylOXUl9bl8rgA3dt46geho=</DigestValue>
      </Reference>
      <Reference URI="/word/charts/chart7.xml?ContentType=application/vnd.openxmlformats-officedocument.drawingml.chart+xml">
        <DigestMethod Algorithm="urn:ietf:params:xml:ns:cpxmlsec:algorithms:gostr34112012-256"/>
        <DigestValue>12DPf1Pt5BsaAyU/UHy3zz6SDcTzWyYacrVyHQoRrC0=</DigestValue>
      </Reference>
      <Reference URI="/word/charts/chart70.xml?ContentType=application/vnd.openxmlformats-officedocument.drawingml.chart+xml">
        <DigestMethod Algorithm="urn:ietf:params:xml:ns:cpxmlsec:algorithms:gostr34112012-256"/>
        <DigestValue>Bv5YcQh6nEzeMd91AkH6654cUk/NYfeMaFPvH2RuBtM=</DigestValue>
      </Reference>
      <Reference URI="/word/charts/chart71.xml?ContentType=application/vnd.openxmlformats-officedocument.drawingml.chart+xml">
        <DigestMethod Algorithm="urn:ietf:params:xml:ns:cpxmlsec:algorithms:gostr34112012-256"/>
        <DigestValue>b9WT69yqQ8ljfFw8Y1mTWXeFqYFbF8zPbe9GMKurCHE=</DigestValue>
      </Reference>
      <Reference URI="/word/charts/chart72.xml?ContentType=application/vnd.openxmlformats-officedocument.drawingml.chart+xml">
        <DigestMethod Algorithm="urn:ietf:params:xml:ns:cpxmlsec:algorithms:gostr34112012-256"/>
        <DigestValue>EQVppkAfb/b2fo1aWeMlNwKQUUq09X4Vs5kpegCOpAc=</DigestValue>
      </Reference>
      <Reference URI="/word/charts/chart73.xml?ContentType=application/vnd.openxmlformats-officedocument.drawingml.chart+xml">
        <DigestMethod Algorithm="urn:ietf:params:xml:ns:cpxmlsec:algorithms:gostr34112012-256"/>
        <DigestValue>ZUA9+nw1eLrTjNDulCJSHHEKD6GzAwhqrxW/ghpFvZc=</DigestValue>
      </Reference>
      <Reference URI="/word/charts/chart74.xml?ContentType=application/vnd.openxmlformats-officedocument.drawingml.chart+xml">
        <DigestMethod Algorithm="urn:ietf:params:xml:ns:cpxmlsec:algorithms:gostr34112012-256"/>
        <DigestValue>0yrynz5PEynEbP3fioTDQyb/L0eZQJlZL7lnI+Rt4zk=</DigestValue>
      </Reference>
      <Reference URI="/word/charts/chart75.xml?ContentType=application/vnd.openxmlformats-officedocument.drawingml.chart+xml">
        <DigestMethod Algorithm="urn:ietf:params:xml:ns:cpxmlsec:algorithms:gostr34112012-256"/>
        <DigestValue>9LZ8Ld+1T8FntRZT268dncBBfT1rkSePzhIUZcwvFMk=</DigestValue>
      </Reference>
      <Reference URI="/word/charts/chart76.xml?ContentType=application/vnd.openxmlformats-officedocument.drawingml.chart+xml">
        <DigestMethod Algorithm="urn:ietf:params:xml:ns:cpxmlsec:algorithms:gostr34112012-256"/>
        <DigestValue>qNpi+eg22SBlbU1Xyf8kz7eCYNYAj7Hl6TfSPLdkwMA=</DigestValue>
      </Reference>
      <Reference URI="/word/charts/chart77.xml?ContentType=application/vnd.openxmlformats-officedocument.drawingml.chart+xml">
        <DigestMethod Algorithm="urn:ietf:params:xml:ns:cpxmlsec:algorithms:gostr34112012-256"/>
        <DigestValue>rOJaNS5kQXBdNIHi2oiwwViYOe8DaHdC88L9Xg8cozY=</DigestValue>
      </Reference>
      <Reference URI="/word/charts/chart78.xml?ContentType=application/vnd.openxmlformats-officedocument.drawingml.chart+xml">
        <DigestMethod Algorithm="urn:ietf:params:xml:ns:cpxmlsec:algorithms:gostr34112012-256"/>
        <DigestValue>miT1eJ1JABfUfvO5g02KmNoM+hAd3Se6Y9RquA+oIPY=</DigestValue>
      </Reference>
      <Reference URI="/word/charts/chart79.xml?ContentType=application/vnd.openxmlformats-officedocument.drawingml.chart+xml">
        <DigestMethod Algorithm="urn:ietf:params:xml:ns:cpxmlsec:algorithms:gostr34112012-256"/>
        <DigestValue>Gz2AQLvtQfiZ0BPDfna/4fGItIw+8L8tDepfPASC5zU=</DigestValue>
      </Reference>
      <Reference URI="/word/charts/chart8.xml?ContentType=application/vnd.openxmlformats-officedocument.drawingml.chart+xml">
        <DigestMethod Algorithm="urn:ietf:params:xml:ns:cpxmlsec:algorithms:gostr34112012-256"/>
        <DigestValue>uEu4tCAgy3jQMwIG1nE8h0BrK6bb1Iq6uyDrtMTkusY=</DigestValue>
      </Reference>
      <Reference URI="/word/charts/chart80.xml?ContentType=application/vnd.openxmlformats-officedocument.drawingml.chart+xml">
        <DigestMethod Algorithm="urn:ietf:params:xml:ns:cpxmlsec:algorithms:gostr34112012-256"/>
        <DigestValue>s7xvCkPpGo+zhSsB1V5rkdHghtq1AhcdHUwxyJSM3ng=</DigestValue>
      </Reference>
      <Reference URI="/word/charts/chart81.xml?ContentType=application/vnd.openxmlformats-officedocument.drawingml.chart+xml">
        <DigestMethod Algorithm="urn:ietf:params:xml:ns:cpxmlsec:algorithms:gostr34112012-256"/>
        <DigestValue>4hwKtIhXnfb2KBkdxZv7vEWIumqqkKU0Otf4MLQ7CrE=</DigestValue>
      </Reference>
      <Reference URI="/word/charts/chart82.xml?ContentType=application/vnd.openxmlformats-officedocument.drawingml.chart+xml">
        <DigestMethod Algorithm="urn:ietf:params:xml:ns:cpxmlsec:algorithms:gostr34112012-256"/>
        <DigestValue>ks6wcqGfZDKcKVlL4IoxJ4RDpdW5KmDf3Ct6U+/fKho=</DigestValue>
      </Reference>
      <Reference URI="/word/charts/chart83.xml?ContentType=application/vnd.openxmlformats-officedocument.drawingml.chart+xml">
        <DigestMethod Algorithm="urn:ietf:params:xml:ns:cpxmlsec:algorithms:gostr34112012-256"/>
        <DigestValue>u9/rDAbsoFnF4p5BUDsRKRW2WIntDG33PraDDMEloWw=</DigestValue>
      </Reference>
      <Reference URI="/word/charts/chart9.xml?ContentType=application/vnd.openxmlformats-officedocument.drawingml.chart+xml">
        <DigestMethod Algorithm="urn:ietf:params:xml:ns:cpxmlsec:algorithms:gostr34112012-256"/>
        <DigestValue>lceCYIEaCxSOEGGE/ksgFl9N3LLY9PeyNjwxIIMwVHk=</DigestValue>
      </Reference>
      <Reference URI="/word/charts/colors1.xml?ContentType=application/vnd.ms-office.chartcolorstyle+xml">
        <DigestMethod Algorithm="urn:ietf:params:xml:ns:cpxmlsec:algorithms:gostr34112012-256"/>
        <DigestValue>kW0w4i3SHvcXucfoesh26Sh8ItTTaCLd85yt1NzLMEc=</DigestValue>
      </Reference>
      <Reference URI="/word/charts/colors10.xml?ContentType=application/vnd.ms-office.chartcolorstyle+xml">
        <DigestMethod Algorithm="urn:ietf:params:xml:ns:cpxmlsec:algorithms:gostr34112012-256"/>
        <DigestValue>kW0w4i3SHvcXucfoesh26Sh8ItTTaCLd85yt1NzLMEc=</DigestValue>
      </Reference>
      <Reference URI="/word/charts/colors11.xml?ContentType=application/vnd.ms-office.chartcolorstyle+xml">
        <DigestMethod Algorithm="urn:ietf:params:xml:ns:cpxmlsec:algorithms:gostr34112012-256"/>
        <DigestValue>kW0w4i3SHvcXucfoesh26Sh8ItTTaCLd85yt1NzLMEc=</DigestValue>
      </Reference>
      <Reference URI="/word/charts/colors12.xml?ContentType=application/vnd.ms-office.chartcolorstyle+xml">
        <DigestMethod Algorithm="urn:ietf:params:xml:ns:cpxmlsec:algorithms:gostr34112012-256"/>
        <DigestValue>kW0w4i3SHvcXucfoesh26Sh8ItTTaCLd85yt1NzLMEc=</DigestValue>
      </Reference>
      <Reference URI="/word/charts/colors13.xml?ContentType=application/vnd.ms-office.chartcolorstyle+xml">
        <DigestMethod Algorithm="urn:ietf:params:xml:ns:cpxmlsec:algorithms:gostr34112012-256"/>
        <DigestValue>kW0w4i3SHvcXucfoesh26Sh8ItTTaCLd85yt1NzLMEc=</DigestValue>
      </Reference>
      <Reference URI="/word/charts/colors14.xml?ContentType=application/vnd.ms-office.chartcolorstyle+xml">
        <DigestMethod Algorithm="urn:ietf:params:xml:ns:cpxmlsec:algorithms:gostr34112012-256"/>
        <DigestValue>kW0w4i3SHvcXucfoesh26Sh8ItTTaCLd85yt1NzLMEc=</DigestValue>
      </Reference>
      <Reference URI="/word/charts/colors15.xml?ContentType=application/vnd.ms-office.chartcolorstyle+xml">
        <DigestMethod Algorithm="urn:ietf:params:xml:ns:cpxmlsec:algorithms:gostr34112012-256"/>
        <DigestValue>kW0w4i3SHvcXucfoesh26Sh8ItTTaCLd85yt1NzLMEc=</DigestValue>
      </Reference>
      <Reference URI="/word/charts/colors16.xml?ContentType=application/vnd.ms-office.chartcolorstyle+xml">
        <DigestMethod Algorithm="urn:ietf:params:xml:ns:cpxmlsec:algorithms:gostr34112012-256"/>
        <DigestValue>kW0w4i3SHvcXucfoesh26Sh8ItTTaCLd85yt1NzLMEc=</DigestValue>
      </Reference>
      <Reference URI="/word/charts/colors17.xml?ContentType=application/vnd.ms-office.chartcolorstyle+xml">
        <DigestMethod Algorithm="urn:ietf:params:xml:ns:cpxmlsec:algorithms:gostr34112012-256"/>
        <DigestValue>kW0w4i3SHvcXucfoesh26Sh8ItTTaCLd85yt1NzLMEc=</DigestValue>
      </Reference>
      <Reference URI="/word/charts/colors18.xml?ContentType=application/vnd.ms-office.chartcolorstyle+xml">
        <DigestMethod Algorithm="urn:ietf:params:xml:ns:cpxmlsec:algorithms:gostr34112012-256"/>
        <DigestValue>kW0w4i3SHvcXucfoesh26Sh8ItTTaCLd85yt1NzLMEc=</DigestValue>
      </Reference>
      <Reference URI="/word/charts/colors19.xml?ContentType=application/vnd.ms-office.chartcolorstyle+xml">
        <DigestMethod Algorithm="urn:ietf:params:xml:ns:cpxmlsec:algorithms:gostr34112012-256"/>
        <DigestValue>kW0w4i3SHvcXucfoesh26Sh8ItTTaCLd85yt1NzLMEc=</DigestValue>
      </Reference>
      <Reference URI="/word/charts/colors2.xml?ContentType=application/vnd.ms-office.chartcolorstyle+xml">
        <DigestMethod Algorithm="urn:ietf:params:xml:ns:cpxmlsec:algorithms:gostr34112012-256"/>
        <DigestValue>kW0w4i3SHvcXucfoesh26Sh8ItTTaCLd85yt1NzLMEc=</DigestValue>
      </Reference>
      <Reference URI="/word/charts/colors20.xml?ContentType=application/vnd.ms-office.chartcolorstyle+xml">
        <DigestMethod Algorithm="urn:ietf:params:xml:ns:cpxmlsec:algorithms:gostr34112012-256"/>
        <DigestValue>kW0w4i3SHvcXucfoesh26Sh8ItTTaCLd85yt1NzLMEc=</DigestValue>
      </Reference>
      <Reference URI="/word/charts/colors21.xml?ContentType=application/vnd.ms-office.chartcolorstyle+xml">
        <DigestMethod Algorithm="urn:ietf:params:xml:ns:cpxmlsec:algorithms:gostr34112012-256"/>
        <DigestValue>kW0w4i3SHvcXucfoesh26Sh8ItTTaCLd85yt1NzLMEc=</DigestValue>
      </Reference>
      <Reference URI="/word/charts/colors22.xml?ContentType=application/vnd.ms-office.chartcolorstyle+xml">
        <DigestMethod Algorithm="urn:ietf:params:xml:ns:cpxmlsec:algorithms:gostr34112012-256"/>
        <DigestValue>kW0w4i3SHvcXucfoesh26Sh8ItTTaCLd85yt1NzLMEc=</DigestValue>
      </Reference>
      <Reference URI="/word/charts/colors23.xml?ContentType=application/vnd.ms-office.chartcolorstyle+xml">
        <DigestMethod Algorithm="urn:ietf:params:xml:ns:cpxmlsec:algorithms:gostr34112012-256"/>
        <DigestValue>kW0w4i3SHvcXucfoesh26Sh8ItTTaCLd85yt1NzLMEc=</DigestValue>
      </Reference>
      <Reference URI="/word/charts/colors3.xml?ContentType=application/vnd.ms-office.chartcolorstyle+xml">
        <DigestMethod Algorithm="urn:ietf:params:xml:ns:cpxmlsec:algorithms:gostr34112012-256"/>
        <DigestValue>kW0w4i3SHvcXucfoesh26Sh8ItTTaCLd85yt1NzLMEc=</DigestValue>
      </Reference>
      <Reference URI="/word/charts/colors4.xml?ContentType=application/vnd.ms-office.chartcolorstyle+xml">
        <DigestMethod Algorithm="urn:ietf:params:xml:ns:cpxmlsec:algorithms:gostr34112012-256"/>
        <DigestValue>kW0w4i3SHvcXucfoesh26Sh8ItTTaCLd85yt1NzLMEc=</DigestValue>
      </Reference>
      <Reference URI="/word/charts/colors5.xml?ContentType=application/vnd.ms-office.chartcolorstyle+xml">
        <DigestMethod Algorithm="urn:ietf:params:xml:ns:cpxmlsec:algorithms:gostr34112012-256"/>
        <DigestValue>kW0w4i3SHvcXucfoesh26Sh8ItTTaCLd85yt1NzLMEc=</DigestValue>
      </Reference>
      <Reference URI="/word/charts/colors6.xml?ContentType=application/vnd.ms-office.chartcolorstyle+xml">
        <DigestMethod Algorithm="urn:ietf:params:xml:ns:cpxmlsec:algorithms:gostr34112012-256"/>
        <DigestValue>kW0w4i3SHvcXucfoesh26Sh8ItTTaCLd85yt1NzLMEc=</DigestValue>
      </Reference>
      <Reference URI="/word/charts/colors7.xml?ContentType=application/vnd.ms-office.chartcolorstyle+xml">
        <DigestMethod Algorithm="urn:ietf:params:xml:ns:cpxmlsec:algorithms:gostr34112012-256"/>
        <DigestValue>kW0w4i3SHvcXucfoesh26Sh8ItTTaCLd85yt1NzLMEc=</DigestValue>
      </Reference>
      <Reference URI="/word/charts/colors8.xml?ContentType=application/vnd.ms-office.chartcolorstyle+xml">
        <DigestMethod Algorithm="urn:ietf:params:xml:ns:cpxmlsec:algorithms:gostr34112012-256"/>
        <DigestValue>kW0w4i3SHvcXucfoesh26Sh8ItTTaCLd85yt1NzLMEc=</DigestValue>
      </Reference>
      <Reference URI="/word/charts/colors9.xml?ContentType=application/vnd.ms-office.chartcolorstyle+xml">
        <DigestMethod Algorithm="urn:ietf:params:xml:ns:cpxmlsec:algorithms:gostr34112012-256"/>
        <DigestValue>kW0w4i3SHvcXucfoesh26Sh8ItTTaCLd85yt1NzLMEc=</DigestValue>
      </Reference>
      <Reference URI="/word/charts/style1.xml?ContentType=application/vnd.ms-office.chartstyle+xml">
        <DigestMethod Algorithm="urn:ietf:params:xml:ns:cpxmlsec:algorithms:gostr34112012-256"/>
        <DigestValue>WlZNgq5nmFF4mdMDGA848LgfsFD1CdkNQ/zD77p31D8=</DigestValue>
      </Reference>
      <Reference URI="/word/charts/style10.xml?ContentType=application/vnd.ms-office.chartstyle+xml">
        <DigestMethod Algorithm="urn:ietf:params:xml:ns:cpxmlsec:algorithms:gostr34112012-256"/>
        <DigestValue>3TB32QRZf4dFKKAT9NaTFc1WIhOhF2oYwoETKzxrTbE=</DigestValue>
      </Reference>
      <Reference URI="/word/charts/style11.xml?ContentType=application/vnd.ms-office.chartstyle+xml">
        <DigestMethod Algorithm="urn:ietf:params:xml:ns:cpxmlsec:algorithms:gostr34112012-256"/>
        <DigestValue>oxwgfSdrW4ouhYqtQDsbeqisgIbVi59Z8rAdaSGoevE=</DigestValue>
      </Reference>
      <Reference URI="/word/charts/style12.xml?ContentType=application/vnd.ms-office.chartstyle+xml">
        <DigestMethod Algorithm="urn:ietf:params:xml:ns:cpxmlsec:algorithms:gostr34112012-256"/>
        <DigestValue>3TB32QRZf4dFKKAT9NaTFc1WIhOhF2oYwoETKzxrTbE=</DigestValue>
      </Reference>
      <Reference URI="/word/charts/style13.xml?ContentType=application/vnd.ms-office.chartstyle+xml">
        <DigestMethod Algorithm="urn:ietf:params:xml:ns:cpxmlsec:algorithms:gostr34112012-256"/>
        <DigestValue>DI98d6qY6tVW4IrPaxRn9kP0IzWDD7TMcfPGc5nJnnI=</DigestValue>
      </Reference>
      <Reference URI="/word/charts/style14.xml?ContentType=application/vnd.ms-office.chartstyle+xml">
        <DigestMethod Algorithm="urn:ietf:params:xml:ns:cpxmlsec:algorithms:gostr34112012-256"/>
        <DigestValue>NHGEXRQBs4GhaHdPlMHal66DFANgfUJU8d0/R8EMXBI=</DigestValue>
      </Reference>
      <Reference URI="/word/charts/style15.xml?ContentType=application/vnd.ms-office.chartstyle+xml">
        <DigestMethod Algorithm="urn:ietf:params:xml:ns:cpxmlsec:algorithms:gostr34112012-256"/>
        <DigestValue>eOcen3RMVyWGzfDKHEEfjiwBIXi+iWq8UKB0I2TL6eY=</DigestValue>
      </Reference>
      <Reference URI="/word/charts/style16.xml?ContentType=application/vnd.ms-office.chartstyle+xml">
        <DigestMethod Algorithm="urn:ietf:params:xml:ns:cpxmlsec:algorithms:gostr34112012-256"/>
        <DigestValue>EskxNv9WAzH6/9F4lBNJEV5q560d7GI6ImxA+YsHivE=</DigestValue>
      </Reference>
      <Reference URI="/word/charts/style17.xml?ContentType=application/vnd.ms-office.chartstyle+xml">
        <DigestMethod Algorithm="urn:ietf:params:xml:ns:cpxmlsec:algorithms:gostr34112012-256"/>
        <DigestValue>3TB32QRZf4dFKKAT9NaTFc1WIhOhF2oYwoETKzxrTbE=</DigestValue>
      </Reference>
      <Reference URI="/word/charts/style18.xml?ContentType=application/vnd.ms-office.chartstyle+xml">
        <DigestMethod Algorithm="urn:ietf:params:xml:ns:cpxmlsec:algorithms:gostr34112012-256"/>
        <DigestValue>/xh/56KludipIU+bGTECZ2DH2G3mwX1V7VS63Ypxt78=</DigestValue>
      </Reference>
      <Reference URI="/word/charts/style19.xml?ContentType=application/vnd.ms-office.chartstyle+xml">
        <DigestMethod Algorithm="urn:ietf:params:xml:ns:cpxmlsec:algorithms:gostr34112012-256"/>
        <DigestValue>3TB32QRZf4dFKKAT9NaTFc1WIhOhF2oYwoETKzxrTbE=</DigestValue>
      </Reference>
      <Reference URI="/word/charts/style2.xml?ContentType=application/vnd.ms-office.chartstyle+xml">
        <DigestMethod Algorithm="urn:ietf:params:xml:ns:cpxmlsec:algorithms:gostr34112012-256"/>
        <DigestValue>WlZNgq5nmFF4mdMDGA848LgfsFD1CdkNQ/zD77p31D8=</DigestValue>
      </Reference>
      <Reference URI="/word/charts/style20.xml?ContentType=application/vnd.ms-office.chartstyle+xml">
        <DigestMethod Algorithm="urn:ietf:params:xml:ns:cpxmlsec:algorithms:gostr34112012-256"/>
        <DigestValue>N9mZbMhLym3bB2vPaszD2kRdbI0ji+8a6xEwEpnQDwc=</DigestValue>
      </Reference>
      <Reference URI="/word/charts/style21.xml?ContentType=application/vnd.ms-office.chartstyle+xml">
        <DigestMethod Algorithm="urn:ietf:params:xml:ns:cpxmlsec:algorithms:gostr34112012-256"/>
        <DigestValue>N9mZbMhLym3bB2vPaszD2kRdbI0ji+8a6xEwEpnQDwc=</DigestValue>
      </Reference>
      <Reference URI="/word/charts/style22.xml?ContentType=application/vnd.ms-office.chartstyle+xml">
        <DigestMethod Algorithm="urn:ietf:params:xml:ns:cpxmlsec:algorithms:gostr34112012-256"/>
        <DigestValue>26UCIhnbo4W1slz4DjTCPXMo7Cyidy0mykzr5Jiz/7g=</DigestValue>
      </Reference>
      <Reference URI="/word/charts/style23.xml?ContentType=application/vnd.ms-office.chartstyle+xml">
        <DigestMethod Algorithm="urn:ietf:params:xml:ns:cpxmlsec:algorithms:gostr34112012-256"/>
        <DigestValue>3TB32QRZf4dFKKAT9NaTFc1WIhOhF2oYwoETKzxrTbE=</DigestValue>
      </Reference>
      <Reference URI="/word/charts/style3.xml?ContentType=application/vnd.ms-office.chartstyle+xml">
        <DigestMethod Algorithm="urn:ietf:params:xml:ns:cpxmlsec:algorithms:gostr34112012-256"/>
        <DigestValue>EskxNv9WAzH6/9F4lBNJEV5q560d7GI6ImxA+YsHivE=</DigestValue>
      </Reference>
      <Reference URI="/word/charts/style4.xml?ContentType=application/vnd.ms-office.chartstyle+xml">
        <DigestMethod Algorithm="urn:ietf:params:xml:ns:cpxmlsec:algorithms:gostr34112012-256"/>
        <DigestValue>l7Ms/vAjXVk+Pa6Cylwtuyy8phfD2dRJbkSbddkisBg=</DigestValue>
      </Reference>
      <Reference URI="/word/charts/style5.xml?ContentType=application/vnd.ms-office.chartstyle+xml">
        <DigestMethod Algorithm="urn:ietf:params:xml:ns:cpxmlsec:algorithms:gostr34112012-256"/>
        <DigestValue>ZH3plY/p1czoAovWTpoP30Amna+BEx+SaKTBFRTlMf8=</DigestValue>
      </Reference>
      <Reference URI="/word/charts/style6.xml?ContentType=application/vnd.ms-office.chartstyle+xml">
        <DigestMethod Algorithm="urn:ietf:params:xml:ns:cpxmlsec:algorithms:gostr34112012-256"/>
        <DigestValue>f9X6YrKyTi9iLepMxUnq6IxCbmB/dqteXS113zpJvJk=</DigestValue>
      </Reference>
      <Reference URI="/word/charts/style7.xml?ContentType=application/vnd.ms-office.chartstyle+xml">
        <DigestMethod Algorithm="urn:ietf:params:xml:ns:cpxmlsec:algorithms:gostr34112012-256"/>
        <DigestValue>N3GOwxBUu9/8V38gEm5bpssy5zO1jGueUn4wVvy/pPg=</DigestValue>
      </Reference>
      <Reference URI="/word/charts/style8.xml?ContentType=application/vnd.ms-office.chartstyle+xml">
        <DigestMethod Algorithm="urn:ietf:params:xml:ns:cpxmlsec:algorithms:gostr34112012-256"/>
        <DigestValue>wX1vhfLEfQd2eKMmndYEOf4VNIl+6dtwlrSbQ5BFxzg=</DigestValue>
      </Reference>
      <Reference URI="/word/charts/style9.xml?ContentType=application/vnd.ms-office.chartstyle+xml">
        <DigestMethod Algorithm="urn:ietf:params:xml:ns:cpxmlsec:algorithms:gostr34112012-256"/>
        <DigestValue>3TB32QRZf4dFKKAT9NaTFc1WIhOhF2oYwoETKzxrTbE=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MjBFNo4Ovd2nhqU8hVypSdzV8ACo095q6qzgUrVslpI=</DigestValue>
      </Reference>
      <Reference URI="/word/drawings/drawing1.xml?ContentType=application/vnd.openxmlformats-officedocument.drawingml.chartshapes+xml">
        <DigestMethod Algorithm="urn:ietf:params:xml:ns:cpxmlsec:algorithms:gostr34112012-256"/>
        <DigestValue>VQXoH7eDcvgM3y0YhL9mraTG5rgtFEwLtNKhd+0bhQM=</DigestValue>
      </Reference>
      <Reference URI="/word/embeddings/Microsoft_Excel_Worksheet1.xlsx?ContentType=application/vnd.openxmlformats-officedocument.spreadsheetml.sheet">
        <DigestMethod Algorithm="urn:ietf:params:xml:ns:cpxmlsec:algorithms:gostr34112012-256"/>
        <DigestValue>YsFX9mTT5tOOC/kl+7HNgZpfa/35ve14PGYgQqxXgHE=</DigestValue>
      </Reference>
      <Reference URI="/word/embeddings/Microsoft_Excel_Worksheet10.xlsx?ContentType=application/vnd.openxmlformats-officedocument.spreadsheetml.sheet">
        <DigestMethod Algorithm="urn:ietf:params:xml:ns:cpxmlsec:algorithms:gostr34112012-256"/>
        <DigestValue>2rtVEsjPup/AVNuiNlFmh7o/za1qQPgHhIibhw8QM4Q=</DigestValue>
      </Reference>
      <Reference URI="/word/embeddings/Microsoft_Excel_Worksheet11.xlsx?ContentType=application/vnd.openxmlformats-officedocument.spreadsheetml.sheet">
        <DigestMethod Algorithm="urn:ietf:params:xml:ns:cpxmlsec:algorithms:gostr34112012-256"/>
        <DigestValue>8eI111RhdU6PqcIOmRXIWuiW/XDaOD76ca7HXnzuX3w=</DigestValue>
      </Reference>
      <Reference URI="/word/embeddings/Microsoft_Excel_Worksheet12.xlsx?ContentType=application/vnd.openxmlformats-officedocument.spreadsheetml.sheet">
        <DigestMethod Algorithm="urn:ietf:params:xml:ns:cpxmlsec:algorithms:gostr34112012-256"/>
        <DigestValue>fpvT+qSitTjemJCPOKIIDE7MfAEGFwyNz9lnW07gzio=</DigestValue>
      </Reference>
      <Reference URI="/word/embeddings/Microsoft_Excel_Worksheet13.xlsx?ContentType=application/vnd.openxmlformats-officedocument.spreadsheetml.sheet">
        <DigestMethod Algorithm="urn:ietf:params:xml:ns:cpxmlsec:algorithms:gostr34112012-256"/>
        <DigestValue>KulO2nb4KiDJxXRHUspvYzZseJqPVEB9Fyk+RtjhDGg=</DigestValue>
      </Reference>
      <Reference URI="/word/embeddings/Microsoft_Excel_Worksheet14.xlsx?ContentType=application/vnd.openxmlformats-officedocument.spreadsheetml.sheet">
        <DigestMethod Algorithm="urn:ietf:params:xml:ns:cpxmlsec:algorithms:gostr34112012-256"/>
        <DigestValue>syYndEGu5VxDpDbf9LZYh84CtXmOC6yGpeme0WwiEbk=</DigestValue>
      </Reference>
      <Reference URI="/word/embeddings/Microsoft_Excel_Worksheet15.xlsx?ContentType=application/vnd.openxmlformats-officedocument.spreadsheetml.sheet">
        <DigestMethod Algorithm="urn:ietf:params:xml:ns:cpxmlsec:algorithms:gostr34112012-256"/>
        <DigestValue>67OYFllwVcxHGwE5g3XljZ1Tt43G6sgE/AJOq0Bl+A4=</DigestValue>
      </Reference>
      <Reference URI="/word/embeddings/Microsoft_Excel_Worksheet16.xlsx?ContentType=application/vnd.openxmlformats-officedocument.spreadsheetml.sheet">
        <DigestMethod Algorithm="urn:ietf:params:xml:ns:cpxmlsec:algorithms:gostr34112012-256"/>
        <DigestValue>zd+3aO3DvYTwiR4nDeGcIFEyfqYd93NQKYjH268S6Z0=</DigestValue>
      </Reference>
      <Reference URI="/word/embeddings/Microsoft_Excel_Worksheet17.xlsx?ContentType=application/vnd.openxmlformats-officedocument.spreadsheetml.sheet">
        <DigestMethod Algorithm="urn:ietf:params:xml:ns:cpxmlsec:algorithms:gostr34112012-256"/>
        <DigestValue>3AO+a8x5vtIWbsitoPlr0HHSQKWr45GCTZL7m52ZrO4=</DigestValue>
      </Reference>
      <Reference URI="/word/embeddings/Microsoft_Excel_Worksheet18.xlsx?ContentType=application/vnd.openxmlformats-officedocument.spreadsheetml.sheet">
        <DigestMethod Algorithm="urn:ietf:params:xml:ns:cpxmlsec:algorithms:gostr34112012-256"/>
        <DigestValue>LYVvGDCFvmNSPZYGWNocvzZIzo2h+lvPVBVypNltNQ0=</DigestValue>
      </Reference>
      <Reference URI="/word/embeddings/Microsoft_Excel_Worksheet19.xlsx?ContentType=application/vnd.openxmlformats-officedocument.spreadsheetml.sheet">
        <DigestMethod Algorithm="urn:ietf:params:xml:ns:cpxmlsec:algorithms:gostr34112012-256"/>
        <DigestValue>xplFUI1HTdmgTmyC5UJ2m4fbNw+b78Pq2VPfUd6Id7I=</DigestValue>
      </Reference>
      <Reference URI="/word/embeddings/Microsoft_Excel_Worksheet2.xlsx?ContentType=application/vnd.openxmlformats-officedocument.spreadsheetml.sheet">
        <DigestMethod Algorithm="urn:ietf:params:xml:ns:cpxmlsec:algorithms:gostr34112012-256"/>
        <DigestValue>HKDmqza5PKfZPpCssLV7Tv363bJuBBWQWbDowSU2O2Q=</DigestValue>
      </Reference>
      <Reference URI="/word/embeddings/Microsoft_Excel_Worksheet20.xlsx?ContentType=application/vnd.openxmlformats-officedocument.spreadsheetml.sheet">
        <DigestMethod Algorithm="urn:ietf:params:xml:ns:cpxmlsec:algorithms:gostr34112012-256"/>
        <DigestValue>tTWNaPLH1R1ys+Nhxdx/zzCJz5TeGvcfDGL0P9PB16Y=</DigestValue>
      </Reference>
      <Reference URI="/word/embeddings/Microsoft_Excel_Worksheet21.xlsx?ContentType=application/vnd.openxmlformats-officedocument.spreadsheetml.sheet">
        <DigestMethod Algorithm="urn:ietf:params:xml:ns:cpxmlsec:algorithms:gostr34112012-256"/>
        <DigestValue>XKIEnMZ6p26xagGmt0cPtY6EtYbT5Y4hkRZLoujxjDs=</DigestValue>
      </Reference>
      <Reference URI="/word/embeddings/Microsoft_Excel_Worksheet22.xlsx?ContentType=application/vnd.openxmlformats-officedocument.spreadsheetml.sheet">
        <DigestMethod Algorithm="urn:ietf:params:xml:ns:cpxmlsec:algorithms:gostr34112012-256"/>
        <DigestValue>6jXCH1+vAJiYJlp9AdAB43JI92ypT/zwt9GVCz+PIvE=</DigestValue>
      </Reference>
      <Reference URI="/word/embeddings/Microsoft_Excel_Worksheet23.xlsx?ContentType=application/vnd.openxmlformats-officedocument.spreadsheetml.sheet">
        <DigestMethod Algorithm="urn:ietf:params:xml:ns:cpxmlsec:algorithms:gostr34112012-256"/>
        <DigestValue>g2ZeUsJCnasrMNjgATSg9yefe+zKOgnSspVbkjqUlHk=</DigestValue>
      </Reference>
      <Reference URI="/word/embeddings/Microsoft_Excel_Worksheet24.xlsx?ContentType=application/vnd.openxmlformats-officedocument.spreadsheetml.sheet">
        <DigestMethod Algorithm="urn:ietf:params:xml:ns:cpxmlsec:algorithms:gostr34112012-256"/>
        <DigestValue>ezdGGDM3ErHm2H9SYEIqw1Ae9p5o1CmnKRWWwIlEQzo=</DigestValue>
      </Reference>
      <Reference URI="/word/embeddings/Microsoft_Excel_Worksheet25.xlsx?ContentType=application/vnd.openxmlformats-officedocument.spreadsheetml.sheet">
        <DigestMethod Algorithm="urn:ietf:params:xml:ns:cpxmlsec:algorithms:gostr34112012-256"/>
        <DigestValue>GWHW72jaSlH9N86uWsPF+FzY55s6B81ric+zejePH/Y=</DigestValue>
      </Reference>
      <Reference URI="/word/embeddings/Microsoft_Excel_Worksheet26.xlsx?ContentType=application/vnd.openxmlformats-officedocument.spreadsheetml.sheet">
        <DigestMethod Algorithm="urn:ietf:params:xml:ns:cpxmlsec:algorithms:gostr34112012-256"/>
        <DigestValue>VNyqqOm9PSQAkI6+xqmwpNtZuC31dWMXl2+JqjV/uUQ=</DigestValue>
      </Reference>
      <Reference URI="/word/embeddings/Microsoft_Excel_Worksheet27.xlsx?ContentType=application/vnd.openxmlformats-officedocument.spreadsheetml.sheet">
        <DigestMethod Algorithm="urn:ietf:params:xml:ns:cpxmlsec:algorithms:gostr34112012-256"/>
        <DigestValue>9snhucshW8R665RYGg97ePQkPNbFstfdOASJMoHUXyk=</DigestValue>
      </Reference>
      <Reference URI="/word/embeddings/Microsoft_Excel_Worksheet28.xlsx?ContentType=application/vnd.openxmlformats-officedocument.spreadsheetml.sheet">
        <DigestMethod Algorithm="urn:ietf:params:xml:ns:cpxmlsec:algorithms:gostr34112012-256"/>
        <DigestValue>2dLtyebc68BM8+gP2C63bKr3JBGE/2wjr9eYxSzf6Do=</DigestValue>
      </Reference>
      <Reference URI="/word/embeddings/Microsoft_Excel_Worksheet29.xlsx?ContentType=application/vnd.openxmlformats-officedocument.spreadsheetml.sheet">
        <DigestMethod Algorithm="urn:ietf:params:xml:ns:cpxmlsec:algorithms:gostr34112012-256"/>
        <DigestValue>LNI3KymvNURyaC8ji7c7FqFVoB3DW/y4R3v9huta27U=</DigestValue>
      </Reference>
      <Reference URI="/word/embeddings/Microsoft_Excel_Worksheet3.xlsx?ContentType=application/vnd.openxmlformats-officedocument.spreadsheetml.sheet">
        <DigestMethod Algorithm="urn:ietf:params:xml:ns:cpxmlsec:algorithms:gostr34112012-256"/>
        <DigestValue>Cxik26UMIk08i+WasFPynk4w1jJRQtaQnG+CHR5l+hc=</DigestValue>
      </Reference>
      <Reference URI="/word/embeddings/Microsoft_Excel_Worksheet30.xlsx?ContentType=application/vnd.openxmlformats-officedocument.spreadsheetml.sheet">
        <DigestMethod Algorithm="urn:ietf:params:xml:ns:cpxmlsec:algorithms:gostr34112012-256"/>
        <DigestValue>WRVXS8nbn9BbcIlXIPcP/FiDYa4TERnrULDGXDDD/LI=</DigestValue>
      </Reference>
      <Reference URI="/word/embeddings/Microsoft_Excel_Worksheet31.xlsx?ContentType=application/vnd.openxmlformats-officedocument.spreadsheetml.sheet">
        <DigestMethod Algorithm="urn:ietf:params:xml:ns:cpxmlsec:algorithms:gostr34112012-256"/>
        <DigestValue>1VtjLGws0Z0h9BWxOGL3P1HePexQteWEsAeuf0RggSw=</DigestValue>
      </Reference>
      <Reference URI="/word/embeddings/Microsoft_Excel_Worksheet32.xlsx?ContentType=application/vnd.openxmlformats-officedocument.spreadsheetml.sheet">
        <DigestMethod Algorithm="urn:ietf:params:xml:ns:cpxmlsec:algorithms:gostr34112012-256"/>
        <DigestValue>eyujXUNcl8GVhhGTjGZvnyTvr9NqA9W76lAzUhb9yDI=</DigestValue>
      </Reference>
      <Reference URI="/word/embeddings/Microsoft_Excel_Worksheet33.xlsx?ContentType=application/vnd.openxmlformats-officedocument.spreadsheetml.sheet">
        <DigestMethod Algorithm="urn:ietf:params:xml:ns:cpxmlsec:algorithms:gostr34112012-256"/>
        <DigestValue>Y5GDqnGURwLAmk7hq7JytUL8AGnxbznEDUlf2JSN+2U=</DigestValue>
      </Reference>
      <Reference URI="/word/embeddings/Microsoft_Excel_Worksheet34.xlsx?ContentType=application/vnd.openxmlformats-officedocument.spreadsheetml.sheet">
        <DigestMethod Algorithm="urn:ietf:params:xml:ns:cpxmlsec:algorithms:gostr34112012-256"/>
        <DigestValue>qaSYba2hAsFBIpmYkPcx92li4wP57X58wxAMArlyTrw=</DigestValue>
      </Reference>
      <Reference URI="/word/embeddings/Microsoft_Excel_Worksheet35.xlsx?ContentType=application/vnd.openxmlformats-officedocument.spreadsheetml.sheet">
        <DigestMethod Algorithm="urn:ietf:params:xml:ns:cpxmlsec:algorithms:gostr34112012-256"/>
        <DigestValue>TFqsepWfYp0kBMc7KcjBKfM0Ye3u7IagIYG2PuM4heQ=</DigestValue>
      </Reference>
      <Reference URI="/word/embeddings/Microsoft_Excel_Worksheet36.xlsx?ContentType=application/vnd.openxmlformats-officedocument.spreadsheetml.sheet">
        <DigestMethod Algorithm="urn:ietf:params:xml:ns:cpxmlsec:algorithms:gostr34112012-256"/>
        <DigestValue>bnfTMGwYbdgm4kA4X7vGvEfRD/dWySlfuMroaOd01Kg=</DigestValue>
      </Reference>
      <Reference URI="/word/embeddings/Microsoft_Excel_Worksheet37.xlsx?ContentType=application/vnd.openxmlformats-officedocument.spreadsheetml.sheet">
        <DigestMethod Algorithm="urn:ietf:params:xml:ns:cpxmlsec:algorithms:gostr34112012-256"/>
        <DigestValue>ipNBC2Ay3P8v8r4rYBHlT5c//pOkV2/WG6FSDlAOe/0=</DigestValue>
      </Reference>
      <Reference URI="/word/embeddings/Microsoft_Excel_Worksheet38.xlsx?ContentType=application/vnd.openxmlformats-officedocument.spreadsheetml.sheet">
        <DigestMethod Algorithm="urn:ietf:params:xml:ns:cpxmlsec:algorithms:gostr34112012-256"/>
        <DigestValue>y7MANPsaBEClNfp/EkPyCXg6yuC6vQHPrOJcLSsjCkE=</DigestValue>
      </Reference>
      <Reference URI="/word/embeddings/Microsoft_Excel_Worksheet39.xlsx?ContentType=application/vnd.openxmlformats-officedocument.spreadsheetml.sheet">
        <DigestMethod Algorithm="urn:ietf:params:xml:ns:cpxmlsec:algorithms:gostr34112012-256"/>
        <DigestValue>V7AxB90Uktw8KKqSFikRPcvJuARMhHEI+VaTzIzFkUo=</DigestValue>
      </Reference>
      <Reference URI="/word/embeddings/Microsoft_Excel_Worksheet4.xlsx?ContentType=application/vnd.openxmlformats-officedocument.spreadsheetml.sheet">
        <DigestMethod Algorithm="urn:ietf:params:xml:ns:cpxmlsec:algorithms:gostr34112012-256"/>
        <DigestValue>2BP5F6HQAVCQLzD8t7dSGI/zgD8S0kPVr7q1tQeN0ec=</DigestValue>
      </Reference>
      <Reference URI="/word/embeddings/Microsoft_Excel_Worksheet40.xlsx?ContentType=application/vnd.openxmlformats-officedocument.spreadsheetml.sheet">
        <DigestMethod Algorithm="urn:ietf:params:xml:ns:cpxmlsec:algorithms:gostr34112012-256"/>
        <DigestValue>p05MvCidjcUnSw1i/mPX5Tgp0PcPg/IlVYceNiVnrhY=</DigestValue>
      </Reference>
      <Reference URI="/word/embeddings/Microsoft_Excel_Worksheet41.xlsx?ContentType=application/vnd.openxmlformats-officedocument.spreadsheetml.sheet">
        <DigestMethod Algorithm="urn:ietf:params:xml:ns:cpxmlsec:algorithms:gostr34112012-256"/>
        <DigestValue>SRJ2AqAcNGZd64tRi5p1+vdW9+zbohrBcm63JIT56uw=</DigestValue>
      </Reference>
      <Reference URI="/word/embeddings/Microsoft_Excel_Worksheet42.xlsx?ContentType=application/vnd.openxmlformats-officedocument.spreadsheetml.sheet">
        <DigestMethod Algorithm="urn:ietf:params:xml:ns:cpxmlsec:algorithms:gostr34112012-256"/>
        <DigestValue>IIhVVst7X+G77fFsLD3dH1KhKXsZwPeY9AVuuwSR/ZA=</DigestValue>
      </Reference>
      <Reference URI="/word/embeddings/Microsoft_Excel_Worksheet43.xlsx?ContentType=application/vnd.openxmlformats-officedocument.spreadsheetml.sheet">
        <DigestMethod Algorithm="urn:ietf:params:xml:ns:cpxmlsec:algorithms:gostr34112012-256"/>
        <DigestValue>wFBIC/BDyZIuBUrkpOd8GXvRfd0fmKZYnT81B7xnJpc=</DigestValue>
      </Reference>
      <Reference URI="/word/embeddings/Microsoft_Excel_Worksheet44.xlsx?ContentType=application/vnd.openxmlformats-officedocument.spreadsheetml.sheet">
        <DigestMethod Algorithm="urn:ietf:params:xml:ns:cpxmlsec:algorithms:gostr34112012-256"/>
        <DigestValue>maP9wSTN7ZS0jrKw+CeDeHvgyj5kwRINavAZfx01uVk=</DigestValue>
      </Reference>
      <Reference URI="/word/embeddings/Microsoft_Excel_Worksheet45.xlsx?ContentType=application/vnd.openxmlformats-officedocument.spreadsheetml.sheet">
        <DigestMethod Algorithm="urn:ietf:params:xml:ns:cpxmlsec:algorithms:gostr34112012-256"/>
        <DigestValue>NSBQoUhRflNtK+kFve33qZeL4rtIStfvwfSCV7J826k=</DigestValue>
      </Reference>
      <Reference URI="/word/embeddings/Microsoft_Excel_Worksheet46.xlsx?ContentType=application/vnd.openxmlformats-officedocument.spreadsheetml.sheet">
        <DigestMethod Algorithm="urn:ietf:params:xml:ns:cpxmlsec:algorithms:gostr34112012-256"/>
        <DigestValue>pMpydkx1yfDlhx9jXNCVwhIJIapeZtZBITM8Spzn/fk=</DigestValue>
      </Reference>
      <Reference URI="/word/embeddings/Microsoft_Excel_Worksheet47.xlsx?ContentType=application/vnd.openxmlformats-officedocument.spreadsheetml.sheet">
        <DigestMethod Algorithm="urn:ietf:params:xml:ns:cpxmlsec:algorithms:gostr34112012-256"/>
        <DigestValue>NNkz8D/I2gqNNYnzuF5XocHRRq9h+RS5rL0hcRXJ2UM=</DigestValue>
      </Reference>
      <Reference URI="/word/embeddings/Microsoft_Excel_Worksheet48.xlsx?ContentType=application/vnd.openxmlformats-officedocument.spreadsheetml.sheet">
        <DigestMethod Algorithm="urn:ietf:params:xml:ns:cpxmlsec:algorithms:gostr34112012-256"/>
        <DigestValue>dWzjDzC/z7e9oRk3SSC+PidHPgXLG1CWIBelIRrgvHo=</DigestValue>
      </Reference>
      <Reference URI="/word/embeddings/Microsoft_Excel_Worksheet49.xlsx?ContentType=application/vnd.openxmlformats-officedocument.spreadsheetml.sheet">
        <DigestMethod Algorithm="urn:ietf:params:xml:ns:cpxmlsec:algorithms:gostr34112012-256"/>
        <DigestValue>VwYtGxcL8Qzc+eKNZ5eqRyEHXXm2N+O4/HtOOVdC9GY=</DigestValue>
      </Reference>
      <Reference URI="/word/embeddings/Microsoft_Excel_Worksheet5.xlsx?ContentType=application/vnd.openxmlformats-officedocument.spreadsheetml.sheet">
        <DigestMethod Algorithm="urn:ietf:params:xml:ns:cpxmlsec:algorithms:gostr34112012-256"/>
        <DigestValue>E7SR4T26yTMlmlNSeDAhtFwv4wKqrlwQVf/+9euExgg=</DigestValue>
      </Reference>
      <Reference URI="/word/embeddings/Microsoft_Excel_Worksheet50.xlsx?ContentType=application/vnd.openxmlformats-officedocument.spreadsheetml.sheet">
        <DigestMethod Algorithm="urn:ietf:params:xml:ns:cpxmlsec:algorithms:gostr34112012-256"/>
        <DigestValue>VT7mlXu4EgILtyQ8H3iHzJ8r2yvq1uk+zoTfiiOz5Uk=</DigestValue>
      </Reference>
      <Reference URI="/word/embeddings/Microsoft_Excel_Worksheet51.xlsx?ContentType=application/vnd.openxmlformats-officedocument.spreadsheetml.sheet">
        <DigestMethod Algorithm="urn:ietf:params:xml:ns:cpxmlsec:algorithms:gostr34112012-256"/>
        <DigestValue>MFACaGTSaTCrsNwNROrrYP/jCtcRxWihQQaYUiKfBQU=</DigestValue>
      </Reference>
      <Reference URI="/word/embeddings/Microsoft_Excel_Worksheet52.xlsx?ContentType=application/vnd.openxmlformats-officedocument.spreadsheetml.sheet">
        <DigestMethod Algorithm="urn:ietf:params:xml:ns:cpxmlsec:algorithms:gostr34112012-256"/>
        <DigestValue>wcaw6tffnzP21GgefwxeB2QLD8yi3lHIrB175b+oldk=</DigestValue>
      </Reference>
      <Reference URI="/word/embeddings/Microsoft_Excel_Worksheet53.xlsx?ContentType=application/vnd.openxmlformats-officedocument.spreadsheetml.sheet">
        <DigestMethod Algorithm="urn:ietf:params:xml:ns:cpxmlsec:algorithms:gostr34112012-256"/>
        <DigestValue>mXyn++XA4hMrdVW6PgpY2sqRvbKw6FwNU7rFGIlWyOQ=</DigestValue>
      </Reference>
      <Reference URI="/word/embeddings/Microsoft_Excel_Worksheet54.xlsx?ContentType=application/vnd.openxmlformats-officedocument.spreadsheetml.sheet">
        <DigestMethod Algorithm="urn:ietf:params:xml:ns:cpxmlsec:algorithms:gostr34112012-256"/>
        <DigestValue>p9Arpm+ry/f4J+OuXY05ZiuHE7KJebTo70tgK5TufaY=</DigestValue>
      </Reference>
      <Reference URI="/word/embeddings/Microsoft_Excel_Worksheet55.xlsx?ContentType=application/vnd.openxmlformats-officedocument.spreadsheetml.sheet">
        <DigestMethod Algorithm="urn:ietf:params:xml:ns:cpxmlsec:algorithms:gostr34112012-256"/>
        <DigestValue>whOts6kZvTye7ThyxlB6QvZfcmetQ02DGPGFjlCo+T4=</DigestValue>
      </Reference>
      <Reference URI="/word/embeddings/Microsoft_Excel_Worksheet56.xlsx?ContentType=application/vnd.openxmlformats-officedocument.spreadsheetml.sheet">
        <DigestMethod Algorithm="urn:ietf:params:xml:ns:cpxmlsec:algorithms:gostr34112012-256"/>
        <DigestValue>guK96aPk+fEjqhqBJx7X7BGxn66cW/bbFVMljYYhI38=</DigestValue>
      </Reference>
      <Reference URI="/word/embeddings/Microsoft_Excel_Worksheet57.xlsx?ContentType=application/vnd.openxmlformats-officedocument.spreadsheetml.sheet">
        <DigestMethod Algorithm="urn:ietf:params:xml:ns:cpxmlsec:algorithms:gostr34112012-256"/>
        <DigestValue>U1Napoy1nbvoRjlQjCZrPZoHCpoDDPhHDYuayOULAe0=</DigestValue>
      </Reference>
      <Reference URI="/word/embeddings/Microsoft_Excel_Worksheet58.xlsx?ContentType=application/vnd.openxmlformats-officedocument.spreadsheetml.sheet">
        <DigestMethod Algorithm="urn:ietf:params:xml:ns:cpxmlsec:algorithms:gostr34112012-256"/>
        <DigestValue>OM4cmwjVv9WJFamUX3z4mT+qaJ9DTY9aoF6NCHhCX/U=</DigestValue>
      </Reference>
      <Reference URI="/word/embeddings/Microsoft_Excel_Worksheet59.xlsx?ContentType=application/vnd.openxmlformats-officedocument.spreadsheetml.sheet">
        <DigestMethod Algorithm="urn:ietf:params:xml:ns:cpxmlsec:algorithms:gostr34112012-256"/>
        <DigestValue>HTN0E5j9NpxUcV4X7okZ+U2MfwvxPnNLWjjXpTShVt8=</DigestValue>
      </Reference>
      <Reference URI="/word/embeddings/Microsoft_Excel_Worksheet6.xlsx?ContentType=application/vnd.openxmlformats-officedocument.spreadsheetml.sheet">
        <DigestMethod Algorithm="urn:ietf:params:xml:ns:cpxmlsec:algorithms:gostr34112012-256"/>
        <DigestValue>bzd4vHsKnu9nGlJbXGb5HJb9hNe0F/wiXnw9zGRU8JU=</DigestValue>
      </Reference>
      <Reference URI="/word/embeddings/Microsoft_Excel_Worksheet60.xlsx?ContentType=application/vnd.openxmlformats-officedocument.spreadsheetml.sheet">
        <DigestMethod Algorithm="urn:ietf:params:xml:ns:cpxmlsec:algorithms:gostr34112012-256"/>
        <DigestValue>6BQQF6AVMQ7ldKOAWkqbjcoc39AWN03omHL4fkUv9OI=</DigestValue>
      </Reference>
      <Reference URI="/word/embeddings/Microsoft_Excel_Worksheet61.xlsx?ContentType=application/vnd.openxmlformats-officedocument.spreadsheetml.sheet">
        <DigestMethod Algorithm="urn:ietf:params:xml:ns:cpxmlsec:algorithms:gostr34112012-256"/>
        <DigestValue>OtB3pyMDROblVCPKcP3TloqmYFGDp5M71WYm6rLmx8I=</DigestValue>
      </Reference>
      <Reference URI="/word/embeddings/Microsoft_Excel_Worksheet62.xlsx?ContentType=application/vnd.openxmlformats-officedocument.spreadsheetml.sheet">
        <DigestMethod Algorithm="urn:ietf:params:xml:ns:cpxmlsec:algorithms:gostr34112012-256"/>
        <DigestValue>GFzPKKSLPFtfY5DTnKWOXI9in7WjxjJHgIsLx9iQPf8=</DigestValue>
      </Reference>
      <Reference URI="/word/embeddings/Microsoft_Excel_Worksheet63.xlsx?ContentType=application/vnd.openxmlformats-officedocument.spreadsheetml.sheet">
        <DigestMethod Algorithm="urn:ietf:params:xml:ns:cpxmlsec:algorithms:gostr34112012-256"/>
        <DigestValue>sNSlVyMapNo9y2ikOYG4DJ82HJjRRllWfF87GN6KQNo=</DigestValue>
      </Reference>
      <Reference URI="/word/embeddings/Microsoft_Excel_Worksheet64.xlsx?ContentType=application/vnd.openxmlformats-officedocument.spreadsheetml.sheet">
        <DigestMethod Algorithm="urn:ietf:params:xml:ns:cpxmlsec:algorithms:gostr34112012-256"/>
        <DigestValue>YGeduvDP7l1CXSw7M1e4mFsn6l0f8xYwEc3p7pf37z4=</DigestValue>
      </Reference>
      <Reference URI="/word/embeddings/Microsoft_Excel_Worksheet65.xlsx?ContentType=application/vnd.openxmlformats-officedocument.spreadsheetml.sheet">
        <DigestMethod Algorithm="urn:ietf:params:xml:ns:cpxmlsec:algorithms:gostr34112012-256"/>
        <DigestValue>N3oXI4T1mUnaTX7s1orF1Z+Jqqmgegv+bXsIUID1iJA=</DigestValue>
      </Reference>
      <Reference URI="/word/embeddings/Microsoft_Excel_Worksheet66.xlsx?ContentType=application/vnd.openxmlformats-officedocument.spreadsheetml.sheet">
        <DigestMethod Algorithm="urn:ietf:params:xml:ns:cpxmlsec:algorithms:gostr34112012-256"/>
        <DigestValue>a6x3uxnBXJkhcY+NovN4kSaTPgP6n3lqbkPikpM785I=</DigestValue>
      </Reference>
      <Reference URI="/word/embeddings/Microsoft_Excel_Worksheet67.xlsx?ContentType=application/vnd.openxmlformats-officedocument.spreadsheetml.sheet">
        <DigestMethod Algorithm="urn:ietf:params:xml:ns:cpxmlsec:algorithms:gostr34112012-256"/>
        <DigestValue>49rrwRStgR2PBiHPrmML4rnn0lvainKfaAlV8q7Tzks=</DigestValue>
      </Reference>
      <Reference URI="/word/embeddings/Microsoft_Excel_Worksheet68.xlsx?ContentType=application/vnd.openxmlformats-officedocument.spreadsheetml.sheet">
        <DigestMethod Algorithm="urn:ietf:params:xml:ns:cpxmlsec:algorithms:gostr34112012-256"/>
        <DigestValue>LNqJ6MF077/rs/ftqLxDjvqy5TN+/Gwp1fL28iLzRs4=</DigestValue>
      </Reference>
      <Reference URI="/word/embeddings/Microsoft_Excel_Worksheet69.xlsx?ContentType=application/vnd.openxmlformats-officedocument.spreadsheetml.sheet">
        <DigestMethod Algorithm="urn:ietf:params:xml:ns:cpxmlsec:algorithms:gostr34112012-256"/>
        <DigestValue>UMtWyqD4g/OecbzyHwR2Dkn23X8pHj9s5uJVBna/NaA=</DigestValue>
      </Reference>
      <Reference URI="/word/embeddings/Microsoft_Excel_Worksheet7.xlsx?ContentType=application/vnd.openxmlformats-officedocument.spreadsheetml.sheet">
        <DigestMethod Algorithm="urn:ietf:params:xml:ns:cpxmlsec:algorithms:gostr34112012-256"/>
        <DigestValue>FzZeNr/Xem3NnMV+/fYNKb4g8JubrLBFW+r+3W/4C2g=</DigestValue>
      </Reference>
      <Reference URI="/word/embeddings/Microsoft_Excel_Worksheet70.xlsx?ContentType=application/vnd.openxmlformats-officedocument.spreadsheetml.sheet">
        <DigestMethod Algorithm="urn:ietf:params:xml:ns:cpxmlsec:algorithms:gostr34112012-256"/>
        <DigestValue>vR4JQuNjyQKnUZQJxGa6ehYGW2i9OD6Da4i54eOZq2w=</DigestValue>
      </Reference>
      <Reference URI="/word/embeddings/Microsoft_Excel_Worksheet71.xlsx?ContentType=application/vnd.openxmlformats-officedocument.spreadsheetml.sheet">
        <DigestMethod Algorithm="urn:ietf:params:xml:ns:cpxmlsec:algorithms:gostr34112012-256"/>
        <DigestValue>u+fdJxqkRkWlMmmS8Oufc8acEEWRFgaFhGwpSrFqskQ=</DigestValue>
      </Reference>
      <Reference URI="/word/embeddings/Microsoft_Excel_Worksheet72.xlsx?ContentType=application/vnd.openxmlformats-officedocument.spreadsheetml.sheet">
        <DigestMethod Algorithm="urn:ietf:params:xml:ns:cpxmlsec:algorithms:gostr34112012-256"/>
        <DigestValue>mQcxYNGWgfPglOn21leq6k3QHXf9xXT0qYWC/Po4rp8=</DigestValue>
      </Reference>
      <Reference URI="/word/embeddings/Microsoft_Excel_Worksheet73.xlsx?ContentType=application/vnd.openxmlformats-officedocument.spreadsheetml.sheet">
        <DigestMethod Algorithm="urn:ietf:params:xml:ns:cpxmlsec:algorithms:gostr34112012-256"/>
        <DigestValue>X42WdDaRk7DmA+zb31fCVv8Pk+nYqLTE3YS63RPK7nc=</DigestValue>
      </Reference>
      <Reference URI="/word/embeddings/Microsoft_Excel_Worksheet74.xlsx?ContentType=application/vnd.openxmlformats-officedocument.spreadsheetml.sheet">
        <DigestMethod Algorithm="urn:ietf:params:xml:ns:cpxmlsec:algorithms:gostr34112012-256"/>
        <DigestValue>Gjx0tsSxbjuoaKtWFvXTnWvghXHMtZn9C9X4FCH8rpo=</DigestValue>
      </Reference>
      <Reference URI="/word/embeddings/Microsoft_Excel_Worksheet75.xlsx?ContentType=application/vnd.openxmlformats-officedocument.spreadsheetml.sheet">
        <DigestMethod Algorithm="urn:ietf:params:xml:ns:cpxmlsec:algorithms:gostr34112012-256"/>
        <DigestValue>G9IWI6Ddpqje7y7PmybRhksJgmyyuocidAhryfhqEdI=</DigestValue>
      </Reference>
      <Reference URI="/word/embeddings/Microsoft_Excel_Worksheet76.xlsx?ContentType=application/vnd.openxmlformats-officedocument.spreadsheetml.sheet">
        <DigestMethod Algorithm="urn:ietf:params:xml:ns:cpxmlsec:algorithms:gostr34112012-256"/>
        <DigestValue>fsgAd6Mk0dwalTHdBfPVPjyDO7/yyMQvxOcS5aNzy7k=</DigestValue>
      </Reference>
      <Reference URI="/word/embeddings/Microsoft_Excel_Worksheet77.xlsx?ContentType=application/vnd.openxmlformats-officedocument.spreadsheetml.sheet">
        <DigestMethod Algorithm="urn:ietf:params:xml:ns:cpxmlsec:algorithms:gostr34112012-256"/>
        <DigestValue>ce8Yw3vbrK7xckZSc+0J/YVor1dpxggAfaBH+wyo8iE=</DigestValue>
      </Reference>
      <Reference URI="/word/embeddings/Microsoft_Excel_Worksheet78.xlsx?ContentType=application/vnd.openxmlformats-officedocument.spreadsheetml.sheet">
        <DigestMethod Algorithm="urn:ietf:params:xml:ns:cpxmlsec:algorithms:gostr34112012-256"/>
        <DigestValue>snjLZBFCBCpwJDuOP9Q/6e3Mm06EXKAb6/vp1WSQ1NY=</DigestValue>
      </Reference>
      <Reference URI="/word/embeddings/Microsoft_Excel_Worksheet79.xlsx?ContentType=application/vnd.openxmlformats-officedocument.spreadsheetml.sheet">
        <DigestMethod Algorithm="urn:ietf:params:xml:ns:cpxmlsec:algorithms:gostr34112012-256"/>
        <DigestValue>jCL+k5QfxjB06n0IvC8ktnq1nOPJzGrdkJtIAnPV5Cg=</DigestValue>
      </Reference>
      <Reference URI="/word/embeddings/Microsoft_Excel_Worksheet8.xlsx?ContentType=application/vnd.openxmlformats-officedocument.spreadsheetml.sheet">
        <DigestMethod Algorithm="urn:ietf:params:xml:ns:cpxmlsec:algorithms:gostr34112012-256"/>
        <DigestValue>Ulv59FpXV0v6/q2/qeK1Yg9ArrOjxjLIj66gGW7YzKs=</DigestValue>
      </Reference>
      <Reference URI="/word/embeddings/Microsoft_Excel_Worksheet80.xlsx?ContentType=application/vnd.openxmlformats-officedocument.spreadsheetml.sheet">
        <DigestMethod Algorithm="urn:ietf:params:xml:ns:cpxmlsec:algorithms:gostr34112012-256"/>
        <DigestValue>LhcgUUrXeTzWE23BVJEivceJlQ1J+I8/lIMIttqx9Rk=</DigestValue>
      </Reference>
      <Reference URI="/word/embeddings/Microsoft_Excel_Worksheet81.xlsx?ContentType=application/vnd.openxmlformats-officedocument.spreadsheetml.sheet">
        <DigestMethod Algorithm="urn:ietf:params:xml:ns:cpxmlsec:algorithms:gostr34112012-256"/>
        <DigestValue>R7DWoNAe8dS1Xpn+vn1waLvbF1+wNiI7kR/AxnvTRF8=</DigestValue>
      </Reference>
      <Reference URI="/word/embeddings/Microsoft_Excel_Worksheet82.xlsx?ContentType=application/vnd.openxmlformats-officedocument.spreadsheetml.sheet">
        <DigestMethod Algorithm="urn:ietf:params:xml:ns:cpxmlsec:algorithms:gostr34112012-256"/>
        <DigestValue>JbegJCFB+KeyneYXE9NILx+Er+kKrTlKRFIYqqRWGO4=</DigestValue>
      </Reference>
      <Reference URI="/word/embeddings/Microsoft_Excel_Worksheet83.xlsx?ContentType=application/vnd.openxmlformats-officedocument.spreadsheetml.sheet">
        <DigestMethod Algorithm="urn:ietf:params:xml:ns:cpxmlsec:algorithms:gostr34112012-256"/>
        <DigestValue>XNPYWSI7sHNeODCybYlTZsPVucNJfG8fLuEYiApDwvA=</DigestValue>
      </Reference>
      <Reference URI="/word/embeddings/Microsoft_Excel_Worksheet9.xlsx?ContentType=application/vnd.openxmlformats-officedocument.spreadsheetml.sheet">
        <DigestMethod Algorithm="urn:ietf:params:xml:ns:cpxmlsec:algorithms:gostr34112012-256"/>
        <DigestValue>RV2t/myuuOScnI0Dpj/CqUlG7I3cKstQ/ck5oOfrF4M=</DigestValue>
      </Reference>
      <Reference URI="/word/embeddings/oleObject1.bin?ContentType=application/vnd.openxmlformats-officedocument.oleObject">
        <DigestMethod Algorithm="urn:ietf:params:xml:ns:cpxmlsec:algorithms:gostr34112012-256"/>
        <DigestValue>P1OaIT6XyALMIp1HTGqjKoJaNgsqkzqUn9klII2c4bs=</DigestValue>
      </Reference>
      <Reference URI="/word/endnotes.xml?ContentType=application/vnd.openxmlformats-officedocument.wordprocessingml.endnotes+xml">
        <DigestMethod Algorithm="urn:ietf:params:xml:ns:cpxmlsec:algorithms:gostr34112012-256"/>
        <DigestValue>1q8ktL1dhmf2ytbZkbAXzwSGwI/Re0nANvuFi1WtKRk=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8zypArKj17getIXFkX8N0TQ8UPks4VbHZ4+3RSR0yd0=</DigestValue>
      </Reference>
      <Reference URI="/word/footer1.xml?ContentType=application/vnd.openxmlformats-officedocument.wordprocessingml.footer+xml">
        <DigestMethod Algorithm="urn:ietf:params:xml:ns:cpxmlsec:algorithms:gostr34112012-256"/>
        <DigestValue>ZzDgQvROCpkdika4ZAS+r+2HS+0D9BUvnE4dgqOK+Ac=</DigestValue>
      </Reference>
      <Reference URI="/word/footnotes.xml?ContentType=application/vnd.openxmlformats-officedocument.wordprocessingml.footnotes+xml">
        <DigestMethod Algorithm="urn:ietf:params:xml:ns:cpxmlsec:algorithms:gostr34112012-256"/>
        <DigestValue>Nv0+KxRUIQTwpu2T7n6YsNHlqH71FYzhXnd6l5qm+m8=</DigestValue>
      </Reference>
      <Reference URI="/word/glossary/document.xml?ContentType=application/vnd.openxmlformats-officedocument.wordprocessingml.document.glossary+xml">
        <DigestMethod Algorithm="urn:ietf:params:xml:ns:cpxmlsec:algorithms:gostr34112012-256"/>
        <DigestValue>qd+4YsgF9iHeGBUDjYeWbdxotRVbL9bCext89BQ9r98=</DigestValue>
      </Reference>
      <Reference URI="/word/glossary/endnotes.xml?ContentType=application/vnd.openxmlformats-officedocument.wordprocessingml.endnotes+xml">
        <DigestMethod Algorithm="urn:ietf:params:xml:ns:cpxmlsec:algorithms:gostr34112012-256"/>
        <DigestValue>1q8ktL1dhmf2ytbZkbAXzwSGwI/Re0nANvuFi1WtKRk=</DigestValue>
      </Reference>
      <Reference URI="/word/glossary/fontTable.xml?ContentType=application/vnd.openxmlformats-officedocument.wordprocessingml.fontTable+xml">
        <DigestMethod Algorithm="urn:ietf:params:xml:ns:cpxmlsec:algorithms:gostr34112012-256"/>
        <DigestValue>HLAvDl9Tb9bKsf/OmCSM0K7QXZ7LV4Twqu+OdKstGQw=</DigestValue>
      </Reference>
      <Reference URI="/word/glossary/footnotes.xml?ContentType=application/vnd.openxmlformats-officedocument.wordprocessingml.footnotes+xml">
        <DigestMethod Algorithm="urn:ietf:params:xml:ns:cpxmlsec:algorithms:gostr34112012-256"/>
        <DigestValue>3ZhkU7TL5OnRWB2wxPxdzocPUBQcTgPyaYOn9KMV7LE=</DigestValue>
      </Reference>
      <Reference URI="/word/glossary/settings.xml?ContentType=application/vnd.openxmlformats-officedocument.wordprocessingml.settings+xml">
        <DigestMethod Algorithm="urn:ietf:params:xml:ns:cpxmlsec:algorithms:gostr34112012-256"/>
        <DigestValue>lnIBArQRTRuqAkrPXzll4AQ+gRZy2wBcHp6ImzjQCeI=</DigestValue>
      </Reference>
      <Reference URI="/word/glossary/styles.xml?ContentType=application/vnd.openxmlformats-officedocument.wordprocessingml.styles+xml">
        <DigestMethod Algorithm="urn:ietf:params:xml:ns:cpxmlsec:algorithms:gostr34112012-256"/>
        <DigestValue>b9N0elIEvsbPtyvgFzmEZrlZVXysSZjXm34+z0rJWjE=</DigestValue>
      </Reference>
      <Reference URI="/word/glossary/webSettings.xml?ContentType=application/vnd.openxmlformats-officedocument.wordprocessingml.webSettings+xml">
        <DigestMethod Algorithm="urn:ietf:params:xml:ns:cpxmlsec:algorithms:gostr34112012-256"/>
        <DigestValue>+00KH4H8jt+6mrwwnP06N4kDmIzzv4lqAUJMdnjSb7M=</DigestValue>
      </Reference>
      <Reference URI="/word/header1.xml?ContentType=application/vnd.openxmlformats-officedocument.wordprocessingml.header+xml">
        <DigestMethod Algorithm="urn:ietf:params:xml:ns:cpxmlsec:algorithms:gostr34112012-256"/>
        <DigestValue>V1UdhIcL6o/o3K7YKQyFUBKDXel1FZv1aPf1dceemu4=</DigestValue>
      </Reference>
      <Reference URI="/word/header2.xml?ContentType=application/vnd.openxmlformats-officedocument.wordprocessingml.header+xml">
        <DigestMethod Algorithm="urn:ietf:params:xml:ns:cpxmlsec:algorithms:gostr34112012-256"/>
        <DigestValue>ofxza372jWVZ/SEx5oth98k2hJz4ZXXiiPin3f0P2zQ=</DigestValue>
      </Reference>
      <Reference URI="/word/media/image1.png?ContentType=image/png">
        <DigestMethod Algorithm="urn:ietf:params:xml:ns:cpxmlsec:algorithms:gostr34112012-256"/>
        <DigestValue>O9+D266eskIXcL/d/G1nD6het94Lr/jg/g+QtZdCWFo=</DigestValue>
      </Reference>
      <Reference URI="/word/numbering.xml?ContentType=application/vnd.openxmlformats-officedocument.wordprocessingml.numbering+xml">
        <DigestMethod Algorithm="urn:ietf:params:xml:ns:cpxmlsec:algorithms:gostr34112012-256"/>
        <DigestValue>caZpTwRpP9Rks+TJCMYfoNujAzDvHoKJHVeM94RXiqg=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GMJcqRyECkiba6q7PP71hbixMk/qXKmT4ErQdac3gTE=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m5B/IKyZDwoc8+4BpYtHsjIHrQb4JQZj6wxineEse+4=</DigestValue>
      </Reference>
      <Reference URI="/word/theme/theme1.xml?ContentType=application/vnd.openxmlformats-officedocument.theme+xml">
        <DigestMethod Algorithm="urn:ietf:params:xml:ns:cpxmlsec:algorithms:gostr34112012-256"/>
        <DigestValue>BOH5V5FSOu8IARDuwS1dOHs1tmkcVzJ210DuDBeQ7oE=</DigestValue>
      </Reference>
      <Reference URI="/word/theme/themeOverride1.xml?ContentType=application/vnd.openxmlformats-officedocument.themeOverride+xml">
        <DigestMethod Algorithm="urn:ietf:params:xml:ns:cpxmlsec:algorithms:gostr34112012-256"/>
        <DigestValue>S8hBQ07wyMuzp/5ut5GVKXb+P7J/9hsFa9/mHGzYep8=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+00KH4H8jt+6mrwwnP06N4kDmIzzv4lqAUJMdnjSb7M=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2024-04-26T11:41:20Z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2</Monitors>
          <HorizontalResolution>1680</HorizontalResolution>
          <VerticalResolution>1050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2024-04-26T11:41:20Z</xd:SigningTime>
          <xd:SigningCertificate>
            <xd:Cert>
              <xd:CertDigest>
                <DigestMethod Algorithm="urn:ietf:params:xml:ns:cpxmlsec:algorithms:gostr34112012-256"/>
                <DigestValue>xy3L4d1v6Xl2MMdGMfAB4ThegDDlDeO9Zg2WnUNjnRI=</DigestValue>
              </xd:CertDigest>
              <xd:IssuerSerial>
                <X509IssuerName>CN=Казначейство России</X509IssuerName>
                <X509SerialNumber>179509510891216411490764911089196706551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282</cp:revision>
  <dcterms:modified xsi:type="dcterms:W3CDTF">2024-04-26T05:51:07Z</dcterms:modified>
</cp:coreProperties>
</file>