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 w:right="112" w:firstLine="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Приложение 1</w:t>
      </w:r>
      <w:r/>
    </w:p>
    <w:p>
      <w:pPr>
        <w:contextualSpacing/>
        <w:ind w:left="5954" w:right="112" w:firstLine="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 составу аукционной документации, утвержденной приказом Департамента имущественных и жилищных отношений Администрации города Новый Уренгой</w:t>
      </w:r>
      <w:r/>
    </w:p>
    <w:p>
      <w:pPr>
        <w:contextualSpacing/>
        <w:ind w:left="4956" w:right="112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от </w:t>
      </w:r>
      <w:r>
        <w:rPr>
          <w:rFonts w:ascii="Liberation Serif" w:hAnsi="Liberation Serif"/>
          <w:sz w:val="26"/>
          <w:szCs w:val="26"/>
          <w:u w:val="single"/>
        </w:rPr>
        <w:t xml:space="preserve">19.01.2024 </w:t>
      </w:r>
      <w:r>
        <w:rPr>
          <w:rFonts w:ascii="Liberation Serif" w:hAnsi="Liberation Serif"/>
          <w:sz w:val="26"/>
          <w:szCs w:val="26"/>
        </w:rPr>
        <w:t xml:space="preserve">  №  </w:t>
      </w:r>
      <w:r>
        <w:rPr>
          <w:rFonts w:ascii="Liberation Serif" w:hAnsi="Liberation Serif"/>
          <w:sz w:val="26"/>
          <w:szCs w:val="26"/>
          <w:u w:val="single"/>
        </w:rPr>
        <w:t xml:space="preserve">27</w:t>
      </w:r>
      <w:r/>
    </w:p>
    <w:p>
      <w:pPr>
        <w:contextualSpacing/>
        <w:ind w:left="5954" w:right="112"/>
        <w:jc w:val="center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right="112"/>
        <w:jc w:val="center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right="112"/>
        <w:jc w:val="center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right="112" w:firstLine="0"/>
        <w:jc w:val="center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Информационное сообщение № 1-2024/ЭС</w:t>
      </w:r>
      <w:r/>
    </w:p>
    <w:p>
      <w:pPr>
        <w:contextualSpacing/>
        <w:ind w:right="112" w:firstLine="0"/>
        <w:jc w:val="center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 проведении специализированного аукциона в электронной форме по продаже акций, находящихся в собственности муниципального образования город                   Новый Уренгой </w:t>
      </w:r>
      <w:r/>
    </w:p>
    <w:p>
      <w:pPr>
        <w:contextualSpacing/>
        <w:jc w:val="center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Аукцион проводится на электронной площадке «Сбербанк-АСТ», размещенной                  на сайте </w:t>
      </w:r>
      <w:hyperlink r:id="rId11" w:tooltip="http://utp.sberbank-ast.ru" w:history="1">
        <w:r>
          <w:rPr>
            <w:rFonts w:ascii="Liberation Serif" w:hAnsi="Liberation Serif"/>
            <w:bCs/>
            <w:color w:val="000000"/>
            <w:sz w:val="26"/>
            <w:szCs w:val="26"/>
            <w:u w:val="single"/>
            <w:lang w:val="en-US"/>
          </w:rPr>
          <w:t xml:space="preserve">http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</w:rPr>
          <w:t xml:space="preserve">://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  <w:lang w:val="en-US"/>
          </w:rPr>
          <w:t xml:space="preserve">utp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</w:rPr>
          <w:t xml:space="preserve">.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  <w:lang w:val="en-US"/>
          </w:rPr>
          <w:t xml:space="preserve">sberbank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</w:rPr>
          <w:t xml:space="preserve">-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  <w:lang w:val="en-US"/>
          </w:rPr>
          <w:t xml:space="preserve">ast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</w:rPr>
          <w:t xml:space="preserve">.</w:t>
        </w:r>
        <w:r>
          <w:rPr>
            <w:rFonts w:ascii="Liberation Serif" w:hAnsi="Liberation Serif"/>
            <w:bCs/>
            <w:color w:val="000000"/>
            <w:sz w:val="26"/>
            <w:szCs w:val="26"/>
            <w:u w:val="single"/>
            <w:lang w:val="en-US"/>
          </w:rPr>
          <w:t xml:space="preserve">ru</w:t>
        </w:r>
      </w:hyperlink>
      <w:r>
        <w:rPr>
          <w:rFonts w:ascii="Liberation Serif" w:hAnsi="Liberation Serif"/>
          <w:bCs/>
          <w:color w:val="000000"/>
          <w:sz w:val="26"/>
          <w:szCs w:val="26"/>
          <w:u w:val="single"/>
        </w:rPr>
        <w:t xml:space="preserve"> (торговая секция «Приватизация, аренда и продажа прав»)</w:t>
      </w:r>
      <w:r>
        <w:rPr>
          <w:rFonts w:ascii="Liberation Serif" w:hAnsi="Liberation Serif"/>
          <w:bCs/>
          <w:sz w:val="26"/>
          <w:szCs w:val="26"/>
        </w:rPr>
        <w:t xml:space="preserve"> в сети Интернет, в соответствии с Федеральным законом 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                           </w:t>
      </w:r>
      <w:r>
        <w:rPr>
          <w:rFonts w:ascii="Liberation Serif" w:hAnsi="Liberation Serif"/>
          <w:bCs/>
          <w:sz w:val="26"/>
          <w:szCs w:val="26"/>
        </w:rPr>
        <w:t xml:space="preserve">        и проведении продажи государственного или муниципального имущества в электронной форме», решением Городской Думы муниципального образования город Новый Уренгой от 23.11.2022 № 178 (в ред. от 25.05.2023 № 234) «Об утверждении Прогнозного плана (прог</w:t>
      </w:r>
      <w:r>
        <w:rPr>
          <w:rFonts w:ascii="Liberation Serif" w:hAnsi="Liberation Serif"/>
          <w:bCs/>
          <w:sz w:val="26"/>
          <w:szCs w:val="26"/>
        </w:rPr>
        <w:t xml:space="preserve">раммы) приватизации имущества муниципального образования город Новый Уренгой на 2023-2025 годы), постановлением  Администрации города Новый Уренгой от 21.12.2023 № 601 «Об утверждении условий приватизации», регламентом электронной площадки «Сбербанк-АСТ». </w:t>
      </w:r>
      <w:r/>
    </w:p>
    <w:p>
      <w:pPr>
        <w:contextualSpacing/>
        <w:ind w:right="112" w:firstLine="720"/>
        <w:spacing w:line="240" w:lineRule="auto"/>
        <w:tabs>
          <w:tab w:val="left" w:pos="567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 </w:t>
      </w:r>
      <w:r>
        <w:rPr>
          <w:rFonts w:ascii="Liberation Serif" w:hAnsi="Liberation Serif"/>
          <w:sz w:val="26"/>
          <w:szCs w:val="26"/>
          <w:lang w:val="en-US"/>
        </w:rPr>
        <w:t xml:space="preserve">utp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sberbank</w:t>
      </w:r>
      <w:r>
        <w:rPr>
          <w:rFonts w:ascii="Liberation Serif" w:hAnsi="Liberation Serif"/>
          <w:sz w:val="26"/>
          <w:szCs w:val="26"/>
        </w:rPr>
        <w:t xml:space="preserve">-</w:t>
      </w:r>
      <w:r>
        <w:rPr>
          <w:rFonts w:ascii="Liberation Serif" w:hAnsi="Liberation Serif"/>
          <w:sz w:val="26"/>
          <w:szCs w:val="26"/>
          <w:lang w:val="en-US"/>
        </w:rPr>
        <w:t xml:space="preserve">ast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ru</w:t>
      </w:r>
      <w:r>
        <w:rPr>
          <w:rFonts w:ascii="Liberation Serif" w:hAnsi="Liberation Serif"/>
          <w:sz w:val="26"/>
          <w:szCs w:val="26"/>
        </w:rPr>
        <w:t xml:space="preserve">, Регламентом торговой секции «Приватизация, аренда и продажа прав» универсальной торговой платформы АО «Сбербанк-АСТ» </w:t>
      </w:r>
      <w:r>
        <w:rPr>
          <w:rFonts w:ascii="Liberation Serif" w:hAnsi="Liberation Serif"/>
          <w:sz w:val="26"/>
          <w:szCs w:val="26"/>
          <w:lang w:val="en-US"/>
        </w:rPr>
        <w:t xml:space="preserve">utp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sberbank</w:t>
      </w:r>
      <w:r>
        <w:rPr>
          <w:rFonts w:ascii="Liberation Serif" w:hAnsi="Liberation Serif"/>
          <w:sz w:val="26"/>
          <w:szCs w:val="26"/>
        </w:rPr>
        <w:t xml:space="preserve">-</w:t>
      </w:r>
      <w:r>
        <w:rPr>
          <w:rFonts w:ascii="Liberation Serif" w:hAnsi="Liberation Serif"/>
          <w:sz w:val="26"/>
          <w:szCs w:val="26"/>
          <w:lang w:val="en-US"/>
        </w:rPr>
        <w:t xml:space="preserve">ast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ru</w:t>
      </w:r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</w:r>
      <w:r/>
    </w:p>
    <w:p>
      <w:pPr>
        <w:contextualSpacing/>
        <w:ind w:right="126" w:firstLine="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I. Общие положения</w:t>
      </w:r>
      <w:r/>
    </w:p>
    <w:p>
      <w:pPr>
        <w:contextualSpacing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Собственник акций </w:t>
      </w:r>
      <w:r>
        <w:rPr>
          <w:rFonts w:ascii="Liberation Serif" w:hAnsi="Liberation Serif"/>
          <w:sz w:val="26"/>
          <w:szCs w:val="26"/>
        </w:rPr>
        <w:t xml:space="preserve">– муниципальное  образование город Новый Уренгой.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Продавец (организатор торгов)</w:t>
      </w:r>
      <w:r>
        <w:rPr>
          <w:rFonts w:ascii="Liberation Serif" w:hAnsi="Liberation Serif"/>
          <w:sz w:val="26"/>
          <w:szCs w:val="26"/>
        </w:rPr>
        <w:t xml:space="preserve"> – Департамент имущественных и жилищных отношений Администрации города Новый Уренгой (далее – Департамент имущественных и жилищных отношений), действующий от имени муниципального образования город Новый Уренгой.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Местонахождение: ЯНАО, 629300, г. Новый Уренгой, пр. Ленинградский д. 5б, телефон (3494) 93-19-43, телефон/факс 93-19-21. Адрес электронной почты:                  </w:t>
      </w:r>
      <w:r>
        <w:rPr>
          <w:rFonts w:ascii="Liberation Serif" w:hAnsi="Liberation Serif"/>
          <w:sz w:val="26"/>
          <w:szCs w:val="26"/>
          <w:lang w:val="en-US"/>
        </w:rPr>
        <w:t xml:space="preserve">oump</w:t>
      </w:r>
      <w:r>
        <w:rPr>
          <w:rFonts w:ascii="Liberation Serif" w:hAnsi="Liberation Serif"/>
          <w:sz w:val="26"/>
          <w:szCs w:val="26"/>
        </w:rPr>
        <w:t xml:space="preserve">-</w:t>
      </w:r>
      <w:r>
        <w:rPr>
          <w:rFonts w:ascii="Liberation Serif" w:hAnsi="Liberation Serif"/>
          <w:sz w:val="26"/>
          <w:szCs w:val="26"/>
          <w:lang w:val="en-US"/>
        </w:rPr>
        <w:t xml:space="preserve">dn</w:t>
      </w:r>
      <w:r>
        <w:rPr>
          <w:rFonts w:ascii="Liberation Serif" w:hAnsi="Liberation Serif"/>
          <w:sz w:val="26"/>
          <w:szCs w:val="26"/>
        </w:rPr>
        <w:t xml:space="preserve">@</w:t>
      </w:r>
      <w:r>
        <w:rPr>
          <w:rFonts w:ascii="Liberation Serif" w:hAnsi="Liberation Serif"/>
          <w:sz w:val="26"/>
          <w:szCs w:val="26"/>
          <w:lang w:val="en-US"/>
        </w:rPr>
        <w:t xml:space="preserve">yandex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ru</w:t>
      </w:r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Контактное лицо – Иванцова Оксана Игоревна, телефон (3494) 94-19-43.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Электронная площадка</w:t>
      </w:r>
      <w:r>
        <w:rPr>
          <w:rFonts w:ascii="Liberation Serif" w:hAnsi="Liberation Serif"/>
          <w:sz w:val="26"/>
          <w:szCs w:val="26"/>
        </w:rPr>
        <w:t xml:space="preserve"> - Акционерное общество «Сбербанк - Автоматизированная система торгов» (далее – АО «Сбербанк–АСТ») (</w:t>
      </w:r>
      <w:hyperlink r:id="rId12" w:tooltip="http://utp.sberbank-ast.ru/AP" w:history="1">
        <w:r>
          <w:rPr>
            <w:rStyle w:val="861"/>
            <w:rFonts w:ascii="Liberation Serif" w:hAnsi="Liberation Serif"/>
            <w:sz w:val="26"/>
            <w:szCs w:val="26"/>
          </w:rPr>
          <w:t xml:space="preserve">http://utp.sberbank-ast.ru/AP</w:t>
        </w:r>
      </w:hyperlink>
      <w:r>
        <w:rPr>
          <w:rFonts w:ascii="Liberation Serif" w:hAnsi="Liberation Serif"/>
          <w:sz w:val="26"/>
          <w:szCs w:val="26"/>
        </w:rPr>
        <w:t xml:space="preserve">). Юридический адрес: </w:t>
      </w:r>
      <w:r>
        <w:rPr>
          <w:rFonts w:ascii="Liberation Serif" w:hAnsi="Liberation Serif"/>
          <w:color w:val="333333"/>
          <w:sz w:val="26"/>
          <w:szCs w:val="26"/>
        </w:rPr>
        <w:t xml:space="preserve">119435, г. Москва,  пер. Саввинский Б., д. 12, стр. 9, эт. 1, пом. 1, комн. 2</w:t>
      </w:r>
      <w:r>
        <w:rPr>
          <w:rFonts w:ascii="Liberation Serif" w:hAnsi="Liberation Serif"/>
          <w:sz w:val="26"/>
          <w:szCs w:val="26"/>
        </w:rPr>
        <w:t xml:space="preserve">. Фактический адрес: 119435, г. Москва, Большой Саввинский переулок, дом 12, стр. 9, телефон: 8(495)787-29-97,  e-mail: </w:t>
      </w:r>
      <w:hyperlink r:id="rId13" w:tooltip="mailto:company@sberbank-ast.ru" w:history="1">
        <w:r>
          <w:rPr>
            <w:rFonts w:ascii="Liberation Serif" w:hAnsi="Liberation Serif"/>
            <w:sz w:val="26"/>
            <w:szCs w:val="26"/>
          </w:rPr>
          <w:t xml:space="preserve">company@sberbank-ast.ru</w:t>
        </w:r>
      </w:hyperlink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Оператор электронной площадки:</w:t>
      </w:r>
      <w:r>
        <w:rPr>
          <w:rFonts w:ascii="Liberation Serif" w:hAnsi="Liberation Serif"/>
          <w:sz w:val="26"/>
          <w:szCs w:val="26"/>
        </w:rPr>
        <w:t xml:space="preserve"> АО «Сбербанк-АСТ».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Форма торгов (способ приватизации)</w:t>
      </w:r>
      <w:r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специализированный аукцион                                в электронной форме, открытый по составу участников и по форме подачи предложений о цене.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Место проведения электронного аукциона: 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hyperlink r:id="rId14" w:tooltip="http://utp.sberbank-ast.ru/AP" w:history="1">
        <w:r>
          <w:rPr>
            <w:rFonts w:ascii="Liberation Serif" w:hAnsi="Liberation Serif"/>
            <w:color w:val="0000ff"/>
            <w:sz w:val="26"/>
            <w:szCs w:val="26"/>
            <w:u w:val="single"/>
          </w:rPr>
          <w:t xml:space="preserve">http://utp.sberbank-ast.ru/AP</w:t>
        </w:r>
      </w:hyperlink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Проведение специализированного аукциона в электронной форме осуществляется на электронной площадке оператором электронной площадки.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Сведения о предыдущих торгах за предшествующий год: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Ранее аукцион в электронной форме по продаже акций АО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«Уренгойжилсервис» был объявлен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09.02.2023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,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не состоялся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в связи с отсутствием заявок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(Протокол об итогах специализированного аукциона по продаже акций от 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13.03.2023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, номер извещения </w:t>
      </w:r>
      <w:r>
        <w:rPr>
          <w:rFonts w:ascii="Liberation Serif" w:hAnsi="Liberation Serif"/>
          <w:color w:val="000000" w:themeColor="text1"/>
          <w:sz w:val="26"/>
          <w:szCs w:val="26"/>
          <w:lang w:val="en-US"/>
        </w:rPr>
        <w:t xml:space="preserve">SBR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012-2302080017.1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).</w:t>
      </w:r>
      <w:r/>
    </w:p>
    <w:p>
      <w:pPr>
        <w:contextualSpacing/>
        <w:ind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firstLine="720"/>
        <w:spacing w:line="240" w:lineRule="auto"/>
        <w:rPr>
          <w:b/>
        </w:rPr>
      </w:pPr>
      <w:r>
        <w:rPr>
          <w:rFonts w:ascii="Liberation Serif" w:hAnsi="Liberation Serif"/>
          <w:b/>
          <w:sz w:val="26"/>
          <w:szCs w:val="26"/>
        </w:rPr>
        <w:t xml:space="preserve">Дата и время начала приема заявок на участие в аукционе -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                                    с 06 ч. 30 мин.  (время московское)  23.01.2024.</w:t>
      </w:r>
      <w:r/>
    </w:p>
    <w:p>
      <w:pPr>
        <w:contextualSpacing/>
        <w:ind w:firstLine="720"/>
        <w:spacing w:line="240" w:lineRule="auto"/>
        <w:rPr>
          <w:b/>
        </w:rPr>
      </w:pPr>
      <w:r>
        <w:rPr>
          <w:rFonts w:ascii="Liberation Serif" w:hAnsi="Liberation Serif"/>
          <w:b/>
          <w:sz w:val="26"/>
          <w:szCs w:val="26"/>
        </w:rPr>
        <w:t xml:space="preserve">Дата и время окончания приема заявок на участие в аукционе -                               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до 23 ч. 59 мин. (время московское)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  17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.02.2024.</w:t>
      </w:r>
      <w:r/>
    </w:p>
    <w:p>
      <w:pPr>
        <w:contextualSpacing/>
        <w:ind w:firstLine="720"/>
        <w:spacing w:line="240" w:lineRule="auto"/>
        <w:rPr>
          <w:b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 xml:space="preserve">Дата определения участников аукциона – </w:t>
      </w:r>
      <w:r>
        <w:rPr>
          <w:rFonts w:ascii="Liberation Serif" w:hAnsi="Liberation Serif"/>
          <w:b/>
          <w:color w:val="000000"/>
          <w:sz w:val="26"/>
          <w:szCs w:val="26"/>
        </w:rPr>
        <w:t xml:space="preserve">21</w:t>
      </w:r>
      <w:r>
        <w:rPr>
          <w:rFonts w:ascii="Liberation Serif" w:hAnsi="Liberation Serif"/>
          <w:b/>
          <w:color w:val="000000"/>
          <w:sz w:val="26"/>
          <w:szCs w:val="26"/>
        </w:rPr>
        <w:t xml:space="preserve">.02</w:t>
      </w:r>
      <w:r>
        <w:rPr>
          <w:rFonts w:ascii="Liberation Serif" w:hAnsi="Liberation Serif"/>
          <w:b/>
          <w:bCs/>
          <w:sz w:val="26"/>
          <w:szCs w:val="26"/>
        </w:rPr>
        <w:t xml:space="preserve">.2024.  </w:t>
      </w:r>
      <w:r/>
    </w:p>
    <w:p>
      <w:pPr>
        <w:contextualSpacing/>
        <w:ind w:firstLine="720"/>
        <w:spacing w:line="240" w:lineRule="auto"/>
        <w:rPr>
          <w:b/>
        </w:rPr>
      </w:pPr>
      <w:r>
        <w:rPr>
          <w:rFonts w:ascii="Liberation Serif" w:hAnsi="Liberation Serif"/>
          <w:b/>
          <w:sz w:val="26"/>
          <w:szCs w:val="26"/>
        </w:rPr>
        <w:t xml:space="preserve">Дата и время проведения специализированного аукциона –   </w:t>
      </w:r>
      <w:r/>
    </w:p>
    <w:p>
      <w:pPr>
        <w:contextualSpacing/>
        <w:ind w:firstLine="0"/>
        <w:spacing w:line="240" w:lineRule="auto"/>
        <w:rPr>
          <w:b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в 07 ч. 00 мин.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 (время московское)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01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 xml:space="preserve">.03</w:t>
      </w:r>
      <w:r>
        <w:rPr>
          <w:rFonts w:ascii="Liberation Serif" w:hAnsi="Liberation Serif"/>
          <w:b/>
          <w:sz w:val="26"/>
          <w:szCs w:val="26"/>
        </w:rPr>
        <w:t xml:space="preserve">.</w:t>
      </w:r>
      <w:r>
        <w:rPr>
          <w:rFonts w:ascii="Liberation Serif" w:hAnsi="Liberation Serif"/>
          <w:b/>
          <w:bCs/>
          <w:sz w:val="26"/>
          <w:szCs w:val="26"/>
        </w:rPr>
        <w:t xml:space="preserve">2024.</w:t>
      </w:r>
      <w:bookmarkStart w:id="0" w:name="_GoBack"/>
      <w:r/>
      <w:bookmarkEnd w:id="0"/>
      <w:r/>
      <w:r/>
    </w:p>
    <w:p>
      <w:pPr>
        <w:contextualSpacing/>
        <w:ind w:firstLine="720"/>
        <w:spacing w:line="240" w:lineRule="auto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</w:r>
      <w:r/>
    </w:p>
    <w:p>
      <w:pPr>
        <w:contextualSpacing/>
        <w:ind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0"/>
        <w:jc w:val="center"/>
        <w:spacing w:line="240" w:lineRule="auto"/>
        <w:rPr>
          <w:rFonts w:ascii="Liberation Serif" w:hAnsi="Liberation Serif"/>
          <w:b/>
          <w:bCs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b/>
          <w:bCs/>
          <w:sz w:val="26"/>
          <w:szCs w:val="26"/>
          <w:lang w:val="en-US"/>
        </w:rPr>
        <w:t xml:space="preserve">II</w:t>
      </w:r>
      <w:r>
        <w:rPr>
          <w:rFonts w:ascii="Liberation Serif" w:hAnsi="Liberation Serif"/>
          <w:b/>
          <w:bCs/>
          <w:sz w:val="26"/>
          <w:szCs w:val="26"/>
        </w:rPr>
        <w:t xml:space="preserve">. Сведения об акциях, выставляемых на специализированный аукцион                     (предмет торгов)</w:t>
      </w:r>
      <w:r/>
    </w:p>
    <w:p>
      <w:pPr>
        <w:contextualSpacing/>
        <w:ind w:firstLine="72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Тип (категория) акций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 xml:space="preserve">- обыкновенные акции.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Количество акций</w:t>
      </w:r>
      <w:r>
        <w:rPr>
          <w:rFonts w:ascii="Liberation Serif" w:hAnsi="Liberation Serif"/>
          <w:bCs/>
          <w:sz w:val="26"/>
          <w:szCs w:val="26"/>
        </w:rPr>
        <w:t xml:space="preserve"> - 799 (семьсот девяносто девять) шт.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Размер доли муниципального образования город Новый Уренгой</w:t>
      </w:r>
      <w:r>
        <w:rPr>
          <w:rFonts w:ascii="Liberation Serif" w:hAnsi="Liberation Serif"/>
          <w:sz w:val="26"/>
          <w:szCs w:val="26"/>
        </w:rPr>
        <w:t xml:space="preserve"> –  24,98 %.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Номинальная стоимость одной акции</w:t>
      </w:r>
      <w:r>
        <w:rPr>
          <w:rFonts w:ascii="Liberation Serif" w:hAnsi="Liberation Serif"/>
          <w:sz w:val="26"/>
          <w:szCs w:val="26"/>
        </w:rPr>
        <w:t xml:space="preserve"> – 4 </w:t>
      </w:r>
      <w:r>
        <w:rPr>
          <w:rFonts w:ascii="Liberation Serif" w:hAnsi="Liberation Serif"/>
          <w:bCs/>
          <w:sz w:val="26"/>
          <w:szCs w:val="26"/>
        </w:rPr>
        <w:t xml:space="preserve">(четыре) руб. 00 коп.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 w:themeColor="text1"/>
          <w:sz w:val="26"/>
          <w:szCs w:val="26"/>
          <w:highlight w:val="white"/>
        </w:rPr>
      </w:pPr>
      <w:r>
        <w:rPr>
          <w:rFonts w:ascii="Liberation Serif" w:hAnsi="Liberation Serif"/>
          <w:b/>
          <w:color w:val="000000" w:themeColor="text1"/>
          <w:sz w:val="26"/>
          <w:szCs w:val="26"/>
          <w:highlight w:val="white"/>
        </w:rPr>
        <w:t xml:space="preserve">Номинальная стоимость доли муниципального образования город Новый Уренгой </w:t>
      </w:r>
      <w:r>
        <w:rPr>
          <w:rFonts w:ascii="Liberation Serif" w:hAnsi="Liberation Serif"/>
          <w:color w:val="000000" w:themeColor="text1"/>
          <w:sz w:val="26"/>
          <w:szCs w:val="26"/>
          <w:highlight w:val="white"/>
        </w:rPr>
        <w:t xml:space="preserve">-</w:t>
      </w:r>
      <w:r>
        <w:rPr>
          <w:rFonts w:ascii="Liberation Serif" w:hAnsi="Liberation Serif"/>
          <w:b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  <w:highlight w:val="white"/>
        </w:rPr>
        <w:t xml:space="preserve">3 198 </w:t>
      </w:r>
      <w:r>
        <w:rPr>
          <w:rFonts w:ascii="Liberation Serif" w:hAnsi="Liberation Serif" w:eastAsia="Liberation Serif"/>
          <w:color w:val="000000" w:themeColor="text1"/>
          <w:sz w:val="26"/>
          <w:szCs w:val="26"/>
          <w:highlight w:val="white"/>
        </w:rPr>
        <w:t xml:space="preserve">(три тысячи сто девяносто восемь) </w:t>
      </w:r>
      <w:r>
        <w:rPr>
          <w:rFonts w:ascii="Liberation Serif" w:hAnsi="Liberation Serif"/>
          <w:color w:val="000000" w:themeColor="text1"/>
          <w:sz w:val="26"/>
          <w:szCs w:val="26"/>
          <w:highlight w:val="white"/>
        </w:rPr>
        <w:t xml:space="preserve">руб. 00 коп.</w:t>
      </w:r>
      <w:r/>
    </w:p>
    <w:p>
      <w:pPr>
        <w:contextualSpacing/>
        <w:ind w:firstLine="700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Реестродержатель эмитента</w:t>
      </w:r>
      <w:r>
        <w:rPr>
          <w:rFonts w:ascii="Liberation Serif" w:hAnsi="Liberation Serif"/>
          <w:bCs/>
          <w:sz w:val="26"/>
          <w:szCs w:val="26"/>
        </w:rPr>
        <w:t xml:space="preserve"> – Тюменский филиал акционерного общества «Новый Регистратор», 625019, г. Тюмень, ул. Республики, д. 211-а,                                                  тел.: +7 (3452) 27-36-82, +7 (3452) 27-35-48.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Данные о государственной регистрации выпуска акций</w:t>
      </w:r>
      <w:r>
        <w:rPr>
          <w:rFonts w:ascii="Liberation Serif" w:hAnsi="Liberation Serif"/>
          <w:bCs/>
          <w:sz w:val="26"/>
          <w:szCs w:val="26"/>
        </w:rPr>
        <w:t xml:space="preserve">: </w:t>
      </w:r>
      <w:r/>
    </w:p>
    <w:p>
      <w:pPr>
        <w:contextualSpacing/>
        <w:ind w:right="112" w:firstLine="708"/>
        <w:spacing w:line="240" w:lineRule="auto"/>
        <w:rPr>
          <w:rFonts w:ascii="Arial" w:hAnsi="Arial"/>
          <w:color w:val="000000"/>
          <w:sz w:val="23"/>
          <w:szCs w:val="23"/>
          <w:shd w:val="clear" w:color="auto" w:fill="ffffff"/>
        </w:rPr>
      </w:pPr>
      <w:r>
        <w:rPr>
          <w:rFonts w:ascii="Liberation Serif" w:hAnsi="Liberation Serif"/>
          <w:bCs/>
          <w:sz w:val="26"/>
          <w:szCs w:val="26"/>
        </w:rPr>
        <w:t xml:space="preserve">Номер государственной регистрации: 1-01-32624-D.</w:t>
      </w:r>
      <w:r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</w:t>
      </w:r>
      <w:r/>
    </w:p>
    <w:p>
      <w:pPr>
        <w:contextualSpacing/>
        <w:ind w:right="112" w:firstLine="708"/>
        <w:spacing w:line="240" w:lineRule="auto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Дата государственной регистрации: 03.11.2005.</w:t>
      </w:r>
      <w:r/>
    </w:p>
    <w:p>
      <w:pPr>
        <w:contextualSpacing/>
        <w:ind w:firstLine="708"/>
        <w:spacing w:before="0" w:line="240" w:lineRule="auto"/>
        <w:rPr>
          <w:rFonts w:ascii="Liberation Serif" w:hAnsi="Liberation Serif"/>
          <w:bCs/>
          <w:sz w:val="26"/>
          <w:szCs w:val="26"/>
          <w:highlight w:val="yellow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Начальная (рыночная) цена пакета обыкновенных акций</w:t>
      </w:r>
      <w:r>
        <w:rPr>
          <w:rFonts w:ascii="Liberation Serif" w:hAnsi="Liberation Serif"/>
          <w:sz w:val="26"/>
          <w:szCs w:val="26"/>
        </w:rPr>
        <w:t xml:space="preserve">                                        АО «Уренгойжилсервис»  составляет </w:t>
      </w:r>
      <w:r>
        <w:rPr>
          <w:rFonts w:ascii="Liberation Serif" w:hAnsi="Liberation Serif"/>
          <w:bCs/>
          <w:sz w:val="26"/>
          <w:szCs w:val="26"/>
        </w:rPr>
        <w:t xml:space="preserve">428 000 (Четыреста двадцать восемь тысяч) рублей 00 копеек, определена на основании отчета об оценке рыночной стоимости объекта оценки от</w:t>
      </w:r>
      <w:r>
        <w:rPr>
          <w:rFonts w:ascii="Liberation Serif" w:hAnsi="Liberation Serif"/>
          <w:bCs/>
          <w:sz w:val="26"/>
          <w:szCs w:val="26"/>
          <w:highlight w:val="white"/>
        </w:rPr>
        <w:t xml:space="preserve"> 06.12.2023 №</w:t>
      </w:r>
      <w:r>
        <w:rPr>
          <w:rFonts w:ascii="Liberation Serif" w:hAnsi="Liberation Serif"/>
          <w:bCs/>
          <w:sz w:val="26"/>
          <w:szCs w:val="26"/>
        </w:rPr>
        <w:t xml:space="preserve"> 63/2023, выполненного ООО «Корпорация Консалтинга».</w:t>
      </w:r>
      <w:r/>
    </w:p>
    <w:p>
      <w:pPr>
        <w:ind w:firstLine="709"/>
        <w:spacing w:before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Начальная (рыночная) стоимость одной обыкновенной акции</w:t>
      </w:r>
      <w:r>
        <w:rPr>
          <w:rFonts w:ascii="Liberation Serif" w:hAnsi="Liberation Serif"/>
          <w:sz w:val="26"/>
          <w:szCs w:val="26"/>
        </w:rPr>
        <w:t xml:space="preserve"> акционерного общества «Уренгойжилсервис» составляет 535 (пятьсот тридцать пять) рублей 67 копеек</w:t>
      </w:r>
      <w:r>
        <w:rPr>
          <w:rFonts w:ascii="Liberation Serif" w:hAnsi="Liberation Serif"/>
          <w:bCs/>
          <w:sz w:val="26"/>
          <w:szCs w:val="26"/>
        </w:rPr>
        <w:t xml:space="preserve">.</w:t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  <w:lang w:val="en-US"/>
        </w:rPr>
        <w:t xml:space="preserve">III</w:t>
      </w:r>
      <w:r>
        <w:rPr>
          <w:rFonts w:ascii="Liberation Serif" w:hAnsi="Liberation Serif"/>
          <w:b/>
          <w:bCs/>
          <w:sz w:val="26"/>
          <w:szCs w:val="26"/>
        </w:rPr>
        <w:t xml:space="preserve">. Сведения об акционерном обществе (эмитенте)</w:t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Полное наименование:</w:t>
      </w:r>
      <w:r>
        <w:rPr>
          <w:rFonts w:ascii="Liberation Serif" w:hAnsi="Liberation Serif"/>
          <w:sz w:val="26"/>
          <w:szCs w:val="26"/>
        </w:rPr>
        <w:t xml:space="preserve"> Акционерное общество «Уренгойжилсервис», сокращенное наименование: АО «УЖС».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Адрес (место нахождения)</w:t>
      </w:r>
      <w:r>
        <w:rPr>
          <w:rFonts w:ascii="Liberation Serif" w:hAnsi="Liberation Serif"/>
          <w:sz w:val="26"/>
          <w:szCs w:val="26"/>
        </w:rPr>
        <w:t xml:space="preserve">: 629306, Ямало-Ненецкий автономный округ»,                      г. Новый Уренгой, ул. 26 Съезда КПСС, д. 2В, этаж 5.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Сведения о регистрации: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ОГРН 1058900649642, дата регистрации: 15.09.2005.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ИНН 8904046691, КПП 890401001.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Размер уставного капитала</w:t>
      </w:r>
      <w:r>
        <w:rPr>
          <w:rFonts w:ascii="Liberation Serif" w:hAnsi="Liberation Serif"/>
          <w:sz w:val="26"/>
          <w:szCs w:val="26"/>
        </w:rPr>
        <w:t xml:space="preserve">: 12 792 (двенадцать тысяч семьсот девяносто                      два) руб. 00 коп.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Общее количество выпущенных акций</w:t>
      </w:r>
      <w:r>
        <w:rPr>
          <w:rFonts w:ascii="Liberation Serif" w:hAnsi="Liberation Serif"/>
          <w:sz w:val="26"/>
          <w:szCs w:val="26"/>
        </w:rPr>
        <w:t xml:space="preserve"> - 3 198 (три тысячи сто девяносто восемь)  шт.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Тип (категория) акций</w:t>
      </w:r>
      <w:r>
        <w:rPr>
          <w:rFonts w:ascii="Liberation Serif" w:hAnsi="Liberation Serif"/>
          <w:sz w:val="26"/>
          <w:szCs w:val="26"/>
        </w:rPr>
        <w:t xml:space="preserve"> – </w:t>
      </w:r>
      <w:r>
        <w:rPr>
          <w:rFonts w:ascii="Liberation Serif" w:hAnsi="Liberation Serif" w:eastAsia="Liberation Serif"/>
          <w:sz w:val="26"/>
          <w:szCs w:val="26"/>
        </w:rPr>
        <w:t xml:space="preserve">обыкновенные акции</w:t>
      </w:r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Номинальная стоимость одной акции</w:t>
      </w:r>
      <w:r>
        <w:rPr>
          <w:rFonts w:ascii="Liberation Serif" w:hAnsi="Liberation Serif"/>
          <w:sz w:val="26"/>
          <w:szCs w:val="26"/>
        </w:rPr>
        <w:t xml:space="preserve"> – 4 </w:t>
      </w:r>
      <w:r>
        <w:rPr>
          <w:rFonts w:ascii="Liberation Serif" w:hAnsi="Liberation Serif"/>
          <w:bCs/>
          <w:sz w:val="26"/>
          <w:szCs w:val="26"/>
        </w:rPr>
        <w:t xml:space="preserve">(четыре) руб. 00 коп.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Размер доли муниципального образования город Новый Уренгой</w:t>
      </w:r>
      <w:r>
        <w:rPr>
          <w:rFonts w:ascii="Liberation Serif" w:hAnsi="Liberation Serif"/>
          <w:sz w:val="26"/>
          <w:szCs w:val="26"/>
        </w:rPr>
        <w:t xml:space="preserve"> –          24,9843652 %.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Сведения об основном виде деятельности </w:t>
      </w:r>
      <w:r>
        <w:rPr>
          <w:rFonts w:ascii="Liberation Serif" w:hAnsi="Liberation Serif"/>
          <w:sz w:val="26"/>
          <w:szCs w:val="26"/>
        </w:rPr>
        <w:t xml:space="preserve">(ОКВЭД ОК 029-2014 (КДЕС Ред. 2)), согласно выписке из ЕГРЮЛ от 18.01.2023 № ЮЭ9965-23-10336281: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68.32.1. - Управление эксплуатацией жилого фонда за вознаграждение или на договорной основе.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Сведения о дополнительных видах деятельности </w:t>
      </w:r>
      <w:r>
        <w:rPr>
          <w:rFonts w:ascii="Liberation Serif" w:hAnsi="Liberation Serif"/>
          <w:sz w:val="26"/>
          <w:szCs w:val="26"/>
        </w:rPr>
        <w:t xml:space="preserve">(ОКВЭД ОК 029-2014                     (КДЕС Ред. 2)), согласно выписке из ЕГРЮЛ от 18.01.2023 № ЮЭ9965-23-10336281: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37.00 Сбор и обработка сточных вод;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38.11 Сбор неопасных отходов;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38.12 Сбор опасных отходов;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38.21 Обработка и утилизация неопасных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отходов;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43.29 Производство прочих строительно-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монтажных работ;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43.31 Производство штукатурных работ;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43.32 Работы столярные и плотничные;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43.33 Работы по устройству покрытий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полов и облицовке стен;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43.34.1 Производство малярных работ;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43.99 Работы строительные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специализированные прочие, не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включенные в другие группировки;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45.20 Техническое обслуживание и ремонт </w:t>
      </w:r>
      <w:r>
        <w:rPr>
          <w:rFonts w:ascii="Liberation Serif" w:hAnsi="Liberation Serif"/>
          <w:color w:val="000000"/>
          <w:sz w:val="26"/>
          <w:szCs w:val="26"/>
        </w:rPr>
        <w:t xml:space="preserve">автотранспортных 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45.20.1 Техническое обслуживание 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ремонт легковых автомобилей и легких </w:t>
      </w:r>
      <w:r>
        <w:rPr>
          <w:rFonts w:ascii="Liberation Serif" w:hAnsi="Liberation Serif"/>
          <w:color w:val="000000"/>
          <w:sz w:val="26"/>
          <w:szCs w:val="26"/>
        </w:rPr>
        <w:t xml:space="preserve">грузовых автотранспортных 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45.20.2 Техническое обслуживание 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ремонт прочих автотранспортных 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45.31 Торговля оптовая автомобильными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деталями, узлами и принадлежностями;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45.32 Торговля розничная автомобильными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деталями, узлами                                                 и принадлежностями;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46.12.1 Деятельность агентов по оптовой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торговле твердым, жидким                                            и газообразным </w:t>
      </w:r>
      <w:r>
        <w:rPr>
          <w:rFonts w:ascii="Liberation Serif" w:hAnsi="Liberation Serif"/>
          <w:color w:val="000000"/>
          <w:sz w:val="26"/>
          <w:szCs w:val="26"/>
        </w:rPr>
        <w:t xml:space="preserve">топливом и связанными продуктами;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10302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46.71 Торговля оптовая твердым, жидким 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газообразным топливом и подобными </w:t>
      </w:r>
      <w:r>
        <w:rPr>
          <w:rFonts w:ascii="Liberation Serif" w:hAnsi="Liberation Serif"/>
          <w:color w:val="000000"/>
          <w:sz w:val="26"/>
          <w:szCs w:val="26"/>
        </w:rPr>
        <w:t xml:space="preserve">продуктами;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46.71.2 Торговля оптовая моторным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топливом, включая авиационный бензин;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47.30 Торговля розничная моторным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топливом в специализированных магазинах;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49.39.39 Перевозки пассажиров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сухопутным транспортом прочие, не </w:t>
      </w:r>
      <w:r>
        <w:rPr>
          <w:rFonts w:ascii="Liberation Serif" w:hAnsi="Liberation Serif"/>
          <w:color w:val="000000"/>
          <w:sz w:val="26"/>
          <w:szCs w:val="26"/>
        </w:rPr>
        <w:t xml:space="preserve">включенные </w:t>
      </w:r>
      <w:r>
        <w:rPr>
          <w:rFonts w:ascii="Liberation Serif" w:hAnsi="Liberation Serif"/>
          <w:color w:val="000000"/>
          <w:sz w:val="26"/>
          <w:szCs w:val="26"/>
        </w:rPr>
        <w:t xml:space="preserve">в другие группировки;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49.41 Деятельность автомобильного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грузового транспорта;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52.10 Деятельность по складированию 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хранению;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52.10.21 Хранение и складирование нефти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и продуктов ее переработки;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64.99.6 Деятельность по финансовой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взаимопомощи;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pacing w:val="-1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68.20 Аренда и управление собственным или арендованным недвижимым имуществом;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68.31.51 Предоставление посреднических услуг при оценке жилого недвижимого </w:t>
      </w:r>
      <w:r>
        <w:rPr>
          <w:rFonts w:ascii="Liberation Serif" w:hAnsi="Liberation Serif"/>
          <w:color w:val="000000"/>
          <w:sz w:val="26"/>
          <w:szCs w:val="26"/>
        </w:rPr>
        <w:t xml:space="preserve">имущества за вознаграждение или на договорной основе;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68.32 Управление недвижимым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имуществом за вознаграждение или на </w:t>
      </w:r>
      <w:r>
        <w:rPr>
          <w:rFonts w:ascii="Liberation Serif" w:hAnsi="Liberation Serif"/>
          <w:color w:val="000000"/>
          <w:sz w:val="26"/>
          <w:szCs w:val="26"/>
        </w:rPr>
        <w:t xml:space="preserve">договорной основе;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71.20.5 Технический осмотр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автотранспортных 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77.11 Аренда и лизинг легковых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автомобилей и легких автотранспортных </w:t>
      </w:r>
      <w:r>
        <w:rPr>
          <w:rFonts w:ascii="Liberation Serif" w:hAnsi="Liberation Serif"/>
          <w:color w:val="000000"/>
          <w:sz w:val="26"/>
          <w:szCs w:val="26"/>
        </w:rPr>
        <w:t xml:space="preserve">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77.12 Аренда и лизинг грузовых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транспортных средств;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77.32 Аренда и лизинг строительных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машин и оборудования;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81.10 Деятельность по комплексному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 xml:space="preserve">обслуживанию помещений;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81.21 Деятельность по общей уборке</w:t>
      </w:r>
      <w:r>
        <w:rPr>
          <w:rFonts w:ascii="Liberation Serif" w:hAnsi="Liberation Serif"/>
          <w:sz w:val="26"/>
          <w:szCs w:val="26"/>
        </w:rPr>
        <w:t xml:space="preserve"> зданий; 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81.29 Деятельность по чистке и уборке</w:t>
      </w:r>
      <w:r>
        <w:rPr>
          <w:rFonts w:ascii="Liberation Serif" w:hAnsi="Liberation Serif"/>
          <w:sz w:val="26"/>
          <w:szCs w:val="26"/>
        </w:rPr>
        <w:t xml:space="preserve"> прочая;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82.99 Деятельность по предоставлению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pacing w:val="-1"/>
          <w:sz w:val="26"/>
          <w:szCs w:val="26"/>
        </w:rPr>
        <w:t xml:space="preserve">прочих вспомогательных услуг для </w:t>
      </w:r>
      <w:r>
        <w:rPr>
          <w:rFonts w:ascii="Liberation Serif" w:hAnsi="Liberation Serif"/>
          <w:color w:val="000000"/>
          <w:sz w:val="26"/>
          <w:szCs w:val="26"/>
        </w:rPr>
        <w:t xml:space="preserve">бизнеса, не включенная в другие группировки.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АО «Уренгойжилсервис» не включено в Реестр хозяйствующих субъектов, имеющих долю на рынке определенного товара в размере более чем 35 процентов.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Численность работников общества:  </w:t>
      </w:r>
      <w:r>
        <w:rPr>
          <w:rFonts w:ascii="Liberation Serif" w:hAnsi="Liberation Serif"/>
          <w:sz w:val="26"/>
          <w:szCs w:val="26"/>
        </w:rPr>
        <w:t xml:space="preserve">107 человек. 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Адрес сайта в сети «Интернет»</w:t>
      </w:r>
      <w:r>
        <w:rPr>
          <w:rFonts w:ascii="Liberation Serif" w:hAnsi="Liberation Serif"/>
          <w:sz w:val="26"/>
          <w:szCs w:val="26"/>
        </w:rPr>
        <w:t xml:space="preserve">, на котором размещена годовая бухгалтерская (финансовая) отчетность и промежуточная бухгалтерская (финансовая) отчетность хозяйственного общества: http/n-ugs.ru/about/docs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Объекты недвижимого имущества общества:</w:t>
      </w:r>
      <w:r>
        <w:rPr>
          <w:rFonts w:ascii="Liberation Serif" w:hAnsi="Liberation Serif"/>
          <w:sz w:val="26"/>
          <w:szCs w:val="26"/>
        </w:rPr>
        <w:t xml:space="preserve"> отсутствуют.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Земельные участки, на которых расположено недвижимое имущество общества:</w:t>
      </w:r>
      <w:r>
        <w:rPr>
          <w:rFonts w:ascii="Liberation Serif" w:hAnsi="Liberation Serif"/>
          <w:sz w:val="26"/>
          <w:szCs w:val="26"/>
        </w:rPr>
        <w:t xml:space="preserve">  отсутствуют.</w:t>
      </w:r>
      <w:r/>
    </w:p>
    <w:p>
      <w:pPr>
        <w:contextualSpacing/>
        <w:ind w:left="1440" w:right="126" w:firstLine="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</w:r>
      <w:r/>
    </w:p>
    <w:p>
      <w:pPr>
        <w:contextualSpacing/>
        <w:ind w:left="1440" w:right="126" w:firstLine="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  <w:lang w:val="en-US"/>
        </w:rPr>
        <w:t xml:space="preserve">IV</w:t>
      </w:r>
      <w:r>
        <w:rPr>
          <w:rFonts w:ascii="Liberation Serif" w:hAnsi="Liberation Serif"/>
          <w:b/>
          <w:bCs/>
          <w:sz w:val="26"/>
          <w:szCs w:val="26"/>
        </w:rPr>
        <w:t xml:space="preserve">. Порядок участия в аукционе и заключения договора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numPr>
          <w:ilvl w:val="0"/>
          <w:numId w:val="6"/>
        </w:numPr>
        <w:contextualSpacing/>
        <w:ind w:left="284" w:right="126" w:firstLine="720"/>
        <w:jc w:val="center"/>
        <w:spacing w:line="240" w:lineRule="auto"/>
        <w:tabs>
          <w:tab w:val="left" w:pos="567" w:leader="none"/>
        </w:tabs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Общие условия</w:t>
      </w:r>
      <w:r/>
    </w:p>
    <w:p>
      <w:pPr>
        <w:contextualSpacing/>
        <w:ind w:right="126" w:firstLine="720"/>
        <w:spacing w:line="240" w:lineRule="auto"/>
        <w:tabs>
          <w:tab w:val="left" w:pos="567" w:leader="none"/>
        </w:tabs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Лицо, отвечающее признакам Покупателя в соответствии с </w:t>
      </w:r>
      <w:r>
        <w:rPr>
          <w:rFonts w:ascii="Liberation Serif" w:hAnsi="Liberation Serif"/>
          <w:bCs/>
          <w:sz w:val="26"/>
          <w:szCs w:val="26"/>
        </w:rPr>
        <w:t xml:space="preserve">Федеральным законом  от 21.12.2001 № 178-ФЗ «О приватизации государственного и муниципального имущества»</w:t>
      </w:r>
      <w:r>
        <w:rPr>
          <w:rFonts w:ascii="Liberation Serif" w:hAnsi="Liberation Serif"/>
          <w:sz w:val="26"/>
          <w:szCs w:val="26"/>
          <w:lang w:eastAsia="en-US"/>
        </w:rPr>
        <w:t xml:space="preserve">, желающее приобрести акции, выставляемые на </w:t>
      </w:r>
      <w:r>
        <w:rPr>
          <w:rFonts w:ascii="Liberation Serif" w:hAnsi="Liberation Serif"/>
          <w:sz w:val="26"/>
          <w:szCs w:val="26"/>
        </w:rPr>
        <w:t xml:space="preserve"> специализированный аукцион в электронной форме </w:t>
      </w:r>
      <w:r>
        <w:rPr>
          <w:rFonts w:ascii="Liberation Serif" w:hAnsi="Liberation Serif"/>
          <w:sz w:val="26"/>
          <w:szCs w:val="26"/>
          <w:lang w:eastAsia="en-US"/>
        </w:rPr>
        <w:t xml:space="preserve">(далее – Претендент), обязано осуществить следующие действия:</w:t>
      </w:r>
      <w:r/>
    </w:p>
    <w:p>
      <w:pPr>
        <w:contextualSpacing/>
        <w:ind w:right="126" w:firstLine="720"/>
        <w:spacing w:line="240" w:lineRule="auto"/>
        <w:tabs>
          <w:tab w:val="left" w:pos="567" w:leader="none"/>
        </w:tabs>
        <w:rPr>
          <w:rFonts w:ascii="Liberation Serif" w:hAnsi="Liberation Serif"/>
          <w:i/>
          <w:iCs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  <w:lang w:eastAsia="en-US"/>
        </w:rPr>
        <w:t xml:space="preserve">- подать заявку по утвержденной Продавцом форме в установленном информационным сообщением порядке;</w:t>
      </w:r>
      <w:r>
        <w:rPr>
          <w:rFonts w:ascii="Liberation Serif" w:hAnsi="Liberation Serif"/>
          <w:i/>
          <w:iCs/>
          <w:sz w:val="26"/>
          <w:szCs w:val="26"/>
          <w:lang w:eastAsia="en-US"/>
        </w:rPr>
        <w:t xml:space="preserve"> </w:t>
      </w:r>
      <w:r/>
    </w:p>
    <w:p>
      <w:pPr>
        <w:contextualSpacing/>
        <w:ind w:right="126" w:firstLine="720"/>
        <w:spacing w:line="240" w:lineRule="auto"/>
        <w:tabs>
          <w:tab w:val="left" w:pos="567" w:leader="none"/>
        </w:tabs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bCs/>
          <w:sz w:val="26"/>
          <w:szCs w:val="26"/>
          <w:lang w:eastAsia="en-US"/>
        </w:rPr>
        <w:t xml:space="preserve">- </w:t>
      </w:r>
      <w:r>
        <w:rPr>
          <w:rFonts w:ascii="Liberation Serif" w:hAnsi="Liberation Serif"/>
          <w:sz w:val="26"/>
          <w:szCs w:val="26"/>
          <w:lang w:eastAsia="en-US"/>
        </w:rPr>
        <w:t xml:space="preserve">внести с</w:t>
      </w:r>
      <w:r>
        <w:rPr>
          <w:rFonts w:ascii="Liberation Serif" w:hAnsi="Liberation Serif"/>
          <w:sz w:val="26"/>
          <w:szCs w:val="26"/>
        </w:rPr>
        <w:t xml:space="preserve">умму денежных средств, указанную в заявке,</w:t>
      </w:r>
      <w:r>
        <w:rPr>
          <w:rFonts w:ascii="Liberation Serif" w:hAnsi="Liberation Serif"/>
          <w:sz w:val="26"/>
          <w:szCs w:val="26"/>
          <w:lang w:eastAsia="en-US"/>
        </w:rPr>
        <w:t xml:space="preserve"> в установленном информационным сообщением порядке</w:t>
      </w:r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Ограничения участия отдельных категорий физических и юридических лиц установлены ст. 5 Федерального закона от 21.12.2001 № 178-ФЗ «О приватизации государственного и муниципального имущества»</w:t>
      </w:r>
      <w:r>
        <w:rPr>
          <w:rFonts w:ascii="Liberation Serif" w:hAnsi="Liberation Serif"/>
          <w:sz w:val="26"/>
          <w:szCs w:val="26"/>
        </w:rPr>
        <w:t xml:space="preserve">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Покупателями муниципального имущества могут быть любые физические                               и юридические лица, </w:t>
      </w:r>
      <w:r>
        <w:rPr>
          <w:rFonts w:ascii="Liberation Serif" w:hAnsi="Liberation Serif"/>
          <w:sz w:val="26"/>
          <w:szCs w:val="26"/>
          <w:u w:val="single"/>
        </w:rPr>
        <w:t xml:space="preserve">за исключением</w:t>
      </w:r>
      <w:r>
        <w:rPr>
          <w:rFonts w:ascii="Liberation Serif" w:hAnsi="Liberation Serif"/>
          <w:sz w:val="26"/>
          <w:szCs w:val="26"/>
        </w:rPr>
        <w:t xml:space="preserve">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государственных и муниципальных унитарных предприятий, государственных                 </w:t>
      </w:r>
      <w:r>
        <w:rPr>
          <w:rFonts w:ascii="Liberation Serif" w:hAnsi="Liberation Serif"/>
          <w:sz w:val="26"/>
          <w:szCs w:val="26"/>
        </w:rPr>
        <w:t xml:space="preserve">и муниципальных учреждений;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          25 процентов;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юридических лиц, местом регистрации которых является</w:t>
      </w:r>
      <w:r>
        <w:rPr>
          <w:rFonts w:ascii="Liberation Serif" w:hAnsi="Liberation Serif"/>
          <w:sz w:val="26"/>
          <w:szCs w:val="26"/>
        </w:rP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rFonts w:ascii="Liberation Serif" w:hAnsi="Liberation Serif"/>
          <w:sz w:val="26"/>
          <w:szCs w:val="26"/>
        </w:rP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 w:eastAsia="Calibri"/>
          <w:sz w:val="26"/>
          <w:szCs w:val="26"/>
          <w:lang w:eastAsia="ar-SA"/>
        </w:rPr>
      </w:pPr>
      <w:r>
        <w:rPr>
          <w:rFonts w:ascii="Liberation Serif" w:hAnsi="Liberation Serif" w:eastAsia="Calibri"/>
          <w:sz w:val="26"/>
          <w:szCs w:val="26"/>
          <w:lang w:eastAsia="ar-SA"/>
        </w:rPr>
        <w:t xml:space="preserve"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</w:t>
      </w:r>
      <w:r>
        <w:rPr>
          <w:rFonts w:ascii="Liberation Serif" w:hAnsi="Liberation Serif" w:eastAsia="Calibri"/>
          <w:sz w:val="26"/>
          <w:szCs w:val="26"/>
          <w:lang w:eastAsia="ar-SA"/>
        </w:rPr>
        <w:t xml:space="preserve"> инвестиций в хозяйственные общества, имеющие стратегическое значение для обеспечения обороны страны и безопасности государства».                                              Понятия «выгодоприобретатель» и «бенефициарный владелец» используются            </w:t>
      </w:r>
      <w:r>
        <w:rPr>
          <w:rFonts w:ascii="Liberation Serif" w:hAnsi="Liberation Serif" w:eastAsia="Calibri"/>
          <w:sz w:val="26"/>
          <w:szCs w:val="26"/>
          <w:lang w:eastAsia="ar-SA"/>
        </w:rPr>
        <w:t xml:space="preserve">                    в значениях, указанных в статье 3 Федерального закона от 7 августа 2001 № 115-ФЗ                                              «О противодействии легализации (отмыванию) доходов, полученных преступным путем, и финансированию терроризма».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Пунктом 4 части 1 статьи 17 Федерального закона от 26.07.2006 № 135-ФЗ                        «О защите конкуренции» установлен запрет на участие организатора аукциона (Продавца) и (или) работников организатора </w:t>
      </w:r>
      <w:r>
        <w:rPr>
          <w:rFonts w:ascii="Liberation Serif" w:hAnsi="Liberation Serif"/>
          <w:color w:val="000000"/>
          <w:sz w:val="26"/>
          <w:szCs w:val="26"/>
        </w:rPr>
        <w:t xml:space="preserve">торгов (Продавца) в аукционе.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Установленные федеральными законами ограничения участия в гражданских отношениях отдельных кате</w:t>
      </w:r>
      <w:r>
        <w:rPr>
          <w:rFonts w:ascii="Liberation Serif" w:hAnsi="Liberation Serif"/>
          <w:sz w:val="26"/>
          <w:szCs w:val="26"/>
        </w:rPr>
        <w:t xml:space="preserve">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  <w:r/>
    </w:p>
    <w:p>
      <w:pPr>
        <w:pStyle w:val="720"/>
        <w:contextualSpacing/>
        <w:ind w:firstLine="708"/>
        <w:jc w:val="center"/>
        <w:rPr>
          <w:rFonts w:ascii="Liberation Serif" w:hAnsi="Liberation Serif" w:eastAsia="Times New Roman"/>
          <w:b/>
          <w:sz w:val="26"/>
          <w:szCs w:val="26"/>
          <w:lang w:eastAsia="ru-RU"/>
        </w:rPr>
      </w:pPr>
      <w:r>
        <w:rPr>
          <w:rFonts w:ascii="Liberation Serif" w:hAnsi="Liberation Serif" w:eastAsia="Times New Roman"/>
          <w:b/>
          <w:sz w:val="26"/>
          <w:szCs w:val="26"/>
          <w:lang w:eastAsia="ru-RU"/>
        </w:rPr>
      </w:r>
      <w:r/>
    </w:p>
    <w:p>
      <w:pPr>
        <w:pStyle w:val="720"/>
        <w:numPr>
          <w:ilvl w:val="0"/>
          <w:numId w:val="6"/>
        </w:numPr>
        <w:contextualSpacing/>
        <w:jc w:val="center"/>
        <w:rPr>
          <w:rFonts w:ascii="Liberation Serif" w:hAnsi="Liberation Serif" w:eastAsia="Times New Roman"/>
          <w:b/>
          <w:sz w:val="26"/>
          <w:szCs w:val="26"/>
          <w:lang w:eastAsia="ru-RU"/>
        </w:rPr>
      </w:pPr>
      <w:r>
        <w:rPr>
          <w:rFonts w:ascii="Liberation Serif" w:hAnsi="Liberation Serif" w:eastAsia="Times New Roman"/>
          <w:b/>
          <w:sz w:val="26"/>
          <w:szCs w:val="26"/>
          <w:lang w:eastAsia="ru-RU"/>
        </w:rPr>
        <w:t xml:space="preserve">Порядок регистрации на электронной площадке</w:t>
      </w:r>
      <w:r/>
    </w:p>
    <w:p>
      <w:pPr>
        <w:pStyle w:val="720"/>
        <w:contextualSpacing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Для обеспечения доступа к участию в эле</w:t>
      </w:r>
      <w:r>
        <w:rPr>
          <w:rFonts w:ascii="Liberation Serif" w:hAnsi="Liberation Serif"/>
          <w:sz w:val="26"/>
          <w:szCs w:val="26"/>
        </w:rPr>
        <w:t xml:space="preserve">ктронных торгах Претендентам необходимо пройти процедуру регистрации на электронной площадке http://utp.sberbank-ast.ru. в соответствии с Регламентом торговой секции «Приватизация, аренда и продажа прав» универсальной торговой платформы АО «Сбербанк-АСТ». </w:t>
      </w:r>
      <w:r/>
    </w:p>
    <w:p>
      <w:pPr>
        <w:pStyle w:val="720"/>
        <w:contextualSpacing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Заявление на регистрацию с полномочиями «Претендент (Участник)» вправе подать пользователь, зарегистрированный на электронной площадке с элект</w:t>
      </w:r>
      <w:r>
        <w:rPr>
          <w:rFonts w:ascii="Liberation Serif" w:hAnsi="Liberation Serif"/>
          <w:sz w:val="26"/>
          <w:szCs w:val="26"/>
        </w:rPr>
        <w:t xml:space="preserve">ронной подписью, являющийся юридическим или физическим лицом, в том числе индивидуальным предпринимателем. Регистрация пользователя в торговой секции в качестве «Претендента» производится автоматически после подписания электронной подписью формы заявления.</w:t>
      </w:r>
      <w:r/>
    </w:p>
    <w:p>
      <w:pPr>
        <w:pStyle w:val="720"/>
        <w:contextualSpacing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Подача заявки на участие в торгах осуществляет</w:t>
      </w:r>
      <w:r>
        <w:rPr>
          <w:rFonts w:ascii="Liberation Serif" w:hAnsi="Liberation Serif"/>
          <w:sz w:val="26"/>
          <w:szCs w:val="26"/>
        </w:rPr>
        <w:t xml:space="preserve">ся из личного кабинета посредством штатного интерфейса в установленные сроки. Заявка подается в виде электронного документа, подписанного электронной подписью с приложением необходимых документов. В случае успешного принятия заявки в течение одного часа в </w:t>
      </w:r>
      <w:r>
        <w:rPr>
          <w:rFonts w:ascii="Liberation Serif" w:hAnsi="Liberation Serif"/>
          <w:sz w:val="26"/>
          <w:szCs w:val="26"/>
        </w:rPr>
        <w:t xml:space="preserve">«личный кабинет» Претендента поступит уведомление о регистрации заявки. Одно лицо имеет право подать только одну заявку.</w:t>
      </w:r>
      <w:r/>
    </w:p>
    <w:p>
      <w:pPr>
        <w:pStyle w:val="720"/>
        <w:contextualSpacing/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Регистрация на электронной площадке проводится в соответствии    </w:t>
      </w:r>
      <w:r>
        <w:rPr>
          <w:rFonts w:ascii="Liberation Serif" w:hAnsi="Liberation Serif"/>
          <w:sz w:val="26"/>
          <w:szCs w:val="26"/>
        </w:rPr>
        <w:t xml:space="preserve">                                   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Универсальной торговой платформы «Сбербанк-АСТ» </w:t>
      </w:r>
      <w:r>
        <w:rPr>
          <w:rFonts w:ascii="Liberation Serif" w:hAnsi="Liberation Serif"/>
          <w:sz w:val="26"/>
          <w:szCs w:val="26"/>
          <w:lang w:val="en-US"/>
        </w:rPr>
        <w:t xml:space="preserve">utp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sberbank</w:t>
      </w:r>
      <w:r>
        <w:rPr>
          <w:rFonts w:ascii="Liberation Serif" w:hAnsi="Liberation Serif"/>
          <w:sz w:val="26"/>
          <w:szCs w:val="26"/>
        </w:rPr>
        <w:t xml:space="preserve">-</w:t>
      </w:r>
      <w:r>
        <w:rPr>
          <w:rFonts w:ascii="Liberation Serif" w:hAnsi="Liberation Serif"/>
          <w:sz w:val="26"/>
          <w:szCs w:val="26"/>
          <w:lang w:val="en-US"/>
        </w:rPr>
        <w:t xml:space="preserve">ast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ru</w:t>
      </w:r>
      <w:r>
        <w:rPr>
          <w:rFonts w:ascii="Liberation Serif" w:hAnsi="Liberation Serif"/>
          <w:sz w:val="26"/>
          <w:szCs w:val="26"/>
        </w:rPr>
        <w:t xml:space="preserve">, Регламентом торговой секции «Приватизация, аренда и продажа прав» универсальной торговой платформы АО «Сбербанк-АСТ» </w:t>
      </w:r>
      <w:r>
        <w:rPr>
          <w:rFonts w:ascii="Liberation Serif" w:hAnsi="Liberation Serif"/>
          <w:sz w:val="26"/>
          <w:szCs w:val="26"/>
          <w:lang w:val="en-US"/>
        </w:rPr>
        <w:t xml:space="preserve">utp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sberbank</w:t>
      </w:r>
      <w:r>
        <w:rPr>
          <w:rFonts w:ascii="Liberation Serif" w:hAnsi="Liberation Serif"/>
          <w:sz w:val="26"/>
          <w:szCs w:val="26"/>
        </w:rPr>
        <w:t xml:space="preserve">-</w:t>
      </w:r>
      <w:r>
        <w:rPr>
          <w:rFonts w:ascii="Liberation Serif" w:hAnsi="Liberation Serif"/>
          <w:sz w:val="26"/>
          <w:szCs w:val="26"/>
          <w:lang w:val="en-US"/>
        </w:rPr>
        <w:t xml:space="preserve">ast</w:t>
      </w:r>
      <w:r>
        <w:rPr>
          <w:rFonts w:ascii="Liberation Serif" w:hAnsi="Liberation Serif"/>
          <w:sz w:val="26"/>
          <w:szCs w:val="26"/>
        </w:rPr>
        <w:t xml:space="preserve">.</w:t>
      </w:r>
      <w:r>
        <w:rPr>
          <w:rFonts w:ascii="Liberation Serif" w:hAnsi="Liberation Serif"/>
          <w:sz w:val="26"/>
          <w:szCs w:val="26"/>
          <w:lang w:val="en-US"/>
        </w:rPr>
        <w:t xml:space="preserve">ru</w:t>
      </w:r>
      <w:r>
        <w:rPr>
          <w:rFonts w:ascii="Liberation Serif" w:hAnsi="Liberation Serif"/>
          <w:sz w:val="26"/>
          <w:szCs w:val="26"/>
        </w:rPr>
        <w:t xml:space="preserve">.</w:t>
      </w:r>
      <w:r/>
    </w:p>
    <w:p>
      <w:pPr>
        <w:contextualSpacing/>
        <w:ind w:right="126" w:firstLine="720"/>
        <w:jc w:val="center"/>
        <w:spacing w:line="240" w:lineRule="auto"/>
        <w:tabs>
          <w:tab w:val="left" w:pos="1134" w:leader="none"/>
        </w:tabs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tabs>
          <w:tab w:val="left" w:pos="1134" w:leader="none"/>
        </w:tabs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3. Порядок подачи заявок на участие в аукционе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Прием заявок и прилагаемых к ним документов начинается с даты и времени, указанных в настоящем информационном сообщении.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Заявки на участие подразделяются на два типа: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а) </w:t>
      </w:r>
      <w:r>
        <w:rPr>
          <w:rFonts w:ascii="Liberation Serif" w:hAnsi="Liberation Serif"/>
          <w:b/>
          <w:sz w:val="26"/>
          <w:szCs w:val="26"/>
        </w:rPr>
        <w:t xml:space="preserve">заявки первого типа</w:t>
      </w:r>
      <w:r>
        <w:rPr>
          <w:rFonts w:ascii="Liberation Serif" w:hAnsi="Liberation Serif"/>
          <w:sz w:val="26"/>
          <w:szCs w:val="26"/>
        </w:rPr>
        <w:t xml:space="preserve">: заявки, в которых Претендент выражает намерение купить акции по любой единой цене продажи, сложившейся на специализированном аукционе;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б) </w:t>
      </w:r>
      <w:r>
        <w:rPr>
          <w:rFonts w:ascii="Liberation Serif" w:hAnsi="Liberation Serif"/>
          <w:b/>
          <w:sz w:val="26"/>
          <w:szCs w:val="26"/>
        </w:rPr>
        <w:t xml:space="preserve">заявки второго типа</w:t>
      </w:r>
      <w:r>
        <w:rPr>
          <w:rFonts w:ascii="Liberation Serif" w:hAnsi="Liberation Serif"/>
          <w:sz w:val="26"/>
          <w:szCs w:val="26"/>
        </w:rPr>
        <w:t xml:space="preserve">: заявки, в которых Претендент выражает намерение купить акции по единой цене продажи, сложившейся на специализированном аукционе, но не в</w:t>
      </w:r>
      <w:r>
        <w:rPr>
          <w:rFonts w:ascii="Liberation Serif" w:hAnsi="Liberation Serif"/>
          <w:sz w:val="26"/>
          <w:szCs w:val="26"/>
        </w:rPr>
        <w:t xml:space="preserve">ыше максимальной цены покупки одной акции, указанной в такой заявке (далее - максимальная цена покупки). Максимальная цена покупки, указанная в заявке второго типа, не может быть меньше начальной цены продажи, указанной Организатором процедуры в извещении.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заявке Претендент указывает сумму денежных средств, направляемую им в оплату акций, являющихся предметом специализированного аукциона.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Сумма денежных средств, указанная в заявке первого типа, не может быть меньше начальной цены продажи, указанной Организатором процедуры в извещении.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Сумма денежных средств, указанная в заявке второго типа, не может быть меньше указанной в этой заявке максимальной цены покупки.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Заявка подается путем заполнения ее электронной формы, согласно                    Приложению № 2 к Составу аукционной документации, размещенной в открытой для доступа неограниченного круга лиц части электронной площадки АО «Сбербанк–АСТ» (</w:t>
      </w:r>
      <w:hyperlink r:id="rId15" w:tooltip="http://utp.sberbank-ast.ru/AP" w:history="1">
        <w:r>
          <w:t xml:space="preserve">http://utp.sberbank-ast.ru/AP</w:t>
        </w:r>
      </w:hyperlink>
      <w:r>
        <w:rPr>
          <w:rFonts w:ascii="Liberation Serif" w:hAnsi="Liberation Serif"/>
          <w:sz w:val="26"/>
          <w:szCs w:val="26"/>
        </w:rPr>
        <w:t xml:space="preserve">), с приложением электронных образов документов, предусмотренных Федеральным </w:t>
      </w:r>
      <w:hyperlink r:id="rId16" w:tooltip="consultantplus://offline/ref=961617445FA63C512D524E6F93777FF82B02BD8795DD482079873137FDAF92B26130C8DEA88B41C48352277EB1n5D4L" w:history="1">
        <w:r>
          <w:rPr>
            <w:rFonts w:ascii="Liberation Serif" w:hAnsi="Liberation Serif"/>
            <w:sz w:val="26"/>
            <w:szCs w:val="26"/>
          </w:rPr>
          <w:t xml:space="preserve">законом</w:t>
        </w:r>
      </w:hyperlink>
      <w:r>
        <w:rPr>
          <w:rFonts w:ascii="Liberation Serif" w:hAnsi="Liberation Serif"/>
          <w:sz w:val="26"/>
          <w:szCs w:val="26"/>
        </w:rPr>
        <w:t xml:space="preserve"> о приватизации и в соответствии                                     с Регламентом торговой секции «Приватизация, аренда и продажа прав» универсальной торговой платформы АО «Сбербанк-АСТ» utp.sberbank-ast.ru. 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Одно лицо имеет право подать только одну заявку.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 приеме заявок от Претендентов оператор электронной площ</w:t>
      </w:r>
      <w:r>
        <w:rPr>
          <w:rFonts w:ascii="Liberation Serif" w:hAnsi="Liberation Serif"/>
          <w:sz w:val="26"/>
          <w:szCs w:val="26"/>
        </w:rPr>
        <w:t xml:space="preserve">адки  обеспечивает  регистрацию заявок и прилагаемых к ним документов в журнале приема заявок,  каждой заявке присваивается номер с указанием даты и времени приема); конфиденциальность данных о Претендентах и Участниках, за исключением случая направления э</w:t>
      </w:r>
      <w:r>
        <w:rPr>
          <w:rFonts w:ascii="Liberation Serif" w:hAnsi="Liberation Serif"/>
          <w:sz w:val="26"/>
          <w:szCs w:val="26"/>
        </w:rPr>
        <w:t xml:space="preserve">лектронных документов Продавцу в порядке, установленном Постановлением Правительства Российской Федерации от 27 августа 2012 г. № 860                   «Об организации и проведении продажи государственного или муниципального имущества в электронной форме».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                   с приложением электронных копий зарегистрированной заявки и прилагаемых к ней </w:t>
      </w:r>
      <w:r>
        <w:rPr>
          <w:rFonts w:ascii="Liberation Serif" w:hAnsi="Liberation Serif"/>
          <w:sz w:val="26"/>
          <w:szCs w:val="26"/>
        </w:rPr>
        <w:t xml:space="preserve">документов.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</w:t>
      </w:r>
      <w:r/>
    </w:p>
    <w:p>
      <w:pPr>
        <w:contextualSpacing/>
        <w:ind w:right="112" w:firstLine="709"/>
        <w:spacing w:line="240" w:lineRule="auto"/>
        <w:tabs>
          <w:tab w:val="left" w:pos="1134" w:leader="none"/>
        </w:tabs>
        <w:rPr>
          <w:rFonts w:ascii="Liberation Serif" w:hAnsi="Liberation Serif"/>
          <w:sz w:val="26"/>
          <w:szCs w:val="26"/>
          <w:lang w:eastAsia="en-US"/>
        </w:rPr>
      </w:pPr>
      <w:r>
        <w:rPr>
          <w:rFonts w:ascii="Liberation Serif" w:hAnsi="Liberation Serif"/>
          <w:sz w:val="26"/>
          <w:szCs w:val="26"/>
        </w:rPr>
        <w:t xml:space="preserve">Сумма денежных средств, указанная в заявке, перечисляется Претендентом,      </w:t>
      </w:r>
      <w:r>
        <w:rPr>
          <w:rFonts w:ascii="Liberation Serif" w:hAnsi="Liberation Serif"/>
          <w:sz w:val="26"/>
          <w:szCs w:val="26"/>
          <w:u w:val="single"/>
        </w:rPr>
        <w:t xml:space="preserve">после регистрации заявки Оператором</w:t>
      </w:r>
      <w:r>
        <w:rPr>
          <w:rFonts w:ascii="Liberation Serif" w:hAnsi="Liberation Serif"/>
          <w:sz w:val="26"/>
          <w:szCs w:val="26"/>
        </w:rPr>
        <w:t xml:space="preserve">, но </w:t>
      </w:r>
      <w:r>
        <w:rPr>
          <w:rFonts w:ascii="Liberation Serif" w:hAnsi="Liberation Serif"/>
          <w:sz w:val="26"/>
          <w:szCs w:val="26"/>
          <w:u w:val="single"/>
        </w:rPr>
        <w:t xml:space="preserve">не позднее дня окончания приема заявок                   </w:t>
      </w:r>
      <w:r>
        <w:rPr>
          <w:rFonts w:ascii="Liberation Serif" w:hAnsi="Liberation Serif"/>
          <w:sz w:val="26"/>
          <w:szCs w:val="26"/>
        </w:rPr>
        <w:t xml:space="preserve"> по следующим реквизитам</w:t>
      </w:r>
      <w:r>
        <w:rPr>
          <w:rFonts w:ascii="Liberation Serif" w:hAnsi="Liberation Serif"/>
          <w:sz w:val="26"/>
          <w:szCs w:val="26"/>
          <w:lang w:eastAsia="en-US"/>
        </w:rPr>
        <w:t xml:space="preserve"> Продавца: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ИНН 8904013329 КПП 890401001, 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БИК 007182108, 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Банк получателя РКЦ Салехард г. Салехард/УФК по Ямало-Ненецкому автономному округу, 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Единый казначейский счет 40102810145370000008,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Казначейский счет 03232643719560009000,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ОКТМО 71956000</w:t>
      </w:r>
      <w:r/>
    </w:p>
    <w:p>
      <w:pPr>
        <w:contextualSpacing/>
        <w:ind w:right="70" w:firstLine="709"/>
        <w:spacing w:before="4" w:line="240" w:lineRule="auto"/>
        <w:rPr>
          <w:rFonts w:ascii="Liberation Serif" w:hAnsi="Liberation Serif"/>
          <w:i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платежном документе на перечисление денежных средств Претендент указывает </w:t>
      </w:r>
      <w:r>
        <w:rPr>
          <w:rFonts w:ascii="Liberation Serif" w:hAnsi="Liberation Serif"/>
          <w:i/>
          <w:sz w:val="26"/>
          <w:szCs w:val="26"/>
        </w:rPr>
        <w:t xml:space="preserve">номер заявки, присвоенный Оператором и указанный в уведомлении о регистрации заявки.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 отзыва Претендентом заявки, уведомление об отзыве заявки вместе                       с заявкой в течение одного часа поступает в «личный кабинет» Продавца, о чем Претенденту направляется соответствующее уведомление.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4. Перечень требуемых для участия в аукционе документов и требования                           к их оформлению: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Одновременно с заявкой Претенденты представляют документы в форме электронных документов либо электронных образов документов: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bCs/>
          <w:sz w:val="26"/>
          <w:szCs w:val="26"/>
          <w:u w:val="single"/>
        </w:rPr>
      </w:pPr>
      <w:r>
        <w:rPr>
          <w:rFonts w:ascii="Liberation Serif" w:hAnsi="Liberation Serif"/>
          <w:b/>
          <w:bCs/>
          <w:sz w:val="26"/>
          <w:szCs w:val="26"/>
          <w:u w:val="single"/>
        </w:rPr>
        <w:t xml:space="preserve">юридические лица: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заверенные копии учредительных документов;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документ, содержащий сведения о доле Российской Фе</w:t>
      </w:r>
      <w:r>
        <w:rPr>
          <w:rFonts w:ascii="Liberation Serif" w:hAnsi="Liberation Serif"/>
          <w:sz w:val="26"/>
          <w:szCs w:val="26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документ, который подтверждает полномочия руководителя юрид</w:t>
      </w:r>
      <w:r>
        <w:rPr>
          <w:rFonts w:ascii="Liberation Serif" w:hAnsi="Liberation Serif"/>
          <w:sz w:val="26"/>
          <w:szCs w:val="26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  <w:u w:val="single"/>
        </w:rPr>
        <w:t xml:space="preserve">физические лица</w:t>
      </w:r>
      <w:r>
        <w:rPr>
          <w:rFonts w:ascii="Liberation Serif" w:hAnsi="Liberation Serif"/>
          <w:sz w:val="26"/>
          <w:szCs w:val="26"/>
        </w:rPr>
        <w:t xml:space="preserve"> предъявляют </w:t>
      </w:r>
      <w:hyperlink r:id="rId17" w:tooltip="consultantplus://offline/ref=FD407F10771969839FE27406186BCFC9CF18860D7F4760C32291D9F7D3D26350F632E09EBAE1BF239374C44569vCsAG" w:history="1">
        <w:r>
          <w:rPr>
            <w:rFonts w:ascii="Liberation Serif" w:hAnsi="Liberation Serif"/>
            <w:sz w:val="26"/>
            <w:szCs w:val="26"/>
          </w:rPr>
          <w:t xml:space="preserve">документ</w:t>
        </w:r>
      </w:hyperlink>
      <w:r>
        <w:rPr>
          <w:rFonts w:ascii="Liberation Serif" w:hAnsi="Liberation Serif"/>
          <w:sz w:val="26"/>
          <w:szCs w:val="26"/>
        </w:rPr>
        <w:t xml:space="preserve">, удостоверяющий личность,                                     или представляют копии всех его листов.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случае, если от имени Претендента действует его представител</w:t>
      </w:r>
      <w:r>
        <w:rPr>
          <w:rFonts w:ascii="Liberation Serif" w:hAnsi="Liberation Serif"/>
          <w:sz w:val="26"/>
          <w:szCs w:val="26"/>
        </w:rPr>
        <w:t xml:space="preserve">ь                                        по доверенности, к заявке должна быть приложена доверенность на осуществление действий от имени Претендента, оформленная в установленном порядке,                                    или нотариально заверенная копия т</w:t>
      </w:r>
      <w:r>
        <w:rPr>
          <w:rFonts w:ascii="Liberation Serif" w:hAnsi="Liberation Serif"/>
          <w:sz w:val="26"/>
          <w:szCs w:val="26"/>
        </w:rPr>
        <w:t xml:space="preserve">акой доверенности. В случае, если доверенность                    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Соблюдение Претендентом указанных требований означает, что заявка                                         и документы, представляемые одновременно с заявкой, поданы от имени Претендента.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Заявка и иные представленные одновременно с ней документы подаются в форме электронных документов.  </w:t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5. Определение участников аукциона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 основании протокола об итогах приема заявок и выписок со счетов Продавец принимает решение о допуске (отказе в допуске) претендентов к участию                                          в специализированном аукционе.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 участию в специализированном аукционе допускаются Претенденты,                                    в отношении которых Продавец не выявил ни одного обстоятельства, являющегося                            в соответствии с </w:t>
      </w:r>
      <w:r>
        <w:rPr>
          <w:rFonts w:ascii="Liberation Serif" w:hAnsi="Liberation Serif"/>
          <w:bCs/>
          <w:sz w:val="26"/>
          <w:szCs w:val="26"/>
        </w:rPr>
        <w:t xml:space="preserve">Федеральным законом  от 21.12.2001 № 178-ФЗ «О приватизации государственного и муниципального имущества» </w:t>
      </w:r>
      <w:r>
        <w:rPr>
          <w:rFonts w:ascii="Liberation Serif" w:hAnsi="Liberation Serif"/>
          <w:sz w:val="26"/>
          <w:szCs w:val="26"/>
        </w:rPr>
        <w:t xml:space="preserve">основанием для отказа в допуске                        к участию в специализированном аукционе.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Решение Продавца о допуске (отказе в допуске) Претендентов к участию                              в специализированном аукционе оформляется протоколом об определении участников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Претендент приобретает статус Участника со времени подписания Продавцом протокола об определении участников.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Претендент не допускается к участию в специализированном аукционе                         по следующим основаниям: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заявка подана лицом, не уполномоченным Претендентом на осуществление таких действий;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представлены не все документы в соответствии с перечнем, содержащимся                             в информационном сообщении о проведении специализированного аукциона, или они оформлены не в соответствии с законодательством Российской Федерации;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поступившие денежные средства меньше начальной цены акции акционерного общества;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внесение Претендентом денежных средств осуществлено с нарушением условий, содержащихся в информационном сообщении.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Перечень оснований отказа Претенденту в участии в специализированном аукционе является исчерпывающим.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Информация о Претендентах, которым было отказано в допуске к участию                             в специализированном аукционе, размещается в открытой части АО «Сбербанк–АСТ» (</w:t>
      </w:r>
      <w:hyperlink r:id="rId18" w:tooltip="http://utp.sberbank-ast.ru/AP" w:history="1">
        <w:r>
          <w:rPr>
            <w:rFonts w:ascii="Liberation Serif" w:hAnsi="Liberation Serif"/>
            <w:sz w:val="26"/>
            <w:szCs w:val="26"/>
          </w:rPr>
          <w:t xml:space="preserve">http://utp.sberbank-ast.ru/AP</w:t>
        </w:r>
      </w:hyperlink>
      <w:r>
        <w:rPr>
          <w:rFonts w:ascii="Liberation Serif" w:hAnsi="Liberation Serif"/>
          <w:sz w:val="26"/>
          <w:szCs w:val="26"/>
        </w:rPr>
        <w:t xml:space="preserve">), на официальном сайте РФ для размещения информации                    о проведении торгов (</w:t>
      </w:r>
      <w:hyperlink r:id="rId19" w:tooltip="https://torgi.gov.ru/new" w:history="1">
        <w:r>
          <w:rPr>
            <w:rStyle w:val="861"/>
            <w:rFonts w:ascii="Liberation Serif" w:hAnsi="Liberation Serif"/>
            <w:color w:val="000000"/>
            <w:sz w:val="26"/>
            <w:szCs w:val="26"/>
            <w:u w:val="none"/>
          </w:rPr>
          <w:t xml:space="preserve">https://torgi.gov.ru/new</w:t>
        </w:r>
      </w:hyperlink>
      <w:r>
        <w:rPr>
          <w:rFonts w:ascii="Liberation Serif" w:hAnsi="Liberation Serif"/>
          <w:sz w:val="26"/>
          <w:szCs w:val="26"/>
        </w:rPr>
        <w:t xml:space="preserve">), на официальном сайте муниципального образования город Новый Уренгой (</w:t>
      </w:r>
      <w:hyperlink r:id="rId20" w:tooltip="https://nur.yanao.ru/" w:history="1">
        <w:r>
          <w:rPr>
            <w:rStyle w:val="861"/>
            <w:rFonts w:ascii="Liberation Serif" w:hAnsi="Liberation Serif"/>
            <w:color w:val="000000"/>
            <w:sz w:val="26"/>
            <w:szCs w:val="26"/>
            <w:u w:val="none"/>
          </w:rPr>
          <w:t xml:space="preserve">https://nur.yanao.ru/</w:t>
        </w:r>
      </w:hyperlink>
      <w:r>
        <w:rPr>
          <w:rFonts w:ascii="Liberation Serif" w:hAnsi="Liberation Serif"/>
          <w:sz w:val="26"/>
          <w:szCs w:val="26"/>
        </w:rPr>
        <w:t xml:space="preserve">),  после утверждения Продавцом протокола об определении участников.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6. Порядок проведения специализированного аукциона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Специализированный аукцион проводится </w:t>
      </w:r>
      <w:r>
        <w:rPr>
          <w:rFonts w:ascii="Liberation Serif" w:hAnsi="Liberation Serif" w:eastAsia="Calibri"/>
          <w:sz w:val="26"/>
          <w:szCs w:val="26"/>
          <w:lang w:eastAsia="en-US"/>
        </w:rPr>
        <w:t xml:space="preserve">в день и время, указанные                                    в информационном сообщении, но </w:t>
      </w:r>
      <w:r>
        <w:rPr>
          <w:rFonts w:ascii="Liberation Serif" w:hAnsi="Liberation Serif"/>
          <w:sz w:val="26"/>
          <w:szCs w:val="26"/>
        </w:rPr>
        <w:t xml:space="preserve">не ранее чем через десять рабочих дней со дня признания Претендентов Участниками специализированного аукциона.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/>
      <w:bookmarkStart w:id="1" w:name="Par1"/>
      <w:r/>
      <w:bookmarkEnd w:id="1"/>
      <w:r>
        <w:rPr>
          <w:rFonts w:ascii="Liberation Serif" w:hAnsi="Liberation Serif"/>
          <w:b/>
          <w:sz w:val="26"/>
          <w:szCs w:val="26"/>
        </w:rPr>
        <w:t xml:space="preserve">Единая цена продажи</w:t>
      </w:r>
      <w:r>
        <w:rPr>
          <w:rFonts w:ascii="Liberation Serif" w:hAnsi="Liberation Serif"/>
          <w:sz w:val="26"/>
          <w:szCs w:val="26"/>
        </w:rPr>
        <w:t xml:space="preserve"> определяется по следующим правилам: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а) при расчете единой цены продажи учитываются только денежные средства претендентов, допущенных к участию в специализированном аукционе;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б) единая цена продажи рассчитывается таким образом, чтобы она обеспечивала </w:t>
      </w:r>
      <w:r>
        <w:rPr>
          <w:rFonts w:ascii="Liberation Serif" w:hAnsi="Liberation Serif"/>
          <w:sz w:val="26"/>
          <w:szCs w:val="26"/>
        </w:rPr>
        <w:t xml:space="preserve">реализацию всех акций, выставленных на специализированный аукцион.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 определении единой цены продажи все расчеты выполняются с точностью                   до 1 копейки. Единая цена продажи не может быть ниже начальной цены продажи.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После определения единой цены продажи </w:t>
      </w:r>
      <w:r>
        <w:rPr>
          <w:rFonts w:ascii="Liberation Serif" w:hAnsi="Liberation Serif"/>
          <w:b/>
          <w:sz w:val="26"/>
          <w:szCs w:val="26"/>
        </w:rPr>
        <w:t xml:space="preserve">Продавец определяет Победителей специализированного аукциона по следующим правилам: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а) количество акций, получаемых Победителем, определяется путем деления суммы денежных средств, указанной в заявке победителя, на единую цену продажи                  (при получении дробного числа количество акций соответствует целой его части);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/>
      <w:bookmarkStart w:id="2" w:name="Par7"/>
      <w:r/>
      <w:bookmarkEnd w:id="2"/>
      <w:r>
        <w:rPr>
          <w:rFonts w:ascii="Liberation Serif" w:hAnsi="Liberation Serif"/>
          <w:sz w:val="26"/>
          <w:szCs w:val="26"/>
        </w:rPr>
        <w:t xml:space="preserve">б) в первую очередь удовлетворяются все заявки первого типа, в которых указанная сумма денежных средств больше единой цены продажи;</w:t>
      </w:r>
      <w:r/>
    </w:p>
    <w:p>
      <w:pPr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</w:rPr>
      </w:pPr>
      <w:r/>
      <w:bookmarkStart w:id="3" w:name="Par8"/>
      <w:r/>
      <w:bookmarkEnd w:id="3"/>
      <w:r>
        <w:rPr>
          <w:rFonts w:ascii="Liberation Serif" w:hAnsi="Liberation Serif"/>
          <w:sz w:val="26"/>
          <w:szCs w:val="26"/>
        </w:rPr>
        <w:t xml:space="preserve"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г) акции, оставшиеся после удовлетворения заявок, указанных в </w:t>
      </w:r>
      <w:hyperlink w:tooltip="#Par7" w:anchor="Par7" w:history="1">
        <w:r>
          <w:rPr>
            <w:rFonts w:ascii="Liberation Serif" w:hAnsi="Liberation Serif"/>
            <w:sz w:val="26"/>
            <w:szCs w:val="26"/>
          </w:rPr>
          <w:t xml:space="preserve">подпунктах «б</w:t>
        </w:r>
      </w:hyperlink>
      <w:r>
        <w:rPr>
          <w:rFonts w:ascii="Liberation Serif" w:hAnsi="Liberation Serif"/>
          <w:sz w:val="26"/>
          <w:szCs w:val="26"/>
        </w:rPr>
        <w:t xml:space="preserve">»                 и </w:t>
      </w:r>
      <w:hyperlink w:tooltip="#Par8" w:anchor="Par8" w:history="1">
        <w:r>
          <w:rPr>
            <w:rFonts w:ascii="Liberation Serif" w:hAnsi="Liberation Serif"/>
            <w:sz w:val="26"/>
            <w:szCs w:val="26"/>
          </w:rPr>
          <w:t xml:space="preserve">«в»</w:t>
        </w:r>
      </w:hyperlink>
      <w:r>
        <w:rPr>
          <w:rFonts w:ascii="Liberation Serif" w:hAnsi="Liberation Serif"/>
          <w:sz w:val="26"/>
          <w:szCs w:val="26"/>
        </w:rPr>
        <w:t xml:space="preserve"> настоящего пункта, распределяются следующим образом. 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первую очередь удовлетворяются заявки первого типа, в которых указанная сумма денежных средств равна единой цене продажи. 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Во вторую очередь удовлетворяются заявки второг</w:t>
      </w:r>
      <w:r>
        <w:rPr>
          <w:rFonts w:ascii="Liberation Serif" w:hAnsi="Liberation Serif"/>
          <w:sz w:val="26"/>
          <w:szCs w:val="26"/>
        </w:rPr>
        <w:t xml:space="preserve">о типа, в которых указанная максимальная цена покупки равна единой цене продажи. Такие заявки удовлетворяются последовательно, начиная от заявки, в которой указана большая сумма денежных средств, к заявке, в которой указана меньшая сумма денежных средств. 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 равенстве указанных в заявках первого и второго типов сумм денежных средств удовлетворяется заявка, принятая ранее. Последняя из удовлетворяемых заявок второго типа может быть удовлетворена частично;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</w:rPr>
        <w:t xml:space="preserve">д) </w:t>
      </w:r>
      <w:r>
        <w:rPr>
          <w:rFonts w:ascii="Liberation Serif" w:hAnsi="Liberation Serif"/>
          <w:sz w:val="26"/>
          <w:szCs w:val="26"/>
          <w:u w:val="single"/>
        </w:rPr>
        <w:t xml:space="preserve">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Аукцион признается несостоявшимся в следующих случаях: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а) не было подано ни одной заявки на участие в специализированном аукционе;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б) в специализированном аукционе принял участие только один Участник;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в) нарушены пра</w:t>
      </w:r>
      <w:r>
        <w:rPr>
          <w:rFonts w:ascii="Liberation Serif" w:hAnsi="Liberation Serif"/>
          <w:sz w:val="26"/>
          <w:szCs w:val="26"/>
        </w:rPr>
        <w:t xml:space="preserve">вила определения единой цены продажи, предусмотренные постановлением Правительства Российской Федерации от 27.08.2012 № 860                              «Об организации и проведении продажи государственного или муниципального имущества в электронной форме»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Протокол об итогах специализированного аукциона утверждается Продавцом                    в день подведения итогов аукциона и размещается на электронной площадке в течение одного часа со времени его утверждения.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Продавец возвращает не позднее 5 календарных дней со дня утверждения протокола об итогах специализированного аукциона Претендентам, Участникам                          и Победителям специализированного аукциона: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а) денежные средства, поступившие от Претендентов, не допущенных к участию                  в специализированном аукционе;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б) денежные средства, указанные в заявках, которые не были удовлетворены;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г) остаток денежных средств по заявкам, которые были удовлетворены частично;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д) денежные средства, указанные во всех заявках, при признании </w:t>
      </w:r>
      <w:r>
        <w:rPr>
          <w:rFonts w:ascii="Liberation Serif" w:hAnsi="Liberation Serif"/>
          <w:sz w:val="26"/>
          <w:szCs w:val="26"/>
        </w:rPr>
        <w:t xml:space="preserve">специализированного аукциона несостоявшимся.</w:t>
      </w:r>
      <w:r/>
    </w:p>
    <w:p>
      <w:pPr>
        <w:contextualSpacing/>
        <w:ind w:right="126" w:firstLine="720"/>
        <w:spacing w:line="240" w:lineRule="auto"/>
        <w:rPr>
          <w:rFonts w:ascii="Liberation Serif" w:hAnsi="Liberation Serif"/>
          <w:sz w:val="26"/>
          <w:szCs w:val="26"/>
          <w:highlight w:val="lightGray"/>
        </w:rPr>
      </w:pPr>
      <w:r>
        <w:rPr>
          <w:rFonts w:ascii="Liberation Serif" w:hAnsi="Liberation Serif"/>
          <w:sz w:val="26"/>
          <w:szCs w:val="26"/>
          <w:highlight w:val="lightGray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7. Порядок заключения договора купли-продажи </w:t>
      </w:r>
      <w:r/>
    </w:p>
    <w:p>
      <w:pPr>
        <w:contextualSpacing/>
        <w:ind w:firstLine="709"/>
        <w:spacing w:before="26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Утвержденный Продавцом протокол об итогах специализированного аукциона означает для Победителей заключение договоров купли-продажи акций.</w:t>
      </w:r>
      <w:r/>
    </w:p>
    <w:p>
      <w:pPr>
        <w:pStyle w:val="896"/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bCs/>
          <w:sz w:val="26"/>
          <w:szCs w:val="26"/>
          <w:lang w:val="ru-RU"/>
        </w:rPr>
        <w:t xml:space="preserve">Договор заключается в электронной форме посредством штатного интерфейса </w:t>
      </w:r>
      <w:r>
        <w:rPr>
          <w:rFonts w:ascii="Liberation Serif" w:hAnsi="Liberation Serif"/>
          <w:sz w:val="26"/>
          <w:szCs w:val="26"/>
          <w:lang w:val="ru-RU"/>
        </w:rPr>
        <w:t xml:space="preserve">торговой секции «Приватизация, аренда и продажа прав» Универсальной торговой платформы АО «Сбербанк-АСТ».</w:t>
      </w:r>
      <w:r/>
    </w:p>
    <w:p>
      <w:pPr>
        <w:pStyle w:val="896"/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 xml:space="preserve">Передача акций и офор</w:t>
      </w:r>
      <w:r>
        <w:rPr>
          <w:rFonts w:ascii="Liberation Serif" w:hAnsi="Liberation Serif"/>
          <w:sz w:val="26"/>
          <w:szCs w:val="26"/>
          <w:lang w:val="ru-RU"/>
        </w:rPr>
        <w:t xml:space="preserve">мление права собственности на акции осуществляются                   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  <w:r/>
    </w:p>
    <w:p>
      <w:pPr>
        <w:pStyle w:val="896"/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 xml:space="preserve">Для регистрации Покупателей в Реестр</w:t>
      </w:r>
      <w:r>
        <w:rPr>
          <w:rFonts w:ascii="Liberation Serif" w:hAnsi="Liberation Serif"/>
          <w:sz w:val="26"/>
          <w:szCs w:val="26"/>
          <w:lang w:val="ru-RU"/>
        </w:rPr>
        <w:t xml:space="preserve">е владельцев акций эмитента (с целью учета перехода прав) Продавец направляет реестродержателю эмитента (соответствующему депозитарию) не позднее чем через 30 календарных дней со дня подведения итогов специализированного аукциона передаточные распоряжения.</w:t>
      </w:r>
      <w:r/>
    </w:p>
    <w:p>
      <w:pPr>
        <w:pStyle w:val="896"/>
        <w:contextualSpacing/>
        <w:ind w:firstLine="709"/>
        <w:spacing w:line="240" w:lineRule="auto"/>
        <w:rPr>
          <w:rFonts w:ascii="Liberation Serif" w:hAnsi="Liberation Serif"/>
          <w:sz w:val="26"/>
          <w:szCs w:val="26"/>
          <w:lang w:val="ru-RU"/>
        </w:rPr>
      </w:pPr>
      <w:r>
        <w:rPr>
          <w:rFonts w:ascii="Liberation Serif" w:hAnsi="Liberation Serif"/>
          <w:sz w:val="26"/>
          <w:szCs w:val="26"/>
          <w:lang w:val="ru-RU"/>
        </w:rPr>
        <w:t xml:space="preserve">Признание от</w:t>
      </w:r>
      <w:r>
        <w:rPr>
          <w:rFonts w:ascii="Liberation Serif" w:hAnsi="Liberation Serif"/>
          <w:sz w:val="26"/>
          <w:szCs w:val="26"/>
          <w:lang w:val="ru-RU"/>
        </w:rPr>
        <w:t xml:space="preserve">дельных договоров купли-продажи акций недействительными или               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продажи.</w:t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  <w:r/>
    </w:p>
    <w:p>
      <w:pPr>
        <w:contextualSpacing/>
        <w:ind w:right="126" w:firstLine="720"/>
        <w:jc w:val="center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8. Информация о предоставлении разъяснений документации</w:t>
      </w:r>
      <w:r/>
    </w:p>
    <w:p>
      <w:pPr>
        <w:contextualSpacing/>
        <w:ind w:right="112" w:firstLine="720"/>
        <w:spacing w:line="240" w:lineRule="auto"/>
        <w:shd w:val="clear" w:color="auto" w:fill="ffffff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Любое лицо независимо от регистрации на электронной площадке вправе направить на электронный адрес Продавца, указанный в информационном сообщении                  о проведении специализированного аукциона, запрос о разъяснении размещенной информации.</w:t>
      </w:r>
      <w:r/>
    </w:p>
    <w:p>
      <w:pPr>
        <w:contextualSpacing/>
        <w:ind w:right="112" w:firstLine="720"/>
        <w:spacing w:line="240" w:lineRule="auto"/>
        <w:shd w:val="clear" w:color="auto" w:fill="ffffff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   5 (пяти) рабочих дней до окончания срока подачи заявок.</w:t>
      </w:r>
      <w:r/>
    </w:p>
    <w:p>
      <w:pPr>
        <w:contextualSpacing/>
        <w:ind w:right="112" w:firstLine="720"/>
        <w:spacing w:line="240" w:lineRule="auto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течение 2 рабочих дней со дня поступления запроса Продавец размещает                            в открытом доступе разъяснение с указанием предмета запроса, но без указания лица,                     от которого поступил запрос.</w:t>
      </w:r>
      <w:r/>
    </w:p>
    <w:p>
      <w:pPr>
        <w:contextualSpacing/>
        <w:ind w:right="112" w:firstLine="720"/>
        <w:spacing w:line="240" w:lineRule="auto"/>
        <w:tabs>
          <w:tab w:val="left" w:pos="184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С иными сведениями можно ознакомиться по адресу:</w:t>
      </w:r>
      <w:r>
        <w:rPr>
          <w:rFonts w:ascii="Liberation Serif" w:hAnsi="Liberation Serif"/>
          <w:sz w:val="26"/>
          <w:szCs w:val="26"/>
        </w:rPr>
        <w:t xml:space="preserve"> 629300,                          Ямало-Ненецкий автономный округ, г. Новый Уренгой, пр. Ленинградский, д. 5б,  кабинет 209, а также на следующих сайтах в сети «Интернет»: на электронной площадке АО «Сбербанк–АСТ» (</w:t>
      </w:r>
      <w:hyperlink r:id="rId21" w:tooltip="http://utp.sberbank-ast.ru/AP" w:history="1">
        <w:r>
          <w:rPr>
            <w:rFonts w:ascii="Liberation Serif" w:hAnsi="Liberation Serif"/>
            <w:sz w:val="26"/>
            <w:szCs w:val="26"/>
          </w:rPr>
          <w:t xml:space="preserve">http://utp.sberbank-ast.ru/AP</w:t>
        </w:r>
      </w:hyperlink>
      <w:r>
        <w:rPr>
          <w:rFonts w:ascii="Liberation Serif" w:hAnsi="Liberation Serif"/>
          <w:sz w:val="26"/>
          <w:szCs w:val="26"/>
        </w:rPr>
        <w:t xml:space="preserve">), на официальном сайте РФ для размещения информации о проведении торгов(</w:t>
      </w:r>
      <w:hyperlink r:id="rId22" w:tooltip="https://torgi.gov.ru/new" w:history="1">
        <w:r>
          <w:rPr>
            <w:rStyle w:val="861"/>
            <w:rFonts w:ascii="Liberation Serif" w:hAnsi="Liberation Serif"/>
            <w:sz w:val="26"/>
            <w:szCs w:val="26"/>
          </w:rPr>
          <w:t xml:space="preserve">https://torgi.gov.ru/new</w:t>
        </w:r>
      </w:hyperlink>
      <w:r>
        <w:rPr>
          <w:rFonts w:ascii="Liberation Serif" w:hAnsi="Liberation Serif"/>
          <w:sz w:val="26"/>
          <w:szCs w:val="26"/>
        </w:rPr>
        <w:t xml:space="preserve">), на официальном сайте муниципального образования город Новый Уренгой (</w:t>
      </w:r>
      <w:hyperlink r:id="rId23" w:tooltip="https://nur.yanao.ru/" w:history="1">
        <w:r>
          <w:rPr>
            <w:rStyle w:val="861"/>
            <w:rFonts w:ascii="Liberation Serif" w:hAnsi="Liberation Serif"/>
            <w:color w:val="000000"/>
            <w:sz w:val="26"/>
            <w:szCs w:val="26"/>
            <w:u w:val="none"/>
          </w:rPr>
          <w:t xml:space="preserve">https://nur.yanao.ru/</w:t>
        </w:r>
      </w:hyperlink>
      <w:r>
        <w:rPr>
          <w:rFonts w:ascii="Liberation Serif" w:hAnsi="Liberation Serif"/>
          <w:sz w:val="26"/>
          <w:szCs w:val="26"/>
        </w:rPr>
        <w:t xml:space="preserve">),                              в </w:t>
      </w:r>
      <w:r>
        <w:rPr>
          <w:rFonts w:ascii="Liberation Serif" w:hAnsi="Liberation Serif"/>
          <w:spacing w:val="-4"/>
          <w:sz w:val="26"/>
          <w:szCs w:val="26"/>
        </w:rPr>
        <w:t xml:space="preserve">Новоуренгойской городской газете «Правда Севера»</w:t>
      </w:r>
      <w:r>
        <w:rPr>
          <w:rFonts w:ascii="Liberation Serif" w:hAnsi="Liberation Serif"/>
          <w:sz w:val="26"/>
          <w:szCs w:val="26"/>
        </w:rPr>
        <w:t xml:space="preserve">. </w:t>
      </w:r>
      <w:r/>
    </w:p>
    <w:p>
      <w:pPr>
        <w:contextualSpacing/>
        <w:ind w:right="112" w:firstLine="720"/>
        <w:spacing w:line="240" w:lineRule="auto"/>
        <w:tabs>
          <w:tab w:val="left" w:pos="1843" w:leader="none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Контактный телефон: </w:t>
      </w:r>
      <w:r>
        <w:rPr>
          <w:rFonts w:ascii="Liberation Serif" w:hAnsi="Liberation Serif"/>
          <w:sz w:val="26"/>
          <w:szCs w:val="26"/>
          <w:lang w:eastAsia="ar-SA"/>
        </w:rPr>
        <w:t xml:space="preserve">8 (3494) 93-19-43</w:t>
      </w:r>
      <w:r>
        <w:rPr>
          <w:rFonts w:ascii="Liberation Serif" w:hAnsi="Liberation Serif"/>
          <w:sz w:val="26"/>
          <w:szCs w:val="26"/>
        </w:rPr>
        <w:t xml:space="preserve">. Контактное лицо: Иванцова Оксана Игоревна. Контактный телефон: </w:t>
      </w:r>
      <w:r>
        <w:rPr>
          <w:rFonts w:ascii="Liberation Serif" w:hAnsi="Liberation Serif"/>
          <w:sz w:val="26"/>
          <w:szCs w:val="26"/>
          <w:lang w:eastAsia="ar-SA"/>
        </w:rPr>
        <w:t xml:space="preserve">8 (3494) 93-19-28</w:t>
      </w:r>
      <w:r>
        <w:rPr>
          <w:rFonts w:ascii="Liberation Serif" w:hAnsi="Liberation Serif"/>
          <w:sz w:val="26"/>
          <w:szCs w:val="26"/>
        </w:rPr>
        <w:t xml:space="preserve">. Контактное лицо: Курбатова Юлия Александровна.</w:t>
      </w:r>
      <w:r/>
    </w:p>
    <w:p>
      <w:pPr>
        <w:contextualSpacing/>
        <w:ind w:right="112" w:firstLine="720"/>
        <w:spacing w:line="240" w:lineRule="auto"/>
        <w:tabs>
          <w:tab w:val="left" w:pos="1843" w:leader="none"/>
        </w:tabs>
        <w:rPr>
          <w:rFonts w:ascii="Liberation Serif" w:hAnsi="Liberation Serif"/>
          <w:sz w:val="26"/>
          <w:szCs w:val="26"/>
          <w:lang w:eastAsia="ar-SA"/>
        </w:rPr>
      </w:pPr>
      <w:r>
        <w:rPr>
          <w:rFonts w:ascii="Liberation Serif" w:hAnsi="Liberation Serif"/>
          <w:sz w:val="26"/>
          <w:szCs w:val="26"/>
          <w:lang w:eastAsia="ar-SA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707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Bookman Old Style">
    <w:panose1 w:val="02050604050505020204"/>
  </w:font>
  <w:font w:name="Literaturnaya">
    <w:panose1 w:val="02000603000000000000"/>
  </w:font>
  <w:font w:name="NewtonC">
    <w:panose1 w:val="02000603000000000000"/>
  </w:font>
  <w:font w:name="Times New Roman">
    <w:panose1 w:val="02020603050405020304"/>
  </w:font>
  <w:font w:name="MS Reference Sans Serif">
    <w:panose1 w:val="020B0604030504040204"/>
  </w:font>
  <w:font w:name="Consultant">
    <w:panose1 w:val="02000603000000000000"/>
  </w:font>
  <w:font w:name="Times New Roman CYR">
    <w:panose1 w:val="02020603050405020304"/>
  </w:font>
  <w:font w:name="Bold PS">
    <w:panose1 w:val="02000603000000000000"/>
  </w:font>
  <w:font w:name="Cyrvetica">
    <w:panose1 w:val="02000603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right"/>
      <w:rPr>
        <w:rFonts w:ascii="Liberation Serif" w:hAnsi="Liberation Serif"/>
        <w:sz w:val="22"/>
        <w:szCs w:val="22"/>
      </w:rPr>
    </w:pPr>
    <w:r>
      <w:rPr>
        <w:rFonts w:ascii="Liberation Serif" w:hAnsi="Liberation Serif"/>
        <w:sz w:val="22"/>
        <w:szCs w:val="22"/>
      </w:rPr>
      <w:fldChar w:fldCharType="begin"/>
    </w:r>
    <w:r>
      <w:rPr>
        <w:rFonts w:ascii="Liberation Serif" w:hAnsi="Liberation Serif"/>
        <w:sz w:val="22"/>
        <w:szCs w:val="22"/>
      </w:rPr>
      <w:instrText xml:space="preserve">PAGE   \* MERGEFORMAT</w:instrText>
    </w:r>
    <w:r>
      <w:rPr>
        <w:rFonts w:ascii="Liberation Serif" w:hAnsi="Liberation Serif"/>
        <w:sz w:val="22"/>
        <w:szCs w:val="22"/>
      </w:rPr>
      <w:fldChar w:fldCharType="separate"/>
    </w:r>
    <w:r>
      <w:rPr>
        <w:rFonts w:ascii="Liberation Serif" w:hAnsi="Liberation Serif"/>
        <w:sz w:val="22"/>
        <w:szCs w:val="22"/>
      </w:rPr>
      <w:t xml:space="preserve">2</w:t>
    </w:r>
    <w:r>
      <w:rPr>
        <w:rFonts w:ascii="Liberation Serif" w:hAnsi="Liberation Serif"/>
        <w:sz w:val="22"/>
        <w:szCs w:val="22"/>
      </w:rPr>
      <w:fldChar w:fldCharType="end"/>
    </w:r>
    <w:r/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separate"/>
    </w:r>
    <w:r>
      <w:rPr>
        <w:rStyle w:val="881"/>
      </w:rPr>
      <w:t xml:space="preserve">2</w:t>
    </w:r>
    <w:r>
      <w:rPr>
        <w:rStyle w:val="881"/>
      </w:rPr>
      <w:fldChar w:fldCharType="end"/>
    </w:r>
    <w:r/>
  </w:p>
  <w:p>
    <w:pPr>
      <w:pStyle w:val="7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691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79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80"/>
      <w:isLgl w:val="false"/>
      <w:suff w:val="tab"/>
      <w:lvlText w:val="7.1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694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695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696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697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98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699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  <w:tabs>
          <w:tab w:val="num" w:pos="86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04" w:hanging="720"/>
        <w:tabs>
          <w:tab w:val="num" w:pos="100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  <w:tabs>
          <w:tab w:val="num" w:pos="1506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08" w:hanging="1440"/>
        <w:tabs>
          <w:tab w:val="num" w:pos="2008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  <w:tabs>
          <w:tab w:val="num" w:pos="215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2" w:hanging="1800"/>
        <w:tabs>
          <w:tab w:val="num" w:pos="265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54" w:hanging="2160"/>
        <w:tabs>
          <w:tab w:val="num" w:pos="315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6" w:hanging="2160"/>
        <w:tabs>
          <w:tab w:val="num" w:pos="3296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pStyle w:val="947"/>
      <w:isLgl w:val="false"/>
      <w:suff w:val="tab"/>
      <w:lvlText w:val="Таблица 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pPr>
      <w:ind w:firstLine="567"/>
      <w:jc w:val="both"/>
      <w:spacing w:before="180" w:line="320" w:lineRule="auto"/>
      <w:widowControl w:val="off"/>
    </w:pPr>
    <w:rPr>
      <w:sz w:val="18"/>
    </w:rPr>
  </w:style>
  <w:style w:type="paragraph" w:styleId="691">
    <w:name w:val="Heading 1"/>
    <w:basedOn w:val="690"/>
    <w:next w:val="896"/>
    <w:link w:val="886"/>
    <w:pPr>
      <w:numPr>
        <w:numId w:val="1"/>
      </w:numPr>
      <w:jc w:val="center"/>
      <w:keepNext/>
      <w:spacing w:after="120"/>
      <w:outlineLvl w:val="0"/>
    </w:pPr>
    <w:rPr>
      <w:rFonts w:ascii="Arial" w:hAnsi="Arial"/>
      <w:b/>
      <w:caps/>
      <w:spacing w:val="20"/>
      <w:lang w:val="en-US" w:eastAsia="en-US"/>
    </w:rPr>
  </w:style>
  <w:style w:type="paragraph" w:styleId="692">
    <w:name w:val="Heading 2"/>
    <w:basedOn w:val="690"/>
    <w:next w:val="690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896"/>
    <w:link w:val="889"/>
    <w:pPr>
      <w:numPr>
        <w:ilvl w:val="3"/>
        <w:numId w:val="1"/>
      </w:numPr>
      <w:jc w:val="center"/>
      <w:keepNext/>
      <w:spacing w:before="120" w:after="60"/>
      <w:outlineLvl w:val="3"/>
    </w:pPr>
    <w:rPr>
      <w:rFonts w:ascii="Arial" w:hAnsi="Arial"/>
      <w:sz w:val="22"/>
      <w:lang w:val="en-US" w:eastAsia="en-US"/>
    </w:rPr>
  </w:style>
  <w:style w:type="paragraph" w:styleId="695">
    <w:name w:val="Heading 5"/>
    <w:basedOn w:val="690"/>
    <w:next w:val="690"/>
    <w:link w:val="890"/>
    <w:pPr>
      <w:numPr>
        <w:ilvl w:val="4"/>
        <w:numId w:val="1"/>
      </w:numPr>
      <w:jc w:val="center"/>
      <w:keepNext/>
      <w:outlineLvl w:val="4"/>
    </w:pPr>
    <w:rPr>
      <w:b/>
      <w:color w:val="000000"/>
      <w:sz w:val="22"/>
      <w:lang w:val="en-US" w:eastAsia="en-US"/>
    </w:rPr>
  </w:style>
  <w:style w:type="paragraph" w:styleId="696">
    <w:name w:val="Heading 6"/>
    <w:basedOn w:val="690"/>
    <w:next w:val="690"/>
    <w:link w:val="89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val="en-US" w:eastAsia="en-US"/>
    </w:rPr>
  </w:style>
  <w:style w:type="paragraph" w:styleId="697">
    <w:name w:val="Heading 7"/>
    <w:basedOn w:val="690"/>
    <w:next w:val="690"/>
    <w:link w:val="89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lang w:val="en-US" w:eastAsia="en-US"/>
    </w:rPr>
  </w:style>
  <w:style w:type="paragraph" w:styleId="698">
    <w:name w:val="Heading 8"/>
    <w:basedOn w:val="690"/>
    <w:next w:val="690"/>
    <w:link w:val="89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lang w:val="en-US" w:eastAsia="en-US"/>
    </w:rPr>
  </w:style>
  <w:style w:type="paragraph" w:styleId="699">
    <w:name w:val="Heading 9"/>
    <w:basedOn w:val="690"/>
    <w:next w:val="690"/>
    <w:link w:val="89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lang w:val="en-US" w:eastAsia="en-US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Subtitle Char"/>
    <w:basedOn w:val="700"/>
    <w:uiPriority w:val="11"/>
    <w:rPr>
      <w:sz w:val="24"/>
      <w:szCs w:val="24"/>
    </w:rPr>
  </w:style>
  <w:style w:type="character" w:styleId="706" w:customStyle="1">
    <w:name w:val="Quote Char"/>
    <w:uiPriority w:val="29"/>
    <w:rPr>
      <w:i/>
    </w:rPr>
  </w:style>
  <w:style w:type="character" w:styleId="707" w:customStyle="1">
    <w:name w:val="Intense Quote Char"/>
    <w:uiPriority w:val="30"/>
    <w:rPr>
      <w:i/>
    </w:rPr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0"/>
    <w:uiPriority w:val="34"/>
    <w:qFormat/>
    <w:pPr>
      <w:contextualSpacing/>
      <w:ind w:left="720"/>
    </w:pPr>
  </w:style>
  <w:style w:type="paragraph" w:styleId="720">
    <w:name w:val="No Spacing"/>
    <w:pPr>
      <w:ind w:firstLine="567"/>
      <w:jc w:val="both"/>
    </w:pPr>
    <w:rPr>
      <w:rFonts w:eastAsia="Calibri"/>
      <w:sz w:val="24"/>
      <w:szCs w:val="24"/>
      <w:lang w:eastAsia="en-US"/>
    </w:rPr>
  </w:style>
  <w:style w:type="paragraph" w:styleId="721">
    <w:name w:val="Title"/>
    <w:basedOn w:val="690"/>
    <w:link w:val="907"/>
    <w:pPr>
      <w:keepLines/>
      <w:keepNext/>
      <w:spacing w:before="144" w:after="72"/>
    </w:pPr>
    <w:rPr>
      <w:rFonts w:ascii="Arial" w:hAnsi="Arial"/>
      <w:b/>
      <w:color w:val="000000"/>
      <w:sz w:val="36"/>
      <w:lang w:val="en-US" w:eastAsia="en-US"/>
    </w:rPr>
  </w:style>
  <w:style w:type="character" w:styleId="722" w:customStyle="1">
    <w:name w:val="Title Char"/>
    <w:uiPriority w:val="10"/>
    <w:rPr>
      <w:sz w:val="48"/>
      <w:szCs w:val="48"/>
    </w:rPr>
  </w:style>
  <w:style w:type="paragraph" w:styleId="723">
    <w:name w:val="Subtitle"/>
    <w:basedOn w:val="690"/>
    <w:next w:val="690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0"/>
    <w:next w:val="69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0"/>
    <w:next w:val="690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0"/>
    <w:link w:val="1028"/>
    <w:pPr>
      <w:tabs>
        <w:tab w:val="center" w:pos="4677" w:leader="none"/>
        <w:tab w:val="right" w:pos="9355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0"/>
    <w:link w:val="88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01"/>
    <w:pPr>
      <w:widowControl w:val="off"/>
    </w:p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90"/>
    <w:link w:val="863"/>
    <w:uiPriority w:val="99"/>
    <w:semiHidden/>
    <w:unhideWhenUsed/>
    <w:pPr>
      <w:spacing w:after="40" w:line="240" w:lineRule="auto"/>
    </w:p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0"/>
    <w:link w:val="866"/>
    <w:uiPriority w:val="99"/>
    <w:semiHidden/>
    <w:unhideWhenUsed/>
    <w:pPr>
      <w:spacing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semiHidden/>
    <w:rPr>
      <w:vertAlign w:val="superscript"/>
    </w:rPr>
  </w:style>
  <w:style w:type="paragraph" w:styleId="868">
    <w:name w:val="toc 1"/>
    <w:basedOn w:val="690"/>
    <w:next w:val="690"/>
    <w:pPr>
      <w:spacing w:before="120"/>
    </w:pPr>
    <w:rPr>
      <w:b/>
      <w:bCs/>
      <w:i/>
      <w:iCs/>
    </w:rPr>
  </w:style>
  <w:style w:type="paragraph" w:styleId="869">
    <w:name w:val="toc 2"/>
    <w:basedOn w:val="690"/>
    <w:next w:val="690"/>
    <w:pPr>
      <w:ind w:left="200"/>
      <w:spacing w:before="120"/>
    </w:pPr>
    <w:rPr>
      <w:b/>
      <w:bCs/>
      <w:sz w:val="22"/>
      <w:szCs w:val="22"/>
    </w:rPr>
  </w:style>
  <w:style w:type="paragraph" w:styleId="870">
    <w:name w:val="toc 3"/>
    <w:basedOn w:val="690"/>
    <w:next w:val="690"/>
    <w:pPr>
      <w:ind w:left="400"/>
    </w:pPr>
    <w:rPr>
      <w:sz w:val="20"/>
    </w:rPr>
  </w:style>
  <w:style w:type="paragraph" w:styleId="871">
    <w:name w:val="toc 4"/>
    <w:basedOn w:val="690"/>
    <w:next w:val="690"/>
    <w:semiHidden/>
    <w:pPr>
      <w:ind w:left="600"/>
    </w:pPr>
    <w:rPr>
      <w:sz w:val="20"/>
    </w:rPr>
  </w:style>
  <w:style w:type="paragraph" w:styleId="872">
    <w:name w:val="toc 5"/>
    <w:basedOn w:val="690"/>
    <w:next w:val="690"/>
    <w:semiHidden/>
    <w:pPr>
      <w:ind w:left="800"/>
    </w:pPr>
    <w:rPr>
      <w:sz w:val="20"/>
    </w:rPr>
  </w:style>
  <w:style w:type="paragraph" w:styleId="873">
    <w:name w:val="toc 6"/>
    <w:basedOn w:val="690"/>
    <w:next w:val="690"/>
    <w:semiHidden/>
    <w:pPr>
      <w:ind w:left="1000"/>
    </w:pPr>
    <w:rPr>
      <w:sz w:val="20"/>
    </w:rPr>
  </w:style>
  <w:style w:type="paragraph" w:styleId="874">
    <w:name w:val="toc 7"/>
    <w:basedOn w:val="690"/>
    <w:next w:val="690"/>
    <w:semiHidden/>
    <w:pPr>
      <w:ind w:left="1200"/>
    </w:pPr>
    <w:rPr>
      <w:sz w:val="20"/>
    </w:rPr>
  </w:style>
  <w:style w:type="paragraph" w:styleId="875">
    <w:name w:val="toc 8"/>
    <w:basedOn w:val="690"/>
    <w:next w:val="690"/>
    <w:semiHidden/>
    <w:pPr>
      <w:ind w:left="1400"/>
    </w:pPr>
    <w:rPr>
      <w:sz w:val="20"/>
    </w:rPr>
  </w:style>
  <w:style w:type="paragraph" w:styleId="876">
    <w:name w:val="toc 9"/>
    <w:basedOn w:val="690"/>
    <w:next w:val="690"/>
    <w:semiHidden/>
    <w:pPr>
      <w:ind w:left="1600"/>
    </w:pPr>
    <w:rPr>
      <w:sz w:val="20"/>
    </w:r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0"/>
    <w:next w:val="690"/>
    <w:uiPriority w:val="99"/>
    <w:unhideWhenUsed/>
  </w:style>
  <w:style w:type="paragraph" w:styleId="879" w:customStyle="1">
    <w:name w:val="Заголовок 2;Заголовок 2 2К;2К Заголовок 2;2;Zag2;Sub heading;Sub;Знак3"/>
    <w:basedOn w:val="690"/>
    <w:next w:val="896"/>
    <w:link w:val="887"/>
    <w:pPr>
      <w:numPr>
        <w:ilvl w:val="1"/>
        <w:numId w:val="1"/>
      </w:numPr>
      <w:jc w:val="center"/>
      <w:keepNext/>
      <w:spacing w:before="240" w:after="120"/>
      <w:outlineLvl w:val="1"/>
    </w:pPr>
    <w:rPr>
      <w:rFonts w:ascii="Arial" w:hAnsi="Arial"/>
      <w:b/>
      <w:i/>
      <w:lang w:val="en-US" w:eastAsia="en-US"/>
    </w:rPr>
  </w:style>
  <w:style w:type="paragraph" w:styleId="880" w:customStyle="1">
    <w:name w:val="Заголовок 3;Заголовок 3 Знак3;Заголовок 3 Знак2 Знак;Заголовок 3 Знак1 Знак Знак;Заголовок 3 Знак Знак Знак Знак;Заголовок 3 Знак Знак1 Знак;Заголовок 3 Знак1 Знак1;Заголовок 3 Знак Знак Знак1;Заголовок 3 Знак Знак2;Заголовок 3 Знак3 Знак Знак Знак Знак"/>
    <w:basedOn w:val="690"/>
    <w:next w:val="690"/>
    <w:link w:val="888"/>
    <w:pPr>
      <w:numPr>
        <w:ilvl w:val="2"/>
        <w:numId w:val="1"/>
      </w:numPr>
      <w:jc w:val="center"/>
      <w:keepNext/>
      <w:spacing w:before="240" w:after="60"/>
      <w:outlineLvl w:val="2"/>
    </w:pPr>
    <w:rPr>
      <w:rFonts w:ascii="Arial" w:hAnsi="Arial"/>
      <w:lang w:val="en-US" w:eastAsia="en-US"/>
    </w:rPr>
  </w:style>
  <w:style w:type="character" w:styleId="881">
    <w:name w:val="page number"/>
    <w:basedOn w:val="700"/>
  </w:style>
  <w:style w:type="paragraph" w:styleId="882" w:customStyle="1">
    <w:name w:val="ConsPlusNonformat"/>
    <w:pPr>
      <w:ind w:firstLine="567"/>
      <w:jc w:val="both"/>
      <w:widowControl w:val="off"/>
    </w:pPr>
    <w:rPr>
      <w:rFonts w:ascii="Courier New" w:hAnsi="Courier New"/>
    </w:rPr>
  </w:style>
  <w:style w:type="paragraph" w:styleId="883">
    <w:name w:val="Balloon Text"/>
    <w:basedOn w:val="690"/>
    <w:semiHidden/>
    <w:rPr>
      <w:rFonts w:ascii="Tahoma" w:hAnsi="Tahoma"/>
      <w:sz w:val="16"/>
      <w:szCs w:val="16"/>
    </w:rPr>
  </w:style>
  <w:style w:type="character" w:styleId="884" w:customStyle="1">
    <w:name w:val="Нижний колонтитул Знак"/>
    <w:link w:val="731"/>
    <w:rPr>
      <w:sz w:val="24"/>
      <w:szCs w:val="24"/>
    </w:rPr>
  </w:style>
  <w:style w:type="character" w:styleId="885" w:customStyle="1">
    <w:name w:val="wmi-callto"/>
  </w:style>
  <w:style w:type="character" w:styleId="886" w:customStyle="1">
    <w:name w:val="Заголовок 1 Знак"/>
    <w:link w:val="691"/>
    <w:rPr>
      <w:rFonts w:ascii="Arial" w:hAnsi="Arial"/>
      <w:b/>
      <w:caps/>
      <w:spacing w:val="20"/>
      <w:sz w:val="24"/>
      <w:lang w:val="en-US" w:eastAsia="en-US"/>
    </w:rPr>
  </w:style>
  <w:style w:type="character" w:styleId="887" w:customStyle="1">
    <w:name w:val="Заголовок 2 Знак;Заголовок 2 2К Знак;2К Заголовок 2 Знак;2 Знак;Zag2 Знак;Sub heading Знак;Sub Знак;Знак3 Знак"/>
    <w:link w:val="879"/>
    <w:rPr>
      <w:rFonts w:ascii="Arial" w:hAnsi="Arial"/>
      <w:b/>
      <w:i/>
      <w:sz w:val="24"/>
    </w:rPr>
  </w:style>
  <w:style w:type="character" w:styleId="888" w:customStyle="1">
    <w:name w:val="Заголовок 3 Знак;Заголовок 3 Знак3 Знак;Заголовок 3 Знак2 Знак Знак;Заголовок 3 Знак1 Знак Знак Знак;Заголовок 3 Знак Знак Знак Знак Знак;Заголовок 3 Знак Знак1 Знак Знак;Заголовок 3 Знак1 Знак1 Знак;Заголовок 3 Знак Знак Знак1 Знак"/>
    <w:link w:val="880"/>
    <w:rPr>
      <w:rFonts w:ascii="Arial" w:hAnsi="Arial"/>
      <w:sz w:val="24"/>
    </w:rPr>
  </w:style>
  <w:style w:type="character" w:styleId="889" w:customStyle="1">
    <w:name w:val="Заголовок 4 Знак"/>
    <w:link w:val="694"/>
    <w:rPr>
      <w:rFonts w:ascii="Arial" w:hAnsi="Arial"/>
      <w:sz w:val="22"/>
    </w:rPr>
  </w:style>
  <w:style w:type="character" w:styleId="890" w:customStyle="1">
    <w:name w:val="Заголовок 5 Знак"/>
    <w:link w:val="695"/>
    <w:rPr>
      <w:b/>
      <w:color w:val="000000"/>
      <w:sz w:val="22"/>
    </w:rPr>
  </w:style>
  <w:style w:type="character" w:styleId="891" w:customStyle="1">
    <w:name w:val="Заголовок 6 Знак"/>
    <w:link w:val="696"/>
    <w:rPr>
      <w:rFonts w:ascii="Arial" w:hAnsi="Arial"/>
      <w:i/>
      <w:sz w:val="22"/>
    </w:rPr>
  </w:style>
  <w:style w:type="character" w:styleId="892" w:customStyle="1">
    <w:name w:val="Заголовок 7 Знак"/>
    <w:link w:val="697"/>
    <w:rPr>
      <w:rFonts w:ascii="Arial" w:hAnsi="Arial"/>
    </w:rPr>
  </w:style>
  <w:style w:type="character" w:styleId="893" w:customStyle="1">
    <w:name w:val="Заголовок 8 Знак"/>
    <w:link w:val="698"/>
    <w:rPr>
      <w:rFonts w:ascii="Arial" w:hAnsi="Arial"/>
      <w:i/>
    </w:rPr>
  </w:style>
  <w:style w:type="character" w:styleId="894" w:customStyle="1">
    <w:name w:val="Заголовок 9 Знак"/>
    <w:link w:val="699"/>
    <w:rPr>
      <w:rFonts w:ascii="Arial" w:hAnsi="Arial"/>
      <w:i/>
      <w:sz w:val="18"/>
    </w:rPr>
  </w:style>
  <w:style w:type="numbering" w:styleId="895" w:customStyle="1">
    <w:name w:val="Нет списка1"/>
    <w:next w:val="702"/>
    <w:semiHidden/>
  </w:style>
  <w:style w:type="paragraph" w:styleId="896">
    <w:name w:val="Body Text"/>
    <w:basedOn w:val="690"/>
    <w:link w:val="897"/>
    <w:pPr>
      <w:ind w:firstLine="720"/>
    </w:pPr>
    <w:rPr>
      <w:color w:val="000000"/>
      <w:lang w:val="en-US" w:eastAsia="en-US"/>
    </w:rPr>
  </w:style>
  <w:style w:type="character" w:styleId="897" w:customStyle="1">
    <w:name w:val="Основной текст Знак"/>
    <w:link w:val="896"/>
    <w:rPr>
      <w:color w:val="000000"/>
      <w:sz w:val="24"/>
      <w:lang w:val="en-US" w:eastAsia="en-US"/>
    </w:rPr>
  </w:style>
  <w:style w:type="paragraph" w:styleId="898" w:customStyle="1">
    <w:name w:val="Основной текст с отступом;Основной текст 1;Нумерованный список !!"/>
    <w:basedOn w:val="690"/>
    <w:link w:val="899"/>
    <w:pPr>
      <w:ind w:firstLine="708"/>
    </w:pPr>
    <w:rPr>
      <w:lang w:val="en-US" w:eastAsia="en-US"/>
    </w:rPr>
  </w:style>
  <w:style w:type="character" w:styleId="899" w:customStyle="1">
    <w:name w:val="Основной текст с отступом Знак;Основной текст 1 Знак;Нумерованный список !! Знак"/>
    <w:link w:val="898"/>
    <w:rPr>
      <w:sz w:val="24"/>
      <w:lang w:val="en-US" w:eastAsia="en-US"/>
    </w:rPr>
  </w:style>
  <w:style w:type="paragraph" w:styleId="900" w:customStyle="1">
    <w:name w:val="FR3"/>
    <w:pPr>
      <w:ind w:firstLine="567"/>
      <w:jc w:val="both"/>
      <w:widowControl w:val="off"/>
    </w:pPr>
    <w:rPr>
      <w:i/>
      <w:sz w:val="22"/>
    </w:rPr>
  </w:style>
  <w:style w:type="paragraph" w:styleId="901" w:customStyle="1">
    <w:name w:val="FR4"/>
    <w:pPr>
      <w:ind w:firstLine="567"/>
      <w:jc w:val="both"/>
      <w:widowControl w:val="off"/>
    </w:pPr>
    <w:rPr>
      <w:rFonts w:ascii="Courier New" w:hAnsi="Courier New"/>
      <w:b/>
      <w:sz w:val="22"/>
    </w:rPr>
  </w:style>
  <w:style w:type="paragraph" w:styleId="902" w:customStyle="1">
    <w:name w:val="Body Text 2;Îñíîâíîé òåêñò 1;Íóìåðîâàííûé ñïèñîê !!;Íàäèí ñòèëü;Îñíîâíîé òåêñò ñ îòñòóïîì Çíàê1;Îñíîâíîé òåêñò ñ îòñòóïîì Çíàê Çíàê;Îñíîâíîé òåêñò ñ îòñòóïîì Çíàê;Îñíîâíîé òåêñò ñ îòñòóïîì Çíàê2;Îñíîâíîé òåêñò ñ îòñòóïîì Çíàê1 Çíàê;Ìîé Çàãîëîâîê 1"/>
    <w:basedOn w:val="690"/>
    <w:pPr>
      <w:ind w:firstLine="851"/>
      <w:spacing w:line="360" w:lineRule="auto"/>
    </w:pPr>
    <w:rPr>
      <w:sz w:val="22"/>
    </w:rPr>
  </w:style>
  <w:style w:type="paragraph" w:styleId="903">
    <w:name w:val="Body Text Indent 2"/>
    <w:basedOn w:val="690"/>
    <w:link w:val="904"/>
    <w:pPr>
      <w:ind w:firstLine="851"/>
      <w:spacing w:line="360" w:lineRule="auto"/>
    </w:pPr>
    <w:rPr>
      <w:lang w:eastAsia="en-US"/>
    </w:rPr>
  </w:style>
  <w:style w:type="character" w:styleId="904" w:customStyle="1">
    <w:name w:val="Основной текст с отступом 2 Знак"/>
    <w:basedOn w:val="700"/>
    <w:link w:val="903"/>
  </w:style>
  <w:style w:type="paragraph" w:styleId="905">
    <w:name w:val="Body Text 3"/>
    <w:basedOn w:val="902"/>
    <w:link w:val="906"/>
    <w:pPr>
      <w:ind w:left="360" w:firstLine="360"/>
      <w:spacing w:after="240" w:line="240" w:lineRule="atLeast"/>
    </w:pPr>
  </w:style>
  <w:style w:type="character" w:styleId="906" w:customStyle="1">
    <w:name w:val="Основной текст 3 Знак"/>
    <w:link w:val="905"/>
    <w:rPr>
      <w:sz w:val="16"/>
      <w:szCs w:val="16"/>
      <w:lang w:val="en-US" w:eastAsia="en-US"/>
    </w:rPr>
  </w:style>
  <w:style w:type="character" w:styleId="907" w:customStyle="1">
    <w:name w:val="Название Знак"/>
    <w:link w:val="721"/>
    <w:rPr>
      <w:rFonts w:ascii="Arial" w:hAnsi="Arial"/>
      <w:b/>
      <w:color w:val="000000"/>
      <w:sz w:val="36"/>
    </w:rPr>
  </w:style>
  <w:style w:type="paragraph" w:styleId="908">
    <w:name w:val="Body Text 2"/>
    <w:basedOn w:val="690"/>
    <w:link w:val="909"/>
    <w:rPr>
      <w:lang w:val="en-US" w:eastAsia="en-US"/>
    </w:rPr>
  </w:style>
  <w:style w:type="character" w:styleId="909" w:customStyle="1">
    <w:name w:val="Основной текст 2 Знак"/>
    <w:link w:val="908"/>
    <w:rPr>
      <w:sz w:val="24"/>
      <w:lang w:val="en-US" w:eastAsia="en-US"/>
    </w:rPr>
  </w:style>
  <w:style w:type="paragraph" w:styleId="910">
    <w:name w:val="Body Text Indent 3"/>
    <w:basedOn w:val="690"/>
    <w:link w:val="911"/>
    <w:pPr>
      <w:ind w:left="3544"/>
    </w:pPr>
    <w:rPr>
      <w:lang w:val="en-US" w:eastAsia="en-US"/>
    </w:rPr>
  </w:style>
  <w:style w:type="character" w:styleId="911" w:customStyle="1">
    <w:name w:val="Основной текст с отступом 3 Знак"/>
    <w:link w:val="910"/>
    <w:rPr>
      <w:sz w:val="24"/>
    </w:rPr>
  </w:style>
  <w:style w:type="paragraph" w:styleId="912" w:customStyle="1">
    <w:name w:val="z-Bottom of Form"/>
    <w:next w:val="690"/>
    <w:hidden/>
    <w:pPr>
      <w:ind w:firstLine="567"/>
      <w:jc w:val="center"/>
      <w:pBdr>
        <w:top w:val="single" w:color="000000" w:sz="2" w:space="0"/>
      </w:pBdr>
    </w:pPr>
    <w:rPr>
      <w:rFonts w:ascii="Arial" w:hAnsi="Arial"/>
      <w:vanish/>
      <w:sz w:val="16"/>
    </w:rPr>
  </w:style>
  <w:style w:type="paragraph" w:styleId="913" w:customStyle="1">
    <w:name w:val="z-Top of Form"/>
    <w:next w:val="690"/>
    <w:hidden/>
    <w:pPr>
      <w:ind w:firstLine="567"/>
      <w:jc w:val="center"/>
      <w:pBdr>
        <w:bottom w:val="single" w:color="000000" w:sz="2" w:space="0"/>
      </w:pBdr>
    </w:pPr>
    <w:rPr>
      <w:rFonts w:ascii="Arial" w:hAnsi="Arial"/>
      <w:vanish/>
      <w:sz w:val="16"/>
    </w:rPr>
  </w:style>
  <w:style w:type="character" w:styleId="914" w:customStyle="1">
    <w:name w:val="Знак сноски;СНОСКА;сноска1;fr;Used by Word for Help footnote symbols;Знак сноски-FN;Знак сноски 1;Ciae niinee-FN;Referencia nota al pie;ftref;сноска;Знак сноски1;Знак сноски итог;SUPERS;ООО Знак сноски;вески;Avg - Знак сноски;avg-Знак сноски;Avg"/>
    <w:rPr>
      <w:vertAlign w:val="superscript"/>
    </w:rPr>
  </w:style>
  <w:style w:type="paragraph" w:styleId="915" w:customStyle="1">
    <w:name w:val="Текст сноски;Текст сноски Знак1 Знак;Footnote Text Char1 Знак Знак1;Footnote Text Char Char Знак Знак1;Footnote Text Char1 Char Char Знак Знак;Footnote Text Char Char Char Char Знак Знак;Char Char Char Char Char Знак Знак;Знак1;З;Знак;Char Знак"/>
    <w:basedOn w:val="690"/>
    <w:link w:val="916"/>
    <w:rPr>
      <w:sz w:val="20"/>
    </w:rPr>
  </w:style>
  <w:style w:type="character" w:styleId="916" w:customStyle="1">
    <w:name w:val="Текст сноски Знак;Текст сноски Знак1 Знак Знак;Footnote Text Char1 Знак Знак1 Знак;Footnote Text Char Char Знак Знак1 Знак;Footnote Text Char1 Char Char Знак Знак Знак;Footnote Text Char Char Char Char Знак Знак Знак;Знак1 Знак;З Знак;Знак Знак"/>
    <w:basedOn w:val="700"/>
    <w:link w:val="915"/>
  </w:style>
  <w:style w:type="paragraph" w:styleId="917" w:customStyle="1">
    <w:name w:val="Основной текст 21"/>
    <w:basedOn w:val="690"/>
    <w:pPr>
      <w:jc w:val="center"/>
    </w:pPr>
  </w:style>
  <w:style w:type="paragraph" w:styleId="918" w:customStyle="1">
    <w:name w:val="Обычный (веб);Обычный (веб)2;Обычный (Web)1"/>
    <w:basedOn w:val="690"/>
  </w:style>
  <w:style w:type="paragraph" w:styleId="919" w:customStyle="1">
    <w:name w:val="a3"/>
    <w:basedOn w:val="690"/>
    <w:pPr>
      <w:spacing w:before="240"/>
      <w:tabs>
        <w:tab w:val="left" w:pos="851" w:leader="none"/>
      </w:tabs>
    </w:pPr>
    <w:rPr>
      <w:rFonts w:ascii="Cyrvetica" w:hAnsi="Cyrvetica"/>
      <w:b/>
      <w:sz w:val="26"/>
    </w:rPr>
  </w:style>
  <w:style w:type="paragraph" w:styleId="920" w:customStyle="1">
    <w:name w:val="FR2"/>
    <w:pPr>
      <w:ind w:firstLine="567"/>
      <w:jc w:val="both"/>
      <w:widowControl w:val="off"/>
    </w:pPr>
    <w:rPr>
      <w:rFonts w:ascii="Arial" w:hAnsi="Arial"/>
      <w:sz w:val="28"/>
    </w:rPr>
  </w:style>
  <w:style w:type="paragraph" w:styleId="921" w:customStyle="1">
    <w:name w:val="font5"/>
    <w:basedOn w:val="690"/>
    <w:pPr>
      <w:spacing w:before="100" w:after="100"/>
    </w:pPr>
    <w:rPr>
      <w:sz w:val="22"/>
    </w:rPr>
  </w:style>
  <w:style w:type="paragraph" w:styleId="922" w:customStyle="1">
    <w:name w:val="caaieiaie 3"/>
    <w:basedOn w:val="690"/>
    <w:next w:val="690"/>
    <w:pPr>
      <w:keepNext/>
    </w:pPr>
  </w:style>
  <w:style w:type="paragraph" w:styleId="923" w:customStyle="1">
    <w:name w:val="Iau?iue"/>
    <w:pPr>
      <w:ind w:firstLine="567"/>
      <w:jc w:val="both"/>
    </w:pPr>
    <w:rPr>
      <w:sz w:val="24"/>
      <w:lang w:val="en-US"/>
    </w:rPr>
  </w:style>
  <w:style w:type="character" w:styleId="924">
    <w:name w:val="HTML Code"/>
    <w:rPr>
      <w:rFonts w:ascii="Arial" w:hAnsi="Arial" w:eastAsia="Arial Unicode MS"/>
      <w:b/>
      <w:bCs/>
      <w:sz w:val="24"/>
      <w:szCs w:val="24"/>
      <w:shd w:val="clear" w:color="auto" w:fill="ffffff"/>
    </w:rPr>
  </w:style>
  <w:style w:type="paragraph" w:styleId="925">
    <w:name w:val="Plain Text"/>
    <w:basedOn w:val="690"/>
    <w:link w:val="926"/>
    <w:rPr>
      <w:rFonts w:ascii="Courier New" w:hAnsi="Courier New"/>
      <w:sz w:val="20"/>
      <w:lang w:val="en-US" w:eastAsia="en-US"/>
    </w:rPr>
  </w:style>
  <w:style w:type="character" w:styleId="926" w:customStyle="1">
    <w:name w:val="Текст Знак"/>
    <w:link w:val="925"/>
    <w:rPr>
      <w:rFonts w:ascii="Courier New" w:hAnsi="Courier New"/>
    </w:rPr>
  </w:style>
  <w:style w:type="paragraph" w:styleId="927" w:customStyle="1">
    <w:name w:val="Обычный1"/>
    <w:link w:val="993"/>
    <w:pPr>
      <w:ind w:firstLine="567"/>
      <w:jc w:val="both"/>
    </w:pPr>
    <w:rPr>
      <w:rFonts w:ascii="Bold PS" w:hAnsi="Bold PS" w:eastAsia="Bold PS"/>
      <w:sz w:val="24"/>
    </w:rPr>
  </w:style>
  <w:style w:type="paragraph" w:styleId="928" w:customStyle="1">
    <w:name w:val="Обычный (Web)"/>
    <w:basedOn w:val="690"/>
    <w:pPr>
      <w:spacing w:before="100" w:after="100"/>
    </w:pPr>
    <w:rPr>
      <w:rFonts w:ascii="Arial Unicode MS" w:hAnsi="Arial Unicode MS" w:eastAsia="Arial Unicode MS"/>
      <w:lang w:val="en-US"/>
    </w:rPr>
  </w:style>
  <w:style w:type="paragraph" w:styleId="929" w:customStyle="1">
    <w:name w:val="Body Text Indent 21"/>
    <w:basedOn w:val="690"/>
    <w:pPr>
      <w:ind w:firstLine="709"/>
    </w:pPr>
    <w:rPr>
      <w:sz w:val="28"/>
    </w:rPr>
  </w:style>
  <w:style w:type="paragraph" w:styleId="930" w:customStyle="1">
    <w:name w:val="ConsNormal"/>
    <w:pPr>
      <w:ind w:firstLine="720"/>
      <w:jc w:val="both"/>
    </w:pPr>
    <w:rPr>
      <w:rFonts w:ascii="Consultant" w:hAnsi="Consultant"/>
      <w:sz w:val="18"/>
    </w:rPr>
  </w:style>
  <w:style w:type="paragraph" w:styleId="931" w:customStyle="1">
    <w:name w:val="1"/>
    <w:basedOn w:val="690"/>
    <w:next w:val="918"/>
    <w:pPr>
      <w:spacing w:before="100" w:beforeAutospacing="1" w:after="100" w:afterAutospacing="1"/>
    </w:pPr>
    <w:rPr>
      <w:rFonts w:ascii="Arial" w:hAnsi="Arial"/>
      <w:sz w:val="20"/>
    </w:rPr>
  </w:style>
  <w:style w:type="paragraph" w:styleId="932" w:customStyle="1">
    <w:name w:val="титул"/>
    <w:basedOn w:val="690"/>
    <w:pPr>
      <w:jc w:val="right"/>
    </w:pPr>
  </w:style>
  <w:style w:type="paragraph" w:styleId="933" w:customStyle="1">
    <w:name w:val=".."/>
    <w:basedOn w:val="690"/>
    <w:pPr>
      <w:spacing w:line="360" w:lineRule="atLeast"/>
    </w:pPr>
  </w:style>
  <w:style w:type="paragraph" w:styleId="934" w:customStyle="1">
    <w:name w:val="ЗаголовокОсн"/>
    <w:basedOn w:val="896"/>
    <w:next w:val="896"/>
    <w:pPr>
      <w:ind w:firstLine="0"/>
      <w:jc w:val="left"/>
      <w:keepLines/>
      <w:keepNext/>
      <w:spacing w:line="240" w:lineRule="atLeast"/>
    </w:pPr>
    <w:rPr>
      <w:sz w:val="22"/>
    </w:rPr>
  </w:style>
  <w:style w:type="paragraph" w:styleId="935" w:customStyle="1">
    <w:name w:val="mainheader"/>
    <w:basedOn w:val="690"/>
    <w:pPr>
      <w:jc w:val="center"/>
      <w:spacing w:before="100" w:beforeAutospacing="1" w:after="100" w:afterAutospacing="1"/>
    </w:pPr>
    <w:rPr>
      <w:rFonts w:ascii="Arial" w:hAnsi="Arial"/>
      <w:b/>
      <w:bCs/>
      <w:color w:val="008000"/>
    </w:rPr>
  </w:style>
  <w:style w:type="character" w:styleId="936" w:customStyle="1">
    <w:name w:val="знак сноски"/>
    <w:rPr>
      <w:vertAlign w:val="superscript"/>
    </w:rPr>
  </w:style>
  <w:style w:type="paragraph" w:styleId="937" w:customStyle="1">
    <w:name w:val="FR5"/>
    <w:pPr>
      <w:ind w:left="120" w:firstLine="567"/>
      <w:jc w:val="center"/>
      <w:spacing w:before="20"/>
      <w:widowControl w:val="off"/>
    </w:pPr>
    <w:rPr>
      <w:b/>
      <w:i/>
      <w:sz w:val="12"/>
      <w:lang w:val="en-US"/>
    </w:rPr>
  </w:style>
  <w:style w:type="character" w:styleId="938">
    <w:name w:val="annotation reference"/>
    <w:semiHidden/>
    <w:rPr>
      <w:sz w:val="16"/>
      <w:szCs w:val="16"/>
    </w:rPr>
  </w:style>
  <w:style w:type="paragraph" w:styleId="939">
    <w:name w:val="annotation text"/>
    <w:basedOn w:val="690"/>
    <w:link w:val="940"/>
    <w:semiHidden/>
    <w:rPr>
      <w:sz w:val="20"/>
    </w:rPr>
  </w:style>
  <w:style w:type="character" w:styleId="940" w:customStyle="1">
    <w:name w:val="Текст примечания Знак"/>
    <w:basedOn w:val="700"/>
    <w:link w:val="939"/>
    <w:semiHidden/>
  </w:style>
  <w:style w:type="paragraph" w:styleId="941">
    <w:name w:val="annotation subject"/>
    <w:basedOn w:val="939"/>
    <w:next w:val="939"/>
    <w:link w:val="942"/>
    <w:semiHidden/>
    <w:rPr>
      <w:b/>
      <w:bCs/>
      <w:lang w:val="en-US" w:eastAsia="en-US"/>
    </w:rPr>
  </w:style>
  <w:style w:type="character" w:styleId="942" w:customStyle="1">
    <w:name w:val="Тема примечания Знак"/>
    <w:link w:val="941"/>
    <w:semiHidden/>
    <w:rPr>
      <w:b/>
      <w:bCs/>
    </w:rPr>
  </w:style>
  <w:style w:type="paragraph" w:styleId="943" w:customStyle="1">
    <w:name w:val="Название объекта;Caption Char;Caption Char1 Char;Caption Char Char Char;Caption Char1;Caption Char Char;Caption Char2 Char;Caption Char Char1 Char;Caption Char1 Char Char Char;Caption Char Char Char Char Char;Caption Char1 Char1 Char"/>
    <w:basedOn w:val="690"/>
    <w:next w:val="690"/>
    <w:pPr>
      <w:spacing w:before="120" w:after="120"/>
    </w:pPr>
    <w:rPr>
      <w:b/>
      <w:bCs/>
      <w:sz w:val="20"/>
    </w:rPr>
  </w:style>
  <w:style w:type="character" w:styleId="944" w:customStyle="1">
    <w:name w:val="notesid"/>
    <w:rPr>
      <w:b/>
      <w:bCs/>
      <w:color w:val="666666"/>
      <w:sz w:val="13"/>
      <w:szCs w:val="13"/>
    </w:rPr>
  </w:style>
  <w:style w:type="character" w:styleId="945">
    <w:name w:val="Strong"/>
    <w:rPr>
      <w:b/>
      <w:bCs/>
    </w:rPr>
  </w:style>
  <w:style w:type="character" w:styleId="946" w:customStyle="1">
    <w:name w:val="price2"/>
    <w:basedOn w:val="700"/>
  </w:style>
  <w:style w:type="paragraph" w:styleId="947" w:customStyle="1">
    <w:name w:val="Таблица номер и заголовок"/>
    <w:basedOn w:val="690"/>
    <w:next w:val="690"/>
    <w:link w:val="948"/>
    <w:pPr>
      <w:numPr>
        <w:numId w:val="2"/>
      </w:numPr>
      <w:jc w:val="center"/>
      <w:keepNext/>
      <w:spacing w:before="120"/>
    </w:pPr>
    <w:rPr>
      <w:rFonts w:ascii="Times New Roman CYR" w:hAnsi="Times New Roman CYR"/>
      <w:b/>
      <w:sz w:val="20"/>
      <w:lang w:val="en-US" w:eastAsia="en-US" w:bidi="en-US"/>
    </w:rPr>
  </w:style>
  <w:style w:type="character" w:styleId="948" w:customStyle="1">
    <w:name w:val="Таблица номер и заголовок Знак Знак"/>
    <w:link w:val="947"/>
    <w:rPr>
      <w:rFonts w:ascii="Times New Roman CYR" w:hAnsi="Times New Roman CYR"/>
      <w:b/>
      <w:szCs w:val="24"/>
      <w:lang w:val="en-US" w:eastAsia="en-US" w:bidi="en-US"/>
    </w:rPr>
  </w:style>
  <w:style w:type="paragraph" w:styleId="949" w:customStyle="1">
    <w:name w:val="Маркерованный под формулой"/>
    <w:basedOn w:val="690"/>
    <w:pPr>
      <w:ind w:left="360" w:hanging="360"/>
      <w:tabs>
        <w:tab w:val="left" w:pos="-247" w:leader="none"/>
        <w:tab w:val="num" w:pos="1211" w:leader="none"/>
      </w:tabs>
    </w:pPr>
    <w:rPr>
      <w:rFonts w:ascii="Arial" w:hAnsi="Arial"/>
    </w:rPr>
  </w:style>
  <w:style w:type="paragraph" w:styleId="950" w:customStyle="1">
    <w:name w:val="Знак Знак Знак1 Знак Знак Знак Знак Знак Знак Знак Знак Знак1"/>
    <w:basedOn w:val="69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951" w:customStyle="1">
    <w:name w:val="* Основной"/>
    <w:basedOn w:val="690"/>
    <w:link w:val="952"/>
    <w:pPr>
      <w:spacing w:before="60" w:after="60"/>
    </w:pPr>
    <w:rPr>
      <w:lang w:val="en-US" w:eastAsia="en-US"/>
    </w:rPr>
  </w:style>
  <w:style w:type="character" w:styleId="952" w:customStyle="1">
    <w:name w:val="* Основной Знак"/>
    <w:link w:val="951"/>
    <w:rPr>
      <w:sz w:val="24"/>
    </w:rPr>
  </w:style>
  <w:style w:type="paragraph" w:styleId="953" w:customStyle="1">
    <w:name w:val="1.1."/>
    <w:basedOn w:val="690"/>
    <w:pPr>
      <w:ind w:left="396" w:hanging="396"/>
      <w:tabs>
        <w:tab w:val="left" w:pos="396" w:leader="none"/>
      </w:tabs>
    </w:pPr>
    <w:rPr>
      <w:rFonts w:ascii="NewtonC" w:hAnsi="NewtonC"/>
      <w:color w:val="000000"/>
      <w:sz w:val="20"/>
    </w:rPr>
  </w:style>
  <w:style w:type="character" w:styleId="954" w:customStyle="1">
    <w:name w:val="hp_caption"/>
    <w:basedOn w:val="700"/>
  </w:style>
  <w:style w:type="character" w:styleId="955" w:customStyle="1">
    <w:name w:val="hp_price"/>
    <w:basedOn w:val="700"/>
  </w:style>
  <w:style w:type="paragraph" w:styleId="956" w:customStyle="1">
    <w:name w:val="content"/>
    <w:basedOn w:val="690"/>
    <w:rPr>
      <w:rFonts w:ascii="Tahoma" w:hAnsi="Tahoma"/>
      <w:sz w:val="15"/>
      <w:szCs w:val="15"/>
    </w:rPr>
  </w:style>
  <w:style w:type="numbering" w:styleId="957">
    <w:name w:val="Outline List 2"/>
    <w:basedOn w:val="702"/>
  </w:style>
  <w:style w:type="numbering" w:styleId="958" w:customStyle="1">
    <w:name w:val="Стиль1"/>
  </w:style>
  <w:style w:type="paragraph" w:styleId="959" w:customStyle="1">
    <w:name w:val="Iau.iue"/>
    <w:basedOn w:val="690"/>
    <w:next w:val="690"/>
  </w:style>
  <w:style w:type="character" w:styleId="960">
    <w:name w:val="FollowedHyperlink"/>
    <w:rPr>
      <w:color w:val="800080"/>
      <w:u w:val="single"/>
    </w:rPr>
  </w:style>
  <w:style w:type="paragraph" w:styleId="961" w:customStyle="1">
    <w:name w:val="xl2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62" w:customStyle="1">
    <w:name w:val="xl2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63" w:customStyle="1">
    <w:name w:val="xl26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64" w:customStyle="1">
    <w:name w:val="xl27"/>
    <w:basedOn w:val="690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2"/>
      <w:szCs w:val="22"/>
    </w:rPr>
  </w:style>
  <w:style w:type="paragraph" w:styleId="965" w:customStyle="1">
    <w:name w:val="xl2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66" w:customStyle="1">
    <w:name w:val="xl2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67" w:customStyle="1">
    <w:name w:val="xl3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68" w:customStyle="1">
    <w:name w:val="xl3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2"/>
      <w:szCs w:val="22"/>
    </w:rPr>
  </w:style>
  <w:style w:type="paragraph" w:styleId="969" w:customStyle="1">
    <w:name w:val="xl32"/>
    <w:basedOn w:val="690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2"/>
      <w:szCs w:val="22"/>
    </w:rPr>
  </w:style>
  <w:style w:type="paragraph" w:styleId="970" w:customStyle="1">
    <w:name w:val="xl33"/>
    <w:basedOn w:val="690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2"/>
      <w:szCs w:val="22"/>
    </w:rPr>
  </w:style>
  <w:style w:type="paragraph" w:styleId="971" w:customStyle="1">
    <w:name w:val="xl34"/>
    <w:basedOn w:val="690"/>
    <w:pPr>
      <w:jc w:val="center"/>
      <w:spacing w:before="100" w:beforeAutospacing="1" w:after="100" w:afterAutospacing="1"/>
      <w:shd w:val="clear" w:color="auto" w:fill="c0c0c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i/>
      <w:iCs/>
      <w:sz w:val="22"/>
      <w:szCs w:val="22"/>
    </w:rPr>
  </w:style>
  <w:style w:type="paragraph" w:styleId="972" w:customStyle="1">
    <w:name w:val="xl35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2"/>
      <w:szCs w:val="22"/>
    </w:rPr>
  </w:style>
  <w:style w:type="paragraph" w:styleId="973" w:customStyle="1">
    <w:name w:val="xl36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2"/>
      <w:szCs w:val="22"/>
    </w:rPr>
  </w:style>
  <w:style w:type="paragraph" w:styleId="974" w:customStyle="1">
    <w:name w:val="xl37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975" w:customStyle="1">
    <w:name w:val="Body Text 33"/>
    <w:basedOn w:val="690"/>
    <w:pPr>
      <w:jc w:val="center"/>
      <w:spacing w:before="40"/>
    </w:pPr>
    <w:rPr>
      <w:b/>
      <w:lang w:eastAsia="en-US"/>
    </w:rPr>
  </w:style>
  <w:style w:type="paragraph" w:styleId="976" w:customStyle="1">
    <w:name w:val="Body Text 214"/>
    <w:basedOn w:val="690"/>
    <w:pPr>
      <w:jc w:val="center"/>
    </w:pPr>
    <w:rPr>
      <w:b/>
      <w:lang w:eastAsia="en-US"/>
    </w:rPr>
  </w:style>
  <w:style w:type="character" w:styleId="977" w:customStyle="1">
    <w:name w:val="Знак Знак4"/>
    <w:rPr>
      <w:lang w:val="ru-RU" w:eastAsia="ru-RU" w:bidi="ar-SA"/>
    </w:rPr>
  </w:style>
  <w:style w:type="paragraph" w:styleId="978" w:customStyle="1">
    <w:name w:val="Default"/>
    <w:pPr>
      <w:ind w:firstLine="567"/>
      <w:jc w:val="both"/>
    </w:pPr>
    <w:rPr>
      <w:rFonts w:eastAsia="Calibri"/>
      <w:color w:val="000000"/>
      <w:sz w:val="24"/>
      <w:szCs w:val="24"/>
      <w:lang w:eastAsia="en-US"/>
    </w:rPr>
  </w:style>
  <w:style w:type="character" w:styleId="979" w:customStyle="1">
    <w:name w:val="apple-converted-space"/>
    <w:basedOn w:val="700"/>
  </w:style>
  <w:style w:type="paragraph" w:styleId="980" w:customStyle="1">
    <w:name w:val="сновной текст с отступом 2"/>
    <w:basedOn w:val="690"/>
    <w:pPr>
      <w:ind w:firstLine="720"/>
    </w:pPr>
    <w:rPr>
      <w:sz w:val="26"/>
    </w:rPr>
  </w:style>
  <w:style w:type="paragraph" w:styleId="981" w:customStyle="1">
    <w:name w:val="first"/>
    <w:basedOn w:val="690"/>
    <w:pPr>
      <w:spacing w:before="100" w:beforeAutospacing="1" w:after="100" w:afterAutospacing="1"/>
    </w:pPr>
  </w:style>
  <w:style w:type="paragraph" w:styleId="982" w:customStyle="1">
    <w:name w:val="ВерхКолонтитулОсн"/>
    <w:basedOn w:val="896"/>
    <w:pPr>
      <w:ind w:firstLine="0"/>
      <w:jc w:val="center"/>
      <w:keepLines/>
      <w:spacing w:line="240" w:lineRule="atLeast"/>
      <w:tabs>
        <w:tab w:val="center" w:pos="4320" w:leader="none"/>
        <w:tab w:val="right" w:pos="8640" w:leader="none"/>
      </w:tabs>
    </w:pPr>
    <w:rPr>
      <w:smallCaps/>
      <w:spacing w:val="15"/>
      <w:sz w:val="22"/>
    </w:rPr>
  </w:style>
  <w:style w:type="paragraph" w:styleId="983" w:customStyle="1">
    <w:name w:val="FR1"/>
    <w:pPr>
      <w:ind w:left="3800" w:firstLine="567"/>
      <w:jc w:val="both"/>
      <w:widowControl w:val="off"/>
    </w:pPr>
    <w:rPr>
      <w:rFonts w:ascii="Arial" w:hAnsi="Arial"/>
      <w:sz w:val="72"/>
    </w:rPr>
  </w:style>
  <w:style w:type="paragraph" w:styleId="984">
    <w:name w:val="Document Map"/>
    <w:basedOn w:val="690"/>
    <w:link w:val="985"/>
    <w:pPr>
      <w:shd w:val="clear" w:color="auto" w:fill="000080"/>
    </w:pPr>
    <w:rPr>
      <w:rFonts w:ascii="Tahoma" w:hAnsi="Tahoma"/>
      <w:sz w:val="20"/>
      <w:lang w:val="en-US" w:eastAsia="en-US"/>
    </w:rPr>
  </w:style>
  <w:style w:type="character" w:styleId="985" w:customStyle="1">
    <w:name w:val="Схема документа Знак"/>
    <w:link w:val="984"/>
    <w:rPr>
      <w:rFonts w:ascii="Tahoma" w:hAnsi="Tahoma"/>
      <w:shd w:val="clear" w:color="auto" w:fill="000080"/>
      <w:lang w:val="en-US" w:eastAsia="en-US"/>
    </w:rPr>
  </w:style>
  <w:style w:type="paragraph" w:styleId="986" w:customStyle="1">
    <w:name w:val="заголовок 4"/>
    <w:basedOn w:val="690"/>
    <w:next w:val="690"/>
    <w:pPr>
      <w:keepNext/>
    </w:pPr>
  </w:style>
  <w:style w:type="paragraph" w:styleId="987" w:customStyle="1">
    <w:name w:val="Табличный"/>
    <w:basedOn w:val="690"/>
    <w:pPr>
      <w:jc w:val="center"/>
      <w:spacing w:after="60"/>
    </w:pPr>
    <w:rPr>
      <w:rFonts w:ascii="Literaturnaya" w:hAnsi="Literaturnaya"/>
      <w:i/>
    </w:rPr>
  </w:style>
  <w:style w:type="character" w:styleId="988">
    <w:name w:val="Emphasis"/>
    <w:rPr>
      <w:i/>
      <w:iCs/>
    </w:rPr>
  </w:style>
  <w:style w:type="character" w:styleId="989" w:customStyle="1">
    <w:name w:val="ex"/>
    <w:basedOn w:val="700"/>
  </w:style>
  <w:style w:type="paragraph" w:styleId="990" w:customStyle="1">
    <w:name w:val="moreintend"/>
    <w:basedOn w:val="690"/>
    <w:pPr>
      <w:ind w:left="131" w:right="65"/>
      <w:spacing w:after="65"/>
    </w:pPr>
    <w:rPr>
      <w:rFonts w:ascii="MS Reference Sans Serif" w:hAnsi="MS Reference Sans Serif"/>
      <w:color w:val="000000"/>
      <w:sz w:val="17"/>
      <w:szCs w:val="17"/>
    </w:rPr>
  </w:style>
  <w:style w:type="paragraph" w:styleId="991" w:customStyle="1">
    <w:name w:val="boardcomment"/>
    <w:basedOn w:val="690"/>
    <w:pPr>
      <w:ind w:right="131"/>
      <w:spacing w:before="65" w:after="65" w:line="264" w:lineRule="auto"/>
    </w:pPr>
    <w:rPr>
      <w:rFonts w:ascii="MS Reference Sans Serif" w:hAnsi="MS Reference Sans Serif"/>
      <w:color w:val="000000"/>
      <w:sz w:val="17"/>
      <w:szCs w:val="17"/>
    </w:rPr>
  </w:style>
  <w:style w:type="character" w:styleId="992" w:customStyle="1">
    <w:name w:val="Знак Знак1"/>
    <w:basedOn w:val="700"/>
  </w:style>
  <w:style w:type="character" w:styleId="993" w:customStyle="1">
    <w:name w:val="Обычный1 Знак"/>
    <w:link w:val="927"/>
    <w:rPr>
      <w:rFonts w:ascii="Bold PS" w:hAnsi="Bold PS" w:eastAsia="Bold PS"/>
      <w:sz w:val="24"/>
      <w:lang w:bidi="ar-SA"/>
    </w:rPr>
  </w:style>
  <w:style w:type="paragraph" w:styleId="994" w:customStyle="1">
    <w:name w:val="obj_profile"/>
    <w:basedOn w:val="690"/>
    <w:pPr>
      <w:spacing w:before="100" w:beforeAutospacing="1" w:after="100" w:afterAutospacing="1"/>
    </w:pPr>
  </w:style>
  <w:style w:type="paragraph" w:styleId="995" w:customStyle="1">
    <w:name w:val="аголовок 9"/>
    <w:basedOn w:val="690"/>
    <w:next w:val="690"/>
    <w:pPr>
      <w:ind w:right="27"/>
      <w:keepNext/>
      <w:spacing w:line="560" w:lineRule="exact"/>
      <w:tabs>
        <w:tab w:val="left" w:pos="9639" w:leader="none"/>
      </w:tabs>
    </w:pPr>
    <w:rPr>
      <w:rFonts w:ascii="Arial" w:hAnsi="Arial"/>
      <w:b/>
      <w:sz w:val="32"/>
    </w:rPr>
  </w:style>
  <w:style w:type="paragraph" w:styleId="996" w:customStyle="1">
    <w:name w:val="Heading"/>
    <w:pPr>
      <w:ind w:firstLine="567"/>
      <w:jc w:val="both"/>
      <w:widowControl w:val="off"/>
    </w:pPr>
    <w:rPr>
      <w:rFonts w:ascii="Arial" w:hAnsi="Arial"/>
      <w:b/>
      <w:bCs/>
      <w:sz w:val="22"/>
      <w:szCs w:val="22"/>
    </w:rPr>
  </w:style>
  <w:style w:type="paragraph" w:styleId="997" w:customStyle="1">
    <w:name w:val="нормал.абзац"/>
    <w:basedOn w:val="690"/>
  </w:style>
  <w:style w:type="paragraph" w:styleId="998" w:customStyle="1">
    <w:name w:val="21"/>
    <w:basedOn w:val="690"/>
    <w:pPr>
      <w:spacing w:before="100" w:beforeAutospacing="1" w:after="100" w:afterAutospacing="1"/>
    </w:pPr>
  </w:style>
  <w:style w:type="paragraph" w:styleId="999" w:customStyle="1">
    <w:name w:val="Style1"/>
    <w:basedOn w:val="690"/>
    <w:pPr>
      <w:jc w:val="right"/>
      <w:spacing w:line="269" w:lineRule="exact"/>
    </w:pPr>
    <w:rPr>
      <w:rFonts w:ascii="Bookman Old Style" w:hAnsi="Bookman Old Style"/>
    </w:rPr>
  </w:style>
  <w:style w:type="paragraph" w:styleId="1000" w:customStyle="1">
    <w:name w:val="Style2"/>
    <w:basedOn w:val="690"/>
    <w:pPr>
      <w:ind w:firstLine="686"/>
      <w:spacing w:line="269" w:lineRule="exact"/>
    </w:pPr>
    <w:rPr>
      <w:rFonts w:ascii="Bookman Old Style" w:hAnsi="Bookman Old Style"/>
    </w:rPr>
  </w:style>
  <w:style w:type="paragraph" w:styleId="1001" w:customStyle="1">
    <w:name w:val="Style3"/>
    <w:basedOn w:val="690"/>
    <w:pPr>
      <w:ind w:firstLine="1210"/>
      <w:spacing w:line="276" w:lineRule="exact"/>
    </w:pPr>
    <w:rPr>
      <w:rFonts w:ascii="Bookman Old Style" w:hAnsi="Bookman Old Style"/>
    </w:rPr>
  </w:style>
  <w:style w:type="character" w:styleId="1002" w:customStyle="1">
    <w:name w:val="Font Style11"/>
    <w:rPr>
      <w:rFonts w:ascii="Bookman Old Style" w:hAnsi="Bookman Old Style"/>
      <w:b/>
      <w:bCs/>
      <w:spacing w:val="-20"/>
      <w:sz w:val="28"/>
      <w:szCs w:val="28"/>
    </w:rPr>
  </w:style>
  <w:style w:type="character" w:styleId="1003" w:customStyle="1">
    <w:name w:val="Font Style12"/>
    <w:rPr>
      <w:rFonts w:ascii="Bookman Old Style" w:hAnsi="Bookman Old Style"/>
      <w:b/>
      <w:bCs/>
      <w:spacing w:val="-20"/>
      <w:sz w:val="24"/>
      <w:szCs w:val="24"/>
    </w:rPr>
  </w:style>
  <w:style w:type="character" w:styleId="1004" w:customStyle="1">
    <w:name w:val="Font Style14"/>
    <w:rPr>
      <w:rFonts w:ascii="Bookman Old Style" w:hAnsi="Bookman Old Style"/>
      <w:sz w:val="22"/>
      <w:szCs w:val="22"/>
    </w:rPr>
  </w:style>
  <w:style w:type="character" w:styleId="1005" w:customStyle="1">
    <w:name w:val="Font Style15"/>
    <w:rPr>
      <w:rFonts w:ascii="Bookman Old Style" w:hAnsi="Bookman Old Style"/>
      <w:sz w:val="22"/>
      <w:szCs w:val="22"/>
    </w:rPr>
  </w:style>
  <w:style w:type="character" w:styleId="1006" w:customStyle="1">
    <w:name w:val="Font Style16"/>
    <w:rPr>
      <w:rFonts w:ascii="Bookman Old Style" w:hAnsi="Bookman Old Style"/>
      <w:b/>
      <w:bCs/>
      <w:smallCaps/>
      <w:sz w:val="20"/>
      <w:szCs w:val="20"/>
    </w:rPr>
  </w:style>
  <w:style w:type="paragraph" w:styleId="1007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1008" w:customStyle="1">
    <w:name w:val="xl72"/>
    <w:basedOn w:val="690"/>
    <w:pPr>
      <w:spacing w:before="100" w:beforeAutospacing="1" w:after="100" w:afterAutospacing="1"/>
    </w:pPr>
    <w:rPr>
      <w:sz w:val="22"/>
      <w:szCs w:val="22"/>
    </w:rPr>
  </w:style>
  <w:style w:type="paragraph" w:styleId="1009" w:customStyle="1">
    <w:name w:val="xl73"/>
    <w:basedOn w:val="690"/>
    <w:pPr>
      <w:spacing w:before="100" w:beforeAutospacing="1" w:after="100" w:afterAutospacing="1"/>
    </w:pPr>
    <w:rPr>
      <w:sz w:val="22"/>
      <w:szCs w:val="22"/>
    </w:rPr>
  </w:style>
  <w:style w:type="paragraph" w:styleId="1010" w:customStyle="1">
    <w:name w:val="xl74"/>
    <w:basedOn w:val="690"/>
    <w:pPr>
      <w:spacing w:before="100" w:beforeAutospacing="1" w:after="100" w:afterAutospacing="1"/>
    </w:pPr>
    <w:rPr>
      <w:sz w:val="22"/>
      <w:szCs w:val="22"/>
    </w:rPr>
  </w:style>
  <w:style w:type="paragraph" w:styleId="1011" w:customStyle="1">
    <w:name w:val="xl75"/>
    <w:basedOn w:val="690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1012" w:customStyle="1">
    <w:name w:val="xl76"/>
    <w:basedOn w:val="690"/>
    <w:pPr>
      <w:spacing w:before="100" w:beforeAutospacing="1" w:after="100" w:afterAutospacing="1"/>
    </w:pPr>
    <w:rPr>
      <w:sz w:val="22"/>
      <w:szCs w:val="22"/>
    </w:rPr>
  </w:style>
  <w:style w:type="paragraph" w:styleId="1013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1014" w:customStyle="1">
    <w:name w:val="xl7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1015" w:customStyle="1">
    <w:name w:val="xl79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1016" w:customStyle="1">
    <w:name w:val="xl8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1017" w:customStyle="1">
    <w:name w:val="xl81"/>
    <w:basedOn w:val="690"/>
    <w:pPr>
      <w:spacing w:before="100" w:beforeAutospacing="1" w:after="100" w:afterAutospacing="1"/>
      <w:shd w:val="clear" w:color="000000" w:fill="c0c0c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/>
      <w:i/>
      <w:iCs/>
      <w:sz w:val="22"/>
      <w:szCs w:val="22"/>
    </w:rPr>
  </w:style>
  <w:style w:type="paragraph" w:styleId="1018" w:customStyle="1">
    <w:name w:val="xl82"/>
    <w:basedOn w:val="690"/>
    <w:pPr>
      <w:spacing w:before="100" w:beforeAutospacing="1" w:after="100" w:afterAutospacing="1"/>
      <w:shd w:val="clear" w:color="000000" w:fill="c0c0c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i/>
      <w:iCs/>
      <w:sz w:val="22"/>
      <w:szCs w:val="22"/>
    </w:rPr>
  </w:style>
  <w:style w:type="paragraph" w:styleId="1019" w:customStyle="1">
    <w:name w:val="xl83"/>
    <w:basedOn w:val="690"/>
    <w:pPr>
      <w:spacing w:before="100" w:beforeAutospacing="1" w:after="100" w:afterAutospacing="1"/>
      <w:shd w:val="clear" w:color="000000" w:fill="c0c0c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i/>
      <w:iCs/>
      <w:sz w:val="22"/>
      <w:szCs w:val="22"/>
    </w:rPr>
  </w:style>
  <w:style w:type="paragraph" w:styleId="1020" w:customStyle="1">
    <w:name w:val="xl84"/>
    <w:basedOn w:val="690"/>
    <w:pPr>
      <w:spacing w:before="100" w:beforeAutospacing="1" w:after="100" w:afterAutospacing="1"/>
      <w:shd w:val="clear" w:color="000000" w:fill="c0c0c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/>
      <w:b/>
      <w:bCs/>
      <w:i/>
      <w:iCs/>
      <w:sz w:val="22"/>
      <w:szCs w:val="22"/>
    </w:rPr>
  </w:style>
  <w:style w:type="paragraph" w:styleId="1021" w:customStyle="1">
    <w:name w:val="xl85"/>
    <w:basedOn w:val="690"/>
    <w:pPr>
      <w:spacing w:before="100" w:beforeAutospacing="1" w:after="100" w:afterAutospacing="1"/>
      <w:shd w:val="clear" w:color="000000" w:fill="c0c0c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i/>
      <w:iCs/>
      <w:sz w:val="22"/>
      <w:szCs w:val="22"/>
    </w:rPr>
  </w:style>
  <w:style w:type="character" w:styleId="1022" w:customStyle="1">
    <w:name w:val="Основной текст (2)_"/>
    <w:rPr>
      <w:rFonts w:ascii="Times New Roman" w:hAnsi="Times New Roman" w:eastAsia="Times New Roman"/>
      <w:sz w:val="22"/>
      <w:szCs w:val="22"/>
      <w:u w:val="none"/>
    </w:rPr>
  </w:style>
  <w:style w:type="character" w:styleId="1023" w:customStyle="1">
    <w:name w:val="Основной текст (2) + Полужирный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1024" w:customStyle="1">
    <w:name w:val="Основной текст (2)"/>
    <w:rPr>
      <w:rFonts w:ascii="Times New Roman" w:hAnsi="Times New Roman" w:eastAsia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1025" w:customStyle="1">
    <w:name w:val="Основной текст (2) + Полужирный;Курсив"/>
    <w:rPr>
      <w:rFonts w:ascii="Times New Roman" w:hAnsi="Times New Roman" w:eastAsia="Times New Roman"/>
      <w:b/>
      <w:bCs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1026" w:customStyle="1">
    <w:name w:val="ConsPlusNormal"/>
    <w:link w:val="1027"/>
    <w:pPr>
      <w:ind w:firstLine="567"/>
      <w:jc w:val="both"/>
      <w:widowControl w:val="off"/>
    </w:pPr>
    <w:rPr>
      <w:rFonts w:ascii="Arial" w:hAnsi="Arial"/>
    </w:rPr>
  </w:style>
  <w:style w:type="character" w:styleId="1027" w:customStyle="1">
    <w:name w:val="ConsPlusNormal Знак"/>
    <w:link w:val="1026"/>
    <w:rPr>
      <w:rFonts w:ascii="Arial" w:hAnsi="Arial"/>
      <w:lang w:val="ru-RU" w:eastAsia="ru-RU" w:bidi="ar-SA"/>
    </w:rPr>
  </w:style>
  <w:style w:type="character" w:styleId="1028" w:customStyle="1">
    <w:name w:val="Верхний колонтитул Знак"/>
    <w:link w:val="72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/AP" TargetMode="External"/><Relationship Id="rId13" Type="http://schemas.openxmlformats.org/officeDocument/2006/relationships/hyperlink" Target="mailto:company@sberbank-ast.ru" TargetMode="External"/><Relationship Id="rId14" Type="http://schemas.openxmlformats.org/officeDocument/2006/relationships/hyperlink" Target="http://utp.sberbank-ast.ru/AP" TargetMode="External"/><Relationship Id="rId15" Type="http://schemas.openxmlformats.org/officeDocument/2006/relationships/hyperlink" Target="http://utp.sberbank-ast.ru/AP" TargetMode="External"/><Relationship Id="rId16" Type="http://schemas.openxmlformats.org/officeDocument/2006/relationships/hyperlink" Target="consultantplus://offline/ref=961617445FA63C512D524E6F93777FF82B02BD8795DD482079873137FDAF92B26130C8DEA88B41C48352277EB1n5D4L" TargetMode="External"/><Relationship Id="rId17" Type="http://schemas.openxmlformats.org/officeDocument/2006/relationships/hyperlink" Target="consultantplus://offline/ref=FD407F10771969839FE27406186BCFC9CF18860D7F4760C32291D9F7D3D26350F632E09EBAE1BF239374C44569vCsAG" TargetMode="External"/><Relationship Id="rId18" Type="http://schemas.openxmlformats.org/officeDocument/2006/relationships/hyperlink" Target="http://utp.sberbank-ast.ru/AP" TargetMode="External"/><Relationship Id="rId19" Type="http://schemas.openxmlformats.org/officeDocument/2006/relationships/hyperlink" Target="https://torgi.gov.ru/new" TargetMode="External"/><Relationship Id="rId20" Type="http://schemas.openxmlformats.org/officeDocument/2006/relationships/hyperlink" Target="https://nur.yanao.ru/" TargetMode="External"/><Relationship Id="rId21" Type="http://schemas.openxmlformats.org/officeDocument/2006/relationships/hyperlink" Target="http://utp.sberbank-ast.ru/AP" TargetMode="External"/><Relationship Id="rId22" Type="http://schemas.openxmlformats.org/officeDocument/2006/relationships/hyperlink" Target="https://torgi.gov.ru/new" TargetMode="External"/><Relationship Id="rId23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revision>23</cp:revision>
  <dcterms:created xsi:type="dcterms:W3CDTF">2022-10-28T06:27:00Z</dcterms:created>
  <dcterms:modified xsi:type="dcterms:W3CDTF">2024-01-19T05:47:40Z</dcterms:modified>
</cp:coreProperties>
</file>