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E8" w:rsidRDefault="0001409D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C902E8" w:rsidRDefault="0001409D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902E8" w:rsidRDefault="0001409D">
      <w:pPr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902E8" w:rsidRDefault="0001409D">
      <w:pPr>
        <w:ind w:firstLine="4536"/>
        <w:contextualSpacing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29.01.2024 </w:t>
      </w:r>
      <w:r>
        <w:rPr>
          <w:rFonts w:ascii="Liberation Sans" w:hAnsi="Liberation Sans"/>
          <w:sz w:val="26"/>
          <w:szCs w:val="26"/>
          <w:u w:val="single"/>
        </w:rPr>
        <w:t>№ 63</w:t>
      </w:r>
      <w:bookmarkStart w:id="0" w:name="_GoBack"/>
      <w:bookmarkEnd w:id="0"/>
      <w:r>
        <w:rPr>
          <w:rFonts w:ascii="Liberation Sans" w:hAnsi="Liberation Sans"/>
          <w:sz w:val="26"/>
          <w:szCs w:val="26"/>
          <w:u w:val="single"/>
        </w:rPr>
        <w:t xml:space="preserve"> </w:t>
      </w:r>
    </w:p>
    <w:p w:rsidR="00C902E8" w:rsidRDefault="00C902E8">
      <w:pPr>
        <w:ind w:firstLine="4536"/>
        <w:contextualSpacing/>
        <w:rPr>
          <w:rFonts w:ascii="Liberation Sans" w:hAnsi="Liberation Sans"/>
          <w:sz w:val="26"/>
          <w:szCs w:val="26"/>
        </w:rPr>
      </w:pPr>
    </w:p>
    <w:p w:rsidR="00C902E8" w:rsidRDefault="00C902E8">
      <w:pPr>
        <w:ind w:left="4956" w:firstLine="708"/>
        <w:contextualSpacing/>
        <w:rPr>
          <w:rFonts w:ascii="Liberation Sans" w:hAnsi="Liberation Sans"/>
          <w:sz w:val="26"/>
          <w:szCs w:val="26"/>
        </w:rPr>
      </w:pP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Информационное сообщение </w:t>
      </w:r>
      <w:r>
        <w:rPr>
          <w:rFonts w:ascii="Liberation Sans" w:hAnsi="Liberation Sans"/>
          <w:b/>
          <w:bCs/>
          <w:sz w:val="26"/>
          <w:szCs w:val="26"/>
        </w:rPr>
        <w:t>№ 2-2024/ЭЗ</w:t>
      </w:r>
    </w:p>
    <w:p w:rsidR="00C902E8" w:rsidRDefault="0001409D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         о проведении ау</w:t>
      </w:r>
      <w:r>
        <w:rPr>
          <w:rFonts w:ascii="Liberation Sans" w:hAnsi="Liberation Sans"/>
          <w:b/>
          <w:sz w:val="26"/>
          <w:szCs w:val="26"/>
        </w:rPr>
        <w:t>кциона в электронной форме</w:t>
      </w: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аренды земельного участка</w:t>
      </w:r>
    </w:p>
    <w:p w:rsidR="00C902E8" w:rsidRDefault="00C902E8">
      <w:pPr>
        <w:contextualSpacing/>
        <w:jc w:val="both"/>
        <w:rPr>
          <w:rFonts w:ascii="Liberation Sans" w:hAnsi="Liberation Sans"/>
          <w:sz w:val="26"/>
          <w:szCs w:val="26"/>
        </w:rPr>
      </w:pPr>
    </w:p>
    <w:p w:rsidR="00C902E8" w:rsidRDefault="0001409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</w:t>
      </w:r>
      <w:r>
        <w:rPr>
          <w:rFonts w:ascii="Liberation Sans" w:hAnsi="Liberation Sans"/>
          <w:bCs/>
          <w:sz w:val="26"/>
          <w:szCs w:val="26"/>
        </w:rPr>
        <w:t>тернет, в соответствии со ст. 39.11, 39.12, 39.13 Земельного кодекса Российской Федерации, распоряжением первого заместителя Главы Администрации города                       от 20.12.2023 № 1590-рз «О проведении аукциона на право заключения договора аренды</w:t>
      </w:r>
      <w:r>
        <w:rPr>
          <w:rFonts w:ascii="Liberation Sans" w:hAnsi="Liberation Sans"/>
          <w:bCs/>
          <w:sz w:val="26"/>
          <w:szCs w:val="26"/>
        </w:rPr>
        <w:t xml:space="preserve"> земельного участка для размещения (строительства) служебных гаражей».</w:t>
      </w:r>
    </w:p>
    <w:p w:rsidR="00C902E8" w:rsidRDefault="0001409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</w:t>
      </w:r>
      <w:r>
        <w:rPr>
          <w:rFonts w:ascii="Liberation Sans" w:hAnsi="Liberation Sans"/>
          <w:sz w:val="26"/>
          <w:szCs w:val="26"/>
          <w:highlight w:val="white"/>
        </w:rPr>
        <w:t>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C902E8" w:rsidRDefault="0001409D">
      <w:pPr>
        <w:pStyle w:val="af9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C902E8" w:rsidRDefault="00C902E8">
      <w:pPr>
        <w:pStyle w:val="af9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Организатор торгов – Департамент имущественных и жилищных отношений Администрации города Н</w:t>
      </w:r>
      <w:r>
        <w:rPr>
          <w:rFonts w:ascii="Liberation Sans" w:hAnsi="Liberation Sans"/>
          <w:bCs/>
          <w:sz w:val="26"/>
          <w:szCs w:val="26"/>
        </w:rPr>
        <w:t xml:space="preserve">овый Уренгой (далее – ДИиЖО, Организатор торгов). 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 Иванцова</w:t>
      </w:r>
      <w:r>
        <w:rPr>
          <w:rFonts w:ascii="Liberation Sans" w:hAnsi="Liberation Sans"/>
          <w:bCs/>
          <w:sz w:val="26"/>
          <w:szCs w:val="26"/>
        </w:rPr>
        <w:t xml:space="preserve">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>
          <w:rPr>
            <w:rStyle w:val="af8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</w:t>
      </w:r>
      <w:r>
        <w:rPr>
          <w:rFonts w:ascii="Liberation Sans" w:hAnsi="Liberation Sans"/>
          <w:bCs/>
          <w:sz w:val="26"/>
          <w:szCs w:val="26"/>
        </w:rPr>
        <w:t>ая система торгов» (далее – АО «Сбербанк-АСТ», Оператор).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стр. 2.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</w:t>
      </w:r>
      <w:r>
        <w:rPr>
          <w:rFonts w:ascii="Liberation Sans" w:hAnsi="Liberation Sans"/>
          <w:bCs/>
          <w:sz w:val="26"/>
          <w:szCs w:val="26"/>
        </w:rPr>
        <w:t>sberbank-ast.ru.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– пользователь торговой секции, подавший заявку на участие в аукционе.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торгов – лицо, участ</w:t>
      </w:r>
      <w:r>
        <w:rPr>
          <w:rFonts w:ascii="Liberation Sans" w:hAnsi="Liberation Sans"/>
          <w:bCs/>
          <w:sz w:val="26"/>
          <w:szCs w:val="26"/>
        </w:rPr>
        <w:t>вующее в торгах в соответствии с законодательством Российской Федерации и условиями настоящего информационного сообщения.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торгов - право на заключение договора аренды земельного участка на территории муниципального образования город Новый Уренгой.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</w:t>
      </w:r>
      <w:r>
        <w:rPr>
          <w:rFonts w:ascii="Liberation Sans" w:hAnsi="Liberation Sans"/>
          <w:bCs/>
          <w:sz w:val="26"/>
          <w:szCs w:val="26"/>
        </w:rPr>
        <w:t xml:space="preserve">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 проведения электронного аукциона -  электронная площадка - Универсальная торговая платформа   АО «Сбербанк-АСТ», торговая секци</w:t>
      </w:r>
      <w:r>
        <w:rPr>
          <w:rFonts w:ascii="Liberation Sans" w:hAnsi="Liberation Sans"/>
          <w:bCs/>
          <w:sz w:val="26"/>
          <w:szCs w:val="26"/>
        </w:rPr>
        <w:t>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аукциона на право заключения договора аренды земельного участка в электронной форме осуществляется на</w:t>
      </w:r>
      <w:r>
        <w:rPr>
          <w:rFonts w:ascii="Liberation Sans" w:hAnsi="Liberation Sans"/>
          <w:bCs/>
          <w:sz w:val="26"/>
          <w:szCs w:val="26"/>
        </w:rPr>
        <w:t xml:space="preserve"> электронной площадке оператором электронной площадки.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Порядок определения победителя аукциона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Условия аукциона, а также порядок и условия заключения договора               </w:t>
      </w:r>
      <w:r>
        <w:rPr>
          <w:rFonts w:ascii="Liberation Sans" w:hAnsi="Liberation Sans"/>
          <w:bCs/>
          <w:sz w:val="26"/>
          <w:szCs w:val="26"/>
        </w:rPr>
        <w:t xml:space="preserve">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902E8" w:rsidRDefault="0001409D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</w:t>
      </w:r>
      <w:r>
        <w:rPr>
          <w:rFonts w:ascii="Liberation Sans" w:hAnsi="Liberation Sans"/>
          <w:bCs/>
          <w:sz w:val="26"/>
          <w:szCs w:val="26"/>
        </w:rPr>
        <w:t>ению сторон                                  и в одностороннем порядке не допускается.</w:t>
      </w:r>
    </w:p>
    <w:p w:rsidR="00C902E8" w:rsidRDefault="00C902E8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    с 14 ч. 00 м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30.01.2024.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окончания приема заявок на уча</w:t>
      </w:r>
      <w:r>
        <w:rPr>
          <w:rFonts w:ascii="Liberation Sans" w:hAnsi="Liberation Sans"/>
          <w:bCs/>
          <w:color w:val="000000"/>
          <w:sz w:val="26"/>
          <w:szCs w:val="26"/>
        </w:rPr>
        <w:t>стие в аукционе:                  до 21 ч. 59 мин.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29.02.2024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01.03.2024.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04.03.2024.               </w:t>
      </w:r>
      <w:r>
        <w:rPr>
          <w:rFonts w:ascii="Liberation Sans" w:hAnsi="Liberation Sans"/>
          <w:sz w:val="26"/>
          <w:szCs w:val="26"/>
        </w:rPr>
        <w:t xml:space="preserve">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 xml:space="preserve">Лот </w:t>
      </w:r>
    </w:p>
    <w:p w:rsidR="00C902E8" w:rsidRDefault="0001409D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sz w:val="26"/>
          <w:szCs w:val="26"/>
        </w:rPr>
        <w:t xml:space="preserve"> 89:11:060201:2353.</w:t>
      </w:r>
    </w:p>
    <w:p w:rsidR="00C902E8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Площадь:</w:t>
      </w:r>
      <w:r>
        <w:rPr>
          <w:rFonts w:ascii="Liberation Sans" w:hAnsi="Liberation Sans" w:cs="Liberation Serif"/>
          <w:sz w:val="26"/>
          <w:szCs w:val="26"/>
        </w:rPr>
        <w:t xml:space="preserve"> 1 119</w:t>
      </w:r>
      <w:r>
        <w:rPr>
          <w:rFonts w:ascii="Liberation Sans" w:hAnsi="Liberation Sans" w:cs="Liberation Serif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902E8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sz w:val="26"/>
          <w:szCs w:val="26"/>
        </w:rPr>
        <w:t xml:space="preserve"> Ямало-Ненецкий автономный округ, г. Н</w:t>
      </w:r>
      <w:r>
        <w:rPr>
          <w:rFonts w:ascii="Liberation Sans" w:hAnsi="Liberation Sans" w:cs="Liberation Serif"/>
          <w:sz w:val="26"/>
          <w:szCs w:val="26"/>
        </w:rPr>
        <w:t>овый Уренгой, Северная промзона.</w:t>
      </w:r>
    </w:p>
    <w:p w:rsidR="00C902E8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Назначение:</w:t>
      </w:r>
      <w:r>
        <w:rPr>
          <w:rFonts w:ascii="Liberation Sans" w:hAnsi="Liberation Sans" w:cs="Liberation Serif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>для размещения (строительства) служебных гаражей.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 w:cs="Liberation Serif"/>
          <w:sz w:val="26"/>
          <w:szCs w:val="26"/>
        </w:rPr>
        <w:t xml:space="preserve"> служебные гаражи (код 4.9).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Принадлежность  земельного участка:</w:t>
      </w:r>
      <w:r>
        <w:rPr>
          <w:rFonts w:ascii="Liberation Sans" w:hAnsi="Liberation Sans" w:cs="Liberation Serif"/>
          <w:sz w:val="26"/>
          <w:szCs w:val="26"/>
        </w:rPr>
        <w:t xml:space="preserve"> земли населенных  пунктов.       </w:t>
      </w:r>
    </w:p>
    <w:p w:rsidR="00C902E8" w:rsidRDefault="0001409D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Права на земельный уча</w:t>
      </w:r>
      <w:r>
        <w:rPr>
          <w:rFonts w:ascii="Liberation Sans" w:hAnsi="Liberation Sans"/>
          <w:b/>
          <w:sz w:val="26"/>
          <w:szCs w:val="26"/>
        </w:rPr>
        <w:t>сток:</w:t>
      </w: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введении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</w:t>
      </w:r>
      <w:r>
        <w:rPr>
          <w:rFonts w:ascii="Liberation Sans" w:hAnsi="Liberation Sans"/>
          <w:sz w:val="26"/>
          <w:szCs w:val="26"/>
        </w:rPr>
        <w:t>"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Администрация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 уполномочен на распоряжение таким земельным участком.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Обременения на земельный участок, зарегистрированные                                     в установленном порядке, отсутствуют.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ascii="Liberation Sans" w:hAnsi="Liberation Sans"/>
          <w:sz w:val="26"/>
          <w:szCs w:val="26"/>
        </w:rPr>
        <w:t>21.12.2023 г.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КУВИ-001/2023-</w:t>
      </w:r>
      <w:r>
        <w:rPr>
          <w:rFonts w:ascii="Liberation Sans" w:hAnsi="Liberation Sans"/>
          <w:color w:val="000000" w:themeColor="text1"/>
          <w:sz w:val="26"/>
          <w:szCs w:val="26"/>
        </w:rPr>
        <w:t>288489573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Земельный участок полностью расположен в границах зоны                          с реестровым номером 89:11-6.540 </w:t>
      </w:r>
      <w:r>
        <w:rPr>
          <w:rFonts w:ascii="Liberation Sans" w:hAnsi="Liberation Sans"/>
          <w:color w:val="000000" w:themeColor="text1"/>
          <w:sz w:val="26"/>
          <w:szCs w:val="26"/>
        </w:rPr>
        <w:t>от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20.05.2021, ограничение использования земельного участка в пределах зоны: В соответствии п. 2г Правил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выделения на приаэродромной территории подзон, утвержденных Постановлением Правительства РФ от 2</w:t>
      </w:r>
      <w:r>
        <w:rPr>
          <w:rFonts w:ascii="Liberation Sans" w:hAnsi="Liberation Sans"/>
          <w:color w:val="000000" w:themeColor="text1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декабря 2017 г. № 1460 при установлении четвертой подз</w:t>
      </w:r>
      <w:r>
        <w:rPr>
          <w:rFonts w:ascii="Liberation Sans" w:hAnsi="Liberation Sans"/>
          <w:color w:val="000000" w:themeColor="text1"/>
          <w:sz w:val="26"/>
          <w:szCs w:val="26"/>
        </w:rPr>
        <w:t>оны приаэродромной территории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устанавливаются ограничения использования объектов недвижимости                   и осуществления деятельности: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запрещается размещать объекты, создающие помехи в работе наземных объектов средств и систем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обслуживания воздушног</w:t>
      </w:r>
      <w:r>
        <w:rPr>
          <w:rFonts w:ascii="Liberation Sans" w:hAnsi="Liberation Sans"/>
          <w:color w:val="000000" w:themeColor="text1"/>
          <w:sz w:val="26"/>
          <w:szCs w:val="26"/>
        </w:rPr>
        <w:t>о движения, навигации, посадки и связи, предназначенных для организации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воздушного движения и расположенных вне первой подзоны., вид/наименование: Четвертая подзона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приаэродромной территории аэродрома Новый Уренгой, тип: Охранная зона транспорта, дата реше</w:t>
      </w:r>
      <w:r>
        <w:rPr>
          <w:rFonts w:ascii="Liberation Sans" w:hAnsi="Liberation Sans"/>
          <w:color w:val="000000" w:themeColor="text1"/>
          <w:sz w:val="26"/>
          <w:szCs w:val="26"/>
        </w:rPr>
        <w:t>ния: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01.02.2021, номер решения: 52-П, наименование ОГВ/ОМСУ: Федеральное агентство воздушного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транспорта (РОСАВИАЦИЯ).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    с реестровым номером 89:11-6.536 от 20.05.2021, ограничен</w:t>
      </w:r>
      <w:r>
        <w:rPr>
          <w:rFonts w:ascii="Liberation Sans" w:hAnsi="Liberation Sans"/>
          <w:sz w:val="26"/>
          <w:szCs w:val="26"/>
        </w:rPr>
        <w:t>ие использования земельного участка в пределах зоны: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 приаэродромной территории устанавливаются ограничения использования 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участков и (или) расположенных на них объектов недвижимости и осуществления экономической и иной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 в соответствии с Решением об установлении приаэродромной территории аэродрома Надым,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 Приказом РОСАВИАЦИИ № 52-П от 01.02.2021 г.                   Срок установления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бессрочный. вид/наименование: Приаэродромная территория а</w:t>
      </w:r>
      <w:r>
        <w:rPr>
          <w:rFonts w:ascii="Liberation Sans" w:hAnsi="Liberation Sans"/>
          <w:sz w:val="26"/>
          <w:szCs w:val="26"/>
        </w:rPr>
        <w:t>эродрома Новый Уренгой, тип: Охранная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</w:t>
      </w:r>
      <w:r>
        <w:rPr>
          <w:rFonts w:ascii="Liberation Sans" w:hAnsi="Liberation Sans"/>
          <w:sz w:val="26"/>
          <w:szCs w:val="26"/>
        </w:rPr>
        <w:t xml:space="preserve">       с реестровым номером 89:11-6.539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В соответствии п. 2в Правил выделения на приаэродромной территории подзон,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</w:t>
      </w:r>
      <w:r>
        <w:rPr>
          <w:rFonts w:ascii="Liberation Sans" w:hAnsi="Liberation Sans"/>
          <w:sz w:val="26"/>
          <w:szCs w:val="26"/>
        </w:rPr>
        <w:t>. № 1460 при установлении третьей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подзоны приаэродромной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объекты, высота которых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превышает ограничения, установленные уполномочен</w:t>
      </w:r>
      <w:r>
        <w:rPr>
          <w:rFonts w:ascii="Liberation Sans" w:hAnsi="Liberation Sans"/>
          <w:sz w:val="26"/>
          <w:szCs w:val="26"/>
        </w:rPr>
        <w:t>ным Правительством Российской Федерации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 органом исполнительной власти (далее - уполномоченный федеральный орган)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 соответствующей приаэродромной территории., вид/наименование: Третья 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приаэродромной территории аэродрома Н</w:t>
      </w:r>
      <w:r>
        <w:rPr>
          <w:rFonts w:ascii="Liberation Sans" w:hAnsi="Liberation Sans"/>
          <w:sz w:val="26"/>
          <w:szCs w:val="26"/>
        </w:rPr>
        <w:t>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01.02.2021, номер решения: 52-П,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 (РОСАВИАЦИЯ).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    с реестровым номером 89:11-6.542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соответствии п. 2д Правил выделения на приаэродромной территории</w:t>
      </w:r>
      <w:r>
        <w:rPr>
          <w:rFonts w:ascii="Liberation Sans" w:hAnsi="Liberation Sans"/>
          <w:sz w:val="26"/>
          <w:szCs w:val="26"/>
        </w:rPr>
        <w:t xml:space="preserve"> подзон,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при установлении пятой подзоны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приаэродромной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</w:t>
      </w:r>
      <w:r>
        <w:rPr>
          <w:rFonts w:ascii="Liberation Sans" w:hAnsi="Liberation Sans"/>
          <w:sz w:val="26"/>
          <w:szCs w:val="26"/>
        </w:rPr>
        <w:t>пасные производственные объекты, определенные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 законом "О промышленной безопасности опасных производственных объектов",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функционирование которых может повлиять на безопасность полетов воздушных судов.,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 Шестая подзона приаэродро</w:t>
      </w:r>
      <w:r>
        <w:rPr>
          <w:rFonts w:ascii="Liberation Sans" w:hAnsi="Liberation Sans"/>
          <w:sz w:val="26"/>
          <w:szCs w:val="26"/>
        </w:rPr>
        <w:t>мной территории аэродрома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01.02.2021, номер решения: 52-П,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 (РОСАВИАЦИЯ).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</w:t>
      </w:r>
      <w:r>
        <w:rPr>
          <w:rFonts w:ascii="Liberation Sans" w:hAnsi="Liberation Sans"/>
          <w:sz w:val="26"/>
          <w:szCs w:val="26"/>
        </w:rPr>
        <w:t xml:space="preserve">                        с реестровым номером 89:11-6.432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28.08.2020,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 участка в пределах зоны: В зоне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трубопровода запрещается производить всякого рода действия, которые </w:t>
      </w:r>
      <w:r>
        <w:rPr>
          <w:rFonts w:ascii="Liberation Sans" w:hAnsi="Liberation Sans"/>
          <w:sz w:val="26"/>
          <w:szCs w:val="26"/>
        </w:rPr>
        <w:t>могут нарушить нормальную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эксплуатацию трубопроводов либо привести к их повреждению,                          в частности: а) перемещать, засыпать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ломать опознавательные                       и сигнальные знаки, контрольно-измерительные пункты; б) открыв</w:t>
      </w:r>
      <w:r>
        <w:rPr>
          <w:rFonts w:ascii="Liberation Sans" w:hAnsi="Liberation Sans"/>
          <w:sz w:val="26"/>
          <w:szCs w:val="26"/>
        </w:rPr>
        <w:t>ать люки,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калитки и двери необслуживаемых усилительных пунктов кабельной связи, ограждений узлов линейной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арматуры, станций катодной и дренажной защиты, линейных и смотровых колодцев и других линейных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 открывать и закрывать краны и задвижки, откл</w:t>
      </w:r>
      <w:r>
        <w:rPr>
          <w:rFonts w:ascii="Liberation Sans" w:hAnsi="Liberation Sans"/>
          <w:sz w:val="26"/>
          <w:szCs w:val="26"/>
        </w:rPr>
        <w:t>ючать или включать средства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энергоснабжения и телемеханики трубопроводов; в) устраивать всякого рода свалки, выливать растворы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кислот, солей и щелочей;                     г) разрушать берегоукрепительные сооружения, водопропускные </w:t>
      </w:r>
      <w:r>
        <w:rPr>
          <w:rFonts w:ascii="Liberation Sans" w:hAnsi="Liberation Sans"/>
          <w:sz w:val="26"/>
          <w:szCs w:val="26"/>
        </w:rPr>
        <w:lastRenderedPageBreak/>
        <w:t>устройства,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</w:t>
      </w:r>
      <w:r>
        <w:rPr>
          <w:rFonts w:ascii="Liberation Sans" w:hAnsi="Liberation Sans"/>
          <w:sz w:val="26"/>
          <w:szCs w:val="26"/>
        </w:rPr>
        <w:t>ные и иные сооружения, предохраняющие трубопроводы от разрушения, а прилегающую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территорию и окружающую местность-от аварийного разлива транспортируемой продукции; д) разводить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огонь и размещать какие-либо открытые или закрытые источники огня., вид/наимено</w:t>
      </w:r>
      <w:r>
        <w:rPr>
          <w:rFonts w:ascii="Liberation Sans" w:hAnsi="Liberation Sans"/>
          <w:sz w:val="26"/>
          <w:szCs w:val="26"/>
        </w:rPr>
        <w:t>вание: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минимальных (минимально допустимых) расстояний магистрального конденсатопровода "Ямбург-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Уренгой" II нитка, тип: Охранная зона инженерных коммуникаций, номер: -, решения: 1.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30.04.2019, номер решения: А81-1422/2019 2. дата решения: 03.05.2019, номер решения: б/н.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    с реестровым номером 89:11-6.541 от 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 использования земельного у</w:t>
      </w:r>
      <w:r>
        <w:rPr>
          <w:rFonts w:ascii="Liberation Sans" w:hAnsi="Liberation Sans"/>
          <w:sz w:val="26"/>
          <w:szCs w:val="26"/>
        </w:rPr>
        <w:t>частка в пределах зоны: В соответствии п. 2д Правил выделения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приаэродромной территории подзон, утвержденных Постановлением Правительства РФ от 2 декабря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 г. № 1460 при установлении пятой подзоны приаэродромной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z w:val="26"/>
          <w:szCs w:val="26"/>
        </w:rPr>
        <w:t xml:space="preserve">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опасных производственных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объектов", функционирование которых может повл</w:t>
      </w:r>
      <w:r>
        <w:rPr>
          <w:rFonts w:ascii="Liberation Sans" w:hAnsi="Liberation Sans"/>
          <w:sz w:val="26"/>
          <w:szCs w:val="26"/>
        </w:rPr>
        <w:t>иять на безопасность полетов воздушных судов.,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 Пятая подзона приаэродромной территории аэродрома Новый Уренгой, тип: Охранная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</w:t>
      </w:r>
      <w:r>
        <w:rPr>
          <w:rFonts w:ascii="Liberation Sans" w:hAnsi="Liberation Sans"/>
          <w:sz w:val="26"/>
          <w:szCs w:val="26"/>
        </w:rPr>
        <w:t>душного транспорта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(РОСАВИАЦИЯ).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Особые отметки: </w:t>
      </w:r>
    </w:p>
    <w:p w:rsidR="00C902E8" w:rsidRDefault="0001409D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ascii="Liberation Sans" w:hAnsi="Liberation Sans"/>
          <w:sz w:val="26"/>
          <w:szCs w:val="26"/>
        </w:rPr>
        <w:t>21.12.2023 г.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КУВИ-001/2023-288489573</w:t>
      </w:r>
      <w:r>
        <w:rPr>
          <w:rFonts w:ascii="Liberation Sans" w:hAnsi="Liberation Sans" w:cs="Liberation Serif"/>
          <w:sz w:val="26"/>
          <w:szCs w:val="26"/>
        </w:rPr>
        <w:t>:</w:t>
      </w:r>
    </w:p>
    <w:p w:rsidR="00C902E8" w:rsidRDefault="0001409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данного</w:t>
      </w:r>
      <w:r>
        <w:rPr>
          <w:rFonts w:ascii="Liberation Sans" w:hAnsi="Liberation Sans"/>
          <w:sz w:val="26"/>
          <w:szCs w:val="26"/>
        </w:rPr>
        <w:t xml:space="preserve">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C902E8" w:rsidRDefault="0001409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Имеются ограничения прав на земельный участок, предусмотренные статьей  56  Земельного кодекс</w:t>
      </w:r>
      <w:r>
        <w:rPr>
          <w:rFonts w:ascii="Liberation Sans" w:hAnsi="Liberation Sans"/>
          <w:sz w:val="26"/>
          <w:szCs w:val="26"/>
        </w:rPr>
        <w:t>а РФ:</w:t>
      </w:r>
    </w:p>
    <w:p w:rsidR="00C902E8" w:rsidRDefault="0001409D">
      <w:pPr>
        <w:widowControl w:val="0"/>
        <w:spacing w:before="3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реестровые номера границ: 89:11:-6.540, 89:11:-6.536, 89:11:-6.539,                 89:11:-6.542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89:11:-6.</w:t>
      </w:r>
      <w:r>
        <w:rPr>
          <w:rFonts w:ascii="Liberation Serif" w:hAnsi="Liberation Serif" w:cs="Liberation Serif"/>
          <w:sz w:val="26"/>
          <w:szCs w:val="26"/>
        </w:rPr>
        <w:t xml:space="preserve">541, </w:t>
      </w:r>
      <w:r>
        <w:rPr>
          <w:rFonts w:ascii="Liberation Serif" w:hAnsi="Liberation Serif"/>
          <w:sz w:val="26"/>
          <w:szCs w:val="26"/>
        </w:rPr>
        <w:t>срок действия: с 07.11.2023; реквизиты документа-основания: приказ об установлении приаэродромной территории аэродрома Новый Уренгой от 01</w:t>
      </w:r>
      <w:r>
        <w:rPr>
          <w:rFonts w:ascii="Liberation Serif" w:hAnsi="Liberation Serif"/>
          <w:sz w:val="26"/>
          <w:szCs w:val="26"/>
        </w:rPr>
        <w:t>.02.2021 № 52-П выдан: Федеральное агентство воздушного транспорта (РОСАВИАЦИЯ).</w:t>
      </w:r>
    </w:p>
    <w:p w:rsidR="00C902E8" w:rsidRDefault="0001409D">
      <w:pPr>
        <w:pStyle w:val="TableParagraph"/>
        <w:spacing w:before="3" w:line="261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Реестровый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границы: </w:t>
      </w:r>
      <w:r>
        <w:rPr>
          <w:rFonts w:ascii="Liberation Sans" w:hAnsi="Liberation Sans"/>
          <w:color w:val="000000" w:themeColor="text1"/>
          <w:sz w:val="26"/>
          <w:szCs w:val="26"/>
        </w:rPr>
        <w:t>89:11-6.314;</w:t>
      </w:r>
      <w:r>
        <w:rPr>
          <w:rFonts w:ascii="Liberation Sans" w:hAnsi="Liberation Sans"/>
          <w:color w:val="FF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реквизиты                          документа-основания: свидетельство о государственной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регистрации права от 07.04.2003 № 89 РХ 737860; Содержание ограничения (обременения):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пунктами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48;49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09.06.1995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№578"Об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 связи Российской</w:t>
      </w:r>
      <w:r>
        <w:rPr>
          <w:rFonts w:ascii="Liberation Sans" w:hAnsi="Liberation Sans"/>
          <w:sz w:val="26"/>
          <w:szCs w:val="26"/>
        </w:rPr>
        <w:t xml:space="preserve"> Федерации". В пределах охранных зон без письменного согласия и присутствия представителей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предприятий, эксплуатирующих линии связи и линии радиофикации, юридическим                     и физическим лицам запрещается: а)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осуществлять всякого рода </w:t>
      </w:r>
      <w:r>
        <w:rPr>
          <w:rFonts w:ascii="Liberation Sans" w:hAnsi="Liberation Sans"/>
          <w:sz w:val="26"/>
          <w:szCs w:val="26"/>
        </w:rPr>
        <w:lastRenderedPageBreak/>
        <w:t>строитель</w:t>
      </w:r>
      <w:r>
        <w:rPr>
          <w:rFonts w:ascii="Liberation Sans" w:hAnsi="Liberation Sans"/>
          <w:sz w:val="26"/>
          <w:szCs w:val="26"/>
        </w:rPr>
        <w:t>ные, монтажные и взрывные работы, планировку грунта землеройными механизмами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зон песчаных барханов)                 и земляные работы (за исключением вспашки на глубину не более                      0,3 метра); б)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 геолого-съемоч</w:t>
      </w:r>
      <w:r>
        <w:rPr>
          <w:rFonts w:ascii="Liberation Sans" w:hAnsi="Liberation Sans"/>
          <w:sz w:val="26"/>
          <w:szCs w:val="26"/>
        </w:rPr>
        <w:t>ные, поисковые, геодезические                  и другие изыскательские работы, которые связаны с бурением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скважин, шурфованием, взятием проб грунта, осуществлением взрывных работ;                в) производить посадку деревьев, располагать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 станы, с</w:t>
      </w:r>
      <w:r>
        <w:rPr>
          <w:rFonts w:ascii="Liberation Sans" w:hAnsi="Liberation Sans"/>
          <w:sz w:val="26"/>
          <w:szCs w:val="26"/>
        </w:rPr>
        <w:t>одержать скот, складировать материалы, корма и удобрения, жечь костры, устраивать стрельбища;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устраивать проезды и стоянки автотранспорта, тракторов и механизмов, провозить негабаритные грузы под проводами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связи и линий радиофикации, стр</w:t>
      </w:r>
      <w:r>
        <w:rPr>
          <w:rFonts w:ascii="Liberation Sans" w:hAnsi="Liberation Sans"/>
          <w:sz w:val="26"/>
          <w:szCs w:val="26"/>
        </w:rPr>
        <w:t>оить каналы (арыки), устраивать заграждения и другие препятствия; д)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устраивать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причалы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погрузочно-разгрузочные,</w:t>
      </w:r>
    </w:p>
    <w:p w:rsidR="00C902E8" w:rsidRDefault="0001409D">
      <w:pPr>
        <w:pStyle w:val="TableParagraph"/>
        <w:spacing w:before="8" w:line="261" w:lineRule="auto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подводно-технические, дноуглубительные и землечерпательные работы, выделять рыбопромысловые участки, производить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добычу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устраивать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колку и заготовку льда. </w:t>
      </w:r>
      <w:r>
        <w:rPr>
          <w:rFonts w:ascii="Liberation Sans" w:hAnsi="Liberation Sans"/>
          <w:sz w:val="26"/>
          <w:szCs w:val="26"/>
        </w:rPr>
        <w:t>Судам и другим плавучим средствам запрещается бросать якоря, проходить с отданными якорями,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реконструкцию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радиостанций</w:t>
      </w:r>
    </w:p>
    <w:p w:rsidR="00C902E8" w:rsidRDefault="0001409D">
      <w:pPr>
        <w:pStyle w:val="TableParagraph"/>
        <w:spacing w:before="8" w:line="240" w:lineRule="auto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и других объектов, излучающих электромагнитную энергию и оказывающих опасное воздействие на линии связи и линии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радиофикации;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                     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защиту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проходящих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</w:t>
      </w:r>
      <w:r>
        <w:rPr>
          <w:rFonts w:ascii="Liberation Sans" w:hAnsi="Liberation Sans"/>
          <w:sz w:val="26"/>
          <w:szCs w:val="26"/>
        </w:rPr>
        <w:t>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всякого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рода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нормальную работу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частности: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снос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реконструкцию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мостов, осуществлять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переустройство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коллекторов,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туннелей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метрополитена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железных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где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проложены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</w:p>
    <w:p w:rsidR="00C902E8" w:rsidRDefault="0001409D">
      <w:pPr>
        <w:pStyle w:val="TableParagraph"/>
        <w:spacing w:before="21" w:line="261" w:lineRule="auto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столбы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радиорелейных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ящики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коробки,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предварительного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выноса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заказчиками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(застройщиками)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</w:p>
    <w:p w:rsidR="00C902E8" w:rsidRDefault="0001409D">
      <w:pPr>
        <w:pStyle w:val="TableParagraph"/>
        <w:spacing w:before="2" w:line="261" w:lineRule="auto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сооружений связи, линий и сооружений радиофикации по согласованию                 с предприятиями, в ведении которых находятся эти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 и сооружения;              </w:t>
      </w:r>
      <w:r>
        <w:rPr>
          <w:rFonts w:ascii="Liberation Sans" w:hAnsi="Liberation Sans"/>
          <w:sz w:val="26"/>
          <w:szCs w:val="26"/>
        </w:rPr>
        <w:t xml:space="preserve">    б) производить засыпку трасс подземных кабельных линий связи, устраивать на этих трассах временные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активных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бытовых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прочих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ломать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замерные,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сигнальные,</w:t>
      </w:r>
    </w:p>
    <w:p w:rsidR="00C902E8" w:rsidRDefault="0001409D">
      <w:pPr>
        <w:pStyle w:val="TableParagraph"/>
        <w:spacing w:before="2" w:line="261" w:lineRule="auto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предупредительные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знаки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телефонные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колодцы;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необслуживаемых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усилительных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регенерационных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 (наземных и подземных) и радиорелейных станций, кабельных колодцев телефонной канализации,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шкафов и кабельных ящиков, </w:t>
      </w:r>
      <w:r>
        <w:rPr>
          <w:rFonts w:ascii="Liberation Sans" w:hAnsi="Liberation Sans"/>
          <w:sz w:val="26"/>
          <w:szCs w:val="26"/>
        </w:rPr>
        <w:t xml:space="preserve">а также подключаться к линиям связи (за исключением лиц, </w:t>
      </w:r>
      <w:r>
        <w:rPr>
          <w:rFonts w:ascii="Liberation Sans" w:hAnsi="Liberation Sans"/>
          <w:sz w:val="26"/>
          <w:szCs w:val="26"/>
        </w:rPr>
        <w:lastRenderedPageBreak/>
        <w:t>обслуживающих эти линии);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огораживать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трассы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препятствуя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свободному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персонала;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           </w:t>
      </w:r>
      <w:r>
        <w:rPr>
          <w:rFonts w:ascii="Liberation Sans" w:hAnsi="Liberation Sans"/>
          <w:sz w:val="26"/>
          <w:szCs w:val="26"/>
        </w:rPr>
        <w:t>д)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самовольно </w:t>
      </w:r>
      <w:r>
        <w:rPr>
          <w:rFonts w:ascii="Liberation Sans" w:hAnsi="Liberation Sans"/>
          <w:sz w:val="26"/>
          <w:szCs w:val="26"/>
        </w:rPr>
        <w:t>подключаться к абонентской телефонной линии и линии радиофикации в целях пользования услугами связи; е) совершать иные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9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(повреждать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арматуру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обрывать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провода,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набрасывать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другое).</w:t>
      </w:r>
    </w:p>
    <w:p w:rsidR="00C902E8" w:rsidRDefault="0001409D">
      <w:pPr>
        <w:pStyle w:val="TableParagraph"/>
        <w:spacing w:before="8" w:line="261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Реестровый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89:11-6.432;</w:t>
      </w:r>
      <w:r>
        <w:rPr>
          <w:rFonts w:ascii="Liberation Sans" w:hAnsi="Liberation Sans"/>
          <w:sz w:val="26"/>
          <w:szCs w:val="26"/>
        </w:rPr>
        <w:t xml:space="preserve"> реквизиты                      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б/н;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зоне минимальных (минимально допустимых) расстояний трубопровода запрещается производить всякого рода действия,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могут нарушить нормальную эксплуатацию трубопроводов либо привести к их повреждению, в частности:                             а)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перемещ</w:t>
      </w:r>
      <w:r>
        <w:rPr>
          <w:rFonts w:ascii="Liberation Sans" w:hAnsi="Liberation Sans"/>
          <w:sz w:val="26"/>
          <w:szCs w:val="26"/>
        </w:rPr>
        <w:t>ать, засыпать и ломать опознавательные и сигнальные знаки, контрольно-измерительные пункты; б) открывать люки,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калитки и двери необслуживаемых усилительных пунктов кабельной связи, ограждений узлов линейной арматуры, станций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катодной и дренажной защиты, ли</w:t>
      </w:r>
      <w:r>
        <w:rPr>
          <w:rFonts w:ascii="Liberation Sans" w:hAnsi="Liberation Sans"/>
          <w:sz w:val="26"/>
          <w:szCs w:val="26"/>
        </w:rPr>
        <w:t>нейных и смотровых колодцев и других линейных устройств, открывать                и закрывать краны 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задвижки,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отключать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включать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энергоснабжения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телемеханики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устраивать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всякого рода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выливать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растворы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кислот</w:t>
      </w:r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солей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щелочей;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разрушать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берегоукрепительные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водопропускные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устройства, земляные     и иные сооружения, предохраняющие трубопроводы от разрушения,                    а прилегающую территорию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окружающую местность-от аварийного разлива т</w:t>
      </w:r>
      <w:r>
        <w:rPr>
          <w:rFonts w:ascii="Liberation Sans" w:hAnsi="Liberation Sans"/>
          <w:sz w:val="26"/>
          <w:szCs w:val="26"/>
        </w:rPr>
        <w:t>ранспортируемой продукции; д) разводить огонь и размещать какие-либо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открытые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закрытые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огня.</w:t>
      </w:r>
    </w:p>
    <w:p w:rsidR="00C902E8" w:rsidRDefault="0001409D">
      <w:pPr>
        <w:pStyle w:val="TableParagraph"/>
        <w:spacing w:before="1" w:line="261" w:lineRule="auto"/>
        <w:ind w:left="0" w:right="78"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Земельный участок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государственного кадастрового учета, если на него не будут зарегистрированы права. </w:t>
      </w:r>
    </w:p>
    <w:p w:rsidR="00C902E8" w:rsidRDefault="0001409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протоколу осмотра земельного участка от 29.11.2023 № 571</w:t>
      </w:r>
      <w:r>
        <w:rPr>
          <w:rFonts w:ascii="Liberation Sans" w:hAnsi="Liberation Sans"/>
          <w:color w:val="000000" w:themeColor="text1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</w:t>
      </w:r>
      <w:r>
        <w:rPr>
          <w:rFonts w:ascii="Liberation Sans" w:hAnsi="Liberation Sans"/>
          <w:color w:val="000000" w:themeColor="text1"/>
          <w:sz w:val="26"/>
          <w:szCs w:val="26"/>
        </w:rPr>
        <w:t>нгой,</w:t>
      </w:r>
      <w:r>
        <w:rPr>
          <w:rFonts w:ascii="Liberation Sans" w:hAnsi="Liberation Sans"/>
          <w:sz w:val="26"/>
          <w:szCs w:val="26"/>
        </w:rPr>
        <w:t xml:space="preserve"> в ходе проведения осмотра установлено, что территория земельного участка не ограждена, доступ ограничен в связи с обильной заснеженностью.</w:t>
      </w:r>
    </w:p>
    <w:p w:rsidR="00C902E8" w:rsidRDefault="0001409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связи с обильной заснеженностью земельного участка, при осмотре с обзорно просматриваемой точки установить са</w:t>
      </w:r>
      <w:r>
        <w:rPr>
          <w:rFonts w:ascii="Liberation Sans" w:hAnsi="Liberation Sans"/>
          <w:sz w:val="26"/>
          <w:szCs w:val="26"/>
        </w:rPr>
        <w:t>нитарное состояние земельного участка, нахождение объектов движимого и недвижимого имущества в границах земельного участка не представилось возможным.</w:t>
      </w:r>
    </w:p>
    <w:p w:rsidR="00C902E8" w:rsidRDefault="00C902E8">
      <w:pPr>
        <w:widowControl w:val="0"/>
        <w:contextualSpacing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</w:p>
    <w:p w:rsidR="00C902E8" w:rsidRDefault="00C902E8">
      <w:pPr>
        <w:widowControl w:val="0"/>
        <w:ind w:firstLine="709"/>
        <w:contextualSpacing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902E8" w:rsidRDefault="0001409D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 xml:space="preserve">Письмом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от 29.11.2023 № 2335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АО «Уренгойская электросетевая компания» сообщено об отсутствии на земельном участке сетей электроснабжения, обслуживаемых АО «УЭСК». 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По информации Уренгойского филиала ООО «Газпром энерго»                                     от 30.11.2023 № 54-</w:t>
      </w:r>
      <w:r>
        <w:rPr>
          <w:rFonts w:ascii="Liberation Sans" w:hAnsi="Liberation Sans"/>
          <w:color w:val="000000" w:themeColor="text1"/>
          <w:sz w:val="26"/>
          <w:szCs w:val="26"/>
        </w:rPr>
        <w:t>иг-07/2771, отсутствует техническая возможность присоединения объекта в соответствии с п. 29, ввиду отсутствия возможности соблюдения критерия п.п. б п. 28 Правил технологического присоединения энергопринимающих устройств потребителей электрической энергии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           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   № 861, а также сообщено об отсутствии на земельном участке  сетей                 электроснабжения ООО «Газпром энерго». </w:t>
      </w:r>
    </w:p>
    <w:p w:rsidR="00C902E8" w:rsidRDefault="0001409D">
      <w:pPr>
        <w:pStyle w:val="af6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 соответствии с информацией АО «Ново-Уренгоймежрайгаз»                    от 29.11.2023 № 410 техническая возможность подключения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(технологического присоединения) указанного объекта капитального строительства к сетям газораспределения на территории МО г. Новый Уренгой, в настоящее время имеется, а в случае необходимости подключения указанного объекта к сетям основного абонента, при </w:t>
      </w:r>
      <w:r>
        <w:rPr>
          <w:rFonts w:ascii="Liberation Sans" w:hAnsi="Liberation Sans"/>
          <w:color w:val="000000" w:themeColor="text1"/>
          <w:sz w:val="26"/>
          <w:szCs w:val="26"/>
        </w:rPr>
        <w:t>наличии согласия основного абонента на подключение (технологическое присоединение). Планируемое направление использования газа: отопление.</w:t>
      </w:r>
    </w:p>
    <w:p w:rsidR="00C902E8" w:rsidRDefault="0001409D">
      <w:pPr>
        <w:pStyle w:val="af6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</w:t>
      </w:r>
      <w:r>
        <w:rPr>
          <w:rFonts w:ascii="Liberation Sans" w:hAnsi="Liberation Sans"/>
          <w:color w:val="000000" w:themeColor="text1"/>
          <w:sz w:val="26"/>
          <w:szCs w:val="26"/>
        </w:rPr>
        <w:t>ения                      АО «Ново-Уренгоймежрайгаз» ежегодно устанавливается приказом Департамента тарифной политики, энергетики и жилищно-коммунального комплекса ЯНАО «Об установлении АО «Ново-Уренгоймежрайгаз»  платы за технологическое присоединение газ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оиспользующего оборудования        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 w:themeColor="text1"/>
          <w:sz w:val="26"/>
          <w:szCs w:val="26"/>
          <w:lang w:val="en-US"/>
        </w:rPr>
        <w:t>gorgaz</w:t>
      </w:r>
      <w:r>
        <w:rPr>
          <w:rFonts w:ascii="Liberation Sans" w:hAnsi="Liberation Sans"/>
          <w:color w:val="000000" w:themeColor="text1"/>
          <w:sz w:val="26"/>
          <w:szCs w:val="26"/>
        </w:rPr>
        <w:t>89.</w:t>
      </w:r>
      <w:r>
        <w:rPr>
          <w:rFonts w:ascii="Liberation Sans" w:hAnsi="Liberation Sans"/>
          <w:color w:val="000000" w:themeColor="text1"/>
          <w:sz w:val="26"/>
          <w:szCs w:val="26"/>
          <w:lang w:val="en-US"/>
        </w:rPr>
        <w:t>ru</w:t>
      </w:r>
      <w:r>
        <w:rPr>
          <w:rFonts w:ascii="Liberation Sans" w:hAnsi="Liberation Sans"/>
          <w:color w:val="000000" w:themeColor="text1"/>
          <w:sz w:val="26"/>
          <w:szCs w:val="26"/>
        </w:rPr>
        <w:t>) и рассчитывается при заключении договора на подключе</w:t>
      </w:r>
      <w:r>
        <w:rPr>
          <w:rFonts w:ascii="Liberation Sans" w:hAnsi="Liberation Sans"/>
          <w:color w:val="000000" w:themeColor="text1"/>
          <w:sz w:val="26"/>
          <w:szCs w:val="26"/>
        </w:rPr>
        <w:t>ние (технологическое присоединение) объектов капитального строительства к сетям газораспределения.</w:t>
      </w:r>
    </w:p>
    <w:p w:rsidR="00C902E8" w:rsidRDefault="0001409D">
      <w:pPr>
        <w:ind w:firstLine="708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Письмом АО «Уренгойгорводоканал» от 29.11.2023 № 2825/4995  сообщено об отсутствии технической  возможности для подключения объекта на земельном участке с ка</w:t>
      </w:r>
      <w:r>
        <w:rPr>
          <w:rFonts w:ascii="Liberation Sans" w:hAnsi="Liberation Sans"/>
          <w:color w:val="000000" w:themeColor="text1"/>
          <w:sz w:val="26"/>
          <w:szCs w:val="26"/>
        </w:rPr>
        <w:t>дастровым номером  89:11:060201:2353 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C902E8" w:rsidRDefault="0001409D">
      <w:pPr>
        <w:pStyle w:val="25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28.11.2023 № 6564 АО «Уренгойтеплогенерация-1» отказано в выдаче технических условий на присоединение к сетям теплоснабжения и горячего водоснабжения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color w:val="000000"/>
          <w:sz w:val="26"/>
          <w:szCs w:val="26"/>
        </w:rPr>
        <w:t>89:11:060201:2353</w:t>
      </w:r>
      <w:r>
        <w:rPr>
          <w:rFonts w:ascii="Liberation Sans" w:hAnsi="Liberation Sans"/>
          <w:sz w:val="26"/>
          <w:szCs w:val="26"/>
        </w:rPr>
        <w:t>, в связи с отсутствием в данном рай</w:t>
      </w:r>
      <w:r>
        <w:rPr>
          <w:rFonts w:ascii="Liberation Sans" w:hAnsi="Liberation Sans"/>
          <w:sz w:val="26"/>
          <w:szCs w:val="26"/>
        </w:rPr>
        <w:t>оне сетей инженерно-технического обеспечения, обслуживаемых                               АО «УТГ-1».</w:t>
      </w:r>
    </w:p>
    <w:p w:rsidR="00C902E8" w:rsidRDefault="0001409D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технического обеспечения не являе</w:t>
      </w:r>
      <w:r>
        <w:rPr>
          <w:rFonts w:ascii="Liberation Sans" w:hAnsi="Liberation Sans"/>
          <w:color w:val="000000"/>
          <w:sz w:val="26"/>
          <w:szCs w:val="26"/>
        </w:rPr>
        <w:t xml:space="preserve">тся препятствием для проведения аукциона (письмо Министерства экономического развития РФ от 30.06.2015 № Д23и-3009).    </w:t>
      </w:r>
    </w:p>
    <w:p w:rsidR="00C902E8" w:rsidRDefault="0001409D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902E8" w:rsidRDefault="0001409D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</w:t>
      </w:r>
      <w:r>
        <w:rPr>
          <w:rFonts w:ascii="Liberation Sans" w:hAnsi="Liberation Sans"/>
          <w:b/>
          <w:color w:val="000000"/>
          <w:sz w:val="26"/>
          <w:szCs w:val="26"/>
        </w:rPr>
        <w:t>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902E8" w:rsidRDefault="0001409D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</w:t>
      </w:r>
      <w:r>
        <w:rPr>
          <w:rFonts w:ascii="Liberation Sans" w:hAnsi="Liberation Sans"/>
          <w:color w:val="000000"/>
          <w:sz w:val="26"/>
          <w:szCs w:val="26"/>
        </w:rPr>
        <w:t>2 № 240, земельный участок находится в коммунально-складской зоне (П2). Максимальный процент застройки  в границах земельного участка составляет 60%. Предельное количество этажей – 2.</w:t>
      </w:r>
    </w:p>
    <w:p w:rsidR="00C902E8" w:rsidRDefault="0001409D">
      <w:pPr>
        <w:pStyle w:val="21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C902E8" w:rsidRDefault="0001409D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</w:t>
            </w:r>
            <w:r>
              <w:rPr>
                <w:rFonts w:ascii="Liberation Sans" w:eastAsia="Calibri" w:hAnsi="Liberation Sans"/>
                <w:bCs/>
                <w:sz w:val="20"/>
              </w:rPr>
              <w:t>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C902E8" w:rsidRDefault="0001409D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</w:t>
            </w:r>
            <w:r>
              <w:rPr>
                <w:rFonts w:ascii="Liberation Sans" w:hAnsi="Liberation Sans"/>
                <w:sz w:val="20"/>
              </w:rPr>
              <w:t>ов капитального строительства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</w:p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50 %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Liberation Sans" w:hAnsi="Liberation Sans" w:cs="Tahoma"/>
                <w:sz w:val="20"/>
                <w:szCs w:val="20"/>
              </w:rPr>
              <w:t>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</w:p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</w:t>
            </w:r>
            <w:r>
              <w:rPr>
                <w:rFonts w:ascii="Liberation Sans" w:hAnsi="Liberation Sans"/>
                <w:sz w:val="20"/>
              </w:rPr>
              <w:lastRenderedPageBreak/>
              <w:t>границах зон с особыми условиями использования территорий</w:t>
            </w:r>
          </w:p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</w:t>
            </w:r>
            <w:r>
              <w:rPr>
                <w:rFonts w:ascii="Liberation Sans" w:hAnsi="Liberation Sans" w:cs="Tahoma"/>
                <w:sz w:val="20"/>
                <w:szCs w:val="20"/>
              </w:rPr>
              <w:t>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</w:t>
            </w:r>
            <w:r>
              <w:rPr>
                <w:rFonts w:ascii="Liberation Sans" w:hAnsi="Liberation Sans" w:cs="Tahoma"/>
                <w:sz w:val="20"/>
              </w:rPr>
              <w:t>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Служебные гаражи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</w:t>
            </w:r>
            <w:r>
              <w:rPr>
                <w:rFonts w:ascii="Liberation Sans" w:hAnsi="Liberation Sans" w:cs="Tahoma"/>
                <w:sz w:val="20"/>
                <w:szCs w:val="20"/>
              </w:rPr>
              <w:t>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 допускается размещение объектов,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</w:t>
            </w:r>
            <w:r>
              <w:rPr>
                <w:rFonts w:ascii="Liberation Sans" w:hAnsi="Liberation Sans" w:cs="Tahoma"/>
                <w:sz w:val="20"/>
              </w:rPr>
              <w:t>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>
              <w:rPr>
                <w:rFonts w:ascii="Liberation Sans" w:hAnsi="Liberation Sans" w:cs="Tahoma"/>
                <w:sz w:val="20"/>
                <w:szCs w:val="20"/>
              </w:rPr>
              <w:t>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Объекты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</w:p>
          <w:p w:rsidR="00C902E8" w:rsidRDefault="0001409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</w:t>
            </w:r>
            <w:r>
              <w:rPr>
                <w:rFonts w:ascii="Liberation Sans" w:hAnsi="Liberation Sans"/>
                <w:sz w:val="20"/>
                <w:szCs w:val="20"/>
              </w:rPr>
              <w:t>рриторий</w:t>
            </w:r>
          </w:p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</w:t>
            </w:r>
            <w:r>
              <w:rPr>
                <w:rFonts w:ascii="Liberation Sans" w:hAnsi="Liberation Sans" w:cs="Tahoma"/>
                <w:sz w:val="20"/>
              </w:rPr>
              <w:t>альный процент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C902E8" w:rsidRDefault="0001409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C902E8" w:rsidRDefault="0001409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 в </w:t>
            </w:r>
          </w:p>
          <w:p w:rsidR="00C902E8" w:rsidRDefault="0001409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C902E8" w:rsidRDefault="0001409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C902E8" w:rsidRDefault="0001409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 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защитных зон</w:t>
            </w: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</w:t>
            </w:r>
            <w:r>
              <w:rPr>
                <w:rFonts w:ascii="Liberation Sans" w:hAnsi="Liberation Sans" w:cs="Tahoma"/>
                <w:sz w:val="20"/>
              </w:rPr>
              <w:t>симальный процент застройки в границах земельного участка – 50 %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особыми </w:t>
            </w:r>
          </w:p>
          <w:p w:rsidR="00C902E8" w:rsidRDefault="0001409D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</w:t>
            </w:r>
            <w:r>
              <w:rPr>
                <w:rFonts w:ascii="Liberation Sans" w:hAnsi="Liberation Sans" w:cs="Tahoma"/>
                <w:sz w:val="20"/>
                <w:szCs w:val="20"/>
              </w:rPr>
              <w:t>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902E8">
        <w:tc>
          <w:tcPr>
            <w:tcW w:w="1809" w:type="dxa"/>
          </w:tcPr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C902E8" w:rsidRDefault="00C902E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C902E8" w:rsidRDefault="0001409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902E8" w:rsidRDefault="0001409D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</w:t>
            </w:r>
            <w:r>
              <w:rPr>
                <w:rFonts w:ascii="Liberation Sans" w:hAnsi="Liberation Sans" w:cs="Tahoma"/>
                <w:sz w:val="20"/>
              </w:rPr>
              <w:t>стка – 60 %</w:t>
            </w:r>
          </w:p>
        </w:tc>
      </w:tr>
    </w:tbl>
    <w:p w:rsidR="00C902E8" w:rsidRDefault="00C902E8">
      <w:pPr>
        <w:pStyle w:val="12"/>
        <w:ind w:firstLine="708"/>
        <w:contextualSpacing/>
        <w:jc w:val="both"/>
        <w:rPr>
          <w:rFonts w:ascii="Liberation Sans" w:hAnsi="Liberation Sans"/>
          <w:b/>
          <w:color w:val="000000"/>
          <w:sz w:val="26"/>
          <w:szCs w:val="26"/>
        </w:rPr>
      </w:pPr>
    </w:p>
    <w:p w:rsidR="00C902E8" w:rsidRDefault="0001409D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2 года 6 месяцев.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324 689,04 руб.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20 % от кадастровой стоимости) составляет – 64 937,81 руб. </w:t>
      </w:r>
    </w:p>
    <w:p w:rsidR="00C902E8" w:rsidRDefault="0001409D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</w:t>
      </w:r>
      <w:r>
        <w:rPr>
          <w:rFonts w:ascii="Liberation Sans" w:hAnsi="Liberation Sans"/>
          <w:sz w:val="26"/>
          <w:szCs w:val="26"/>
        </w:rPr>
        <w:t>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902E8" w:rsidRDefault="0001409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1 948,13 руб. </w:t>
      </w:r>
    </w:p>
    <w:p w:rsidR="00C902E8" w:rsidRDefault="0001409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</w:t>
      </w:r>
      <w:r>
        <w:rPr>
          <w:rFonts w:ascii="Liberation Sans" w:hAnsi="Liberation Sans"/>
          <w:sz w:val="26"/>
          <w:szCs w:val="26"/>
        </w:rPr>
        <w:t>льной цены предмета аукциона – 12 987,56 руб.</w:t>
      </w:r>
    </w:p>
    <w:p w:rsidR="00C902E8" w:rsidRDefault="00C902E8">
      <w:pPr>
        <w:pStyle w:val="TableParagraph"/>
        <w:spacing w:before="4" w:line="240" w:lineRule="auto"/>
        <w:jc w:val="both"/>
        <w:rPr>
          <w:rFonts w:ascii="Liberation Sans" w:hAnsi="Liberation Sans"/>
          <w:sz w:val="26"/>
          <w:szCs w:val="26"/>
        </w:rPr>
      </w:pPr>
    </w:p>
    <w:p w:rsidR="00C902E8" w:rsidRDefault="0001409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торгах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я с сохранением их реквизитов</w:t>
      </w: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), заверенных электронной подписью претендента либо лица, имеющего право действовать от имени претендента. 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аукцион</w:t>
      </w:r>
      <w:r>
        <w:rPr>
          <w:rFonts w:ascii="Liberation Sans" w:hAnsi="Liberation Sans"/>
          <w:sz w:val="26"/>
          <w:szCs w:val="26"/>
        </w:rPr>
        <w:t xml:space="preserve">а по дату окончания срока приема заявок на электронной площадке:                  АО «Сбербанк-АСТ» в сети Интернет </w:t>
      </w:r>
      <w:hyperlink r:id="rId11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</w:t>
        </w:r>
        <w:r>
          <w:rPr>
            <w:rStyle w:val="af8"/>
            <w:rFonts w:ascii="Liberation Sans" w:hAnsi="Liberation Sans"/>
            <w:sz w:val="26"/>
            <w:szCs w:val="26"/>
          </w:rPr>
          <w:t>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К заявке </w:t>
      </w:r>
      <w:r>
        <w:rPr>
          <w:rFonts w:ascii="Liberation Sans" w:hAnsi="Liberation Sans" w:cs="Liberation Serif"/>
          <w:b/>
          <w:sz w:val="26"/>
          <w:szCs w:val="26"/>
        </w:rPr>
        <w:t>прикладываются следующие файлы документов: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Для физических лиц: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(*В случае представления копии паспо</w:t>
      </w:r>
      <w:r>
        <w:rPr>
          <w:rFonts w:ascii="Liberation Sans" w:hAnsi="Liberation Sans" w:cs="Liberation Serif"/>
          <w:sz w:val="26"/>
          <w:szCs w:val="26"/>
        </w:rPr>
        <w:t xml:space="preserve">рта гражданина Российской Федерации представляются копии 2-19 страниц паспорта, включая не заполненные);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3.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</w:t>
      </w:r>
      <w:r>
        <w:rPr>
          <w:rFonts w:ascii="Liberation Sans" w:hAnsi="Liberation Sans" w:cs="Liberation Serif"/>
          <w:sz w:val="26"/>
          <w:szCs w:val="26"/>
        </w:rPr>
        <w:t>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индивидуальных предпринимателей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: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(*В случае представления копии паспорта гражданина Российской Федерации представляются копии 2-19 страниц паспорта, включая не заполнен</w:t>
      </w:r>
      <w:r>
        <w:rPr>
          <w:rFonts w:ascii="Liberation Sans" w:hAnsi="Liberation Sans" w:cs="Liberation Serif"/>
          <w:sz w:val="26"/>
          <w:szCs w:val="26"/>
        </w:rPr>
        <w:t xml:space="preserve">ные);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юридических лиц: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ab/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1. Заявку на участие в аукционе по установленной форм</w:t>
      </w:r>
      <w:r>
        <w:rPr>
          <w:rFonts w:ascii="Liberation Sans" w:hAnsi="Liberation Sans" w:cs="Liberation Serif"/>
          <w:sz w:val="26"/>
          <w:szCs w:val="26"/>
        </w:rPr>
        <w:t xml:space="preserve">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3. Надлежащим образом заверенный перевод на русский язык документов о государственной регистрации юридического лица в соответствии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законодательством иностранного государства в случае, если заявителем является иностранное юридическое лицо.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В случае подачи заявки представителем заявителя предъявляется надлежащим образом оформленный </w:t>
      </w:r>
      <w:r>
        <w:rPr>
          <w:rFonts w:ascii="Liberation Sans" w:hAnsi="Liberation Sans" w:cs="Liberation Serif"/>
          <w:color w:val="000000"/>
          <w:sz w:val="26"/>
          <w:szCs w:val="26"/>
        </w:rPr>
        <w:t>документ, подтверждающий его полномочия (доверенность, договор и т.п.)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средств в размере задатка;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б) подачи Претендентом второй заявки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в) подачи заявки по истечении установленного срока пода</w:t>
      </w:r>
      <w:r>
        <w:rPr>
          <w:rFonts w:ascii="Liberation Sans" w:hAnsi="Liberation Sans" w:cs="Liberation Serif"/>
          <w:color w:val="000000"/>
          <w:sz w:val="26"/>
          <w:szCs w:val="26"/>
        </w:rPr>
        <w:t>чи заявок;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случае, если система не принимает заявку, Оператор уведомляет Претендента соответствующим системным сообщением о причине не при</w:t>
      </w:r>
      <w:r>
        <w:rPr>
          <w:rFonts w:ascii="Liberation Sans" w:hAnsi="Liberation Sans" w:cs="Liberation Serif"/>
          <w:color w:val="000000"/>
          <w:sz w:val="26"/>
          <w:szCs w:val="26"/>
        </w:rPr>
        <w:t>нятия заявки.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Заявитель не допускается Организатором торгов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</w:t>
      </w:r>
      <w:r>
        <w:rPr>
          <w:rFonts w:ascii="Liberation Sans" w:hAnsi="Liberation Sans" w:cs="Liberation Serif"/>
          <w:color w:val="000000"/>
          <w:sz w:val="26"/>
          <w:szCs w:val="26"/>
        </w:rPr>
        <w:t>иона.</w:t>
      </w:r>
    </w:p>
    <w:p w:rsidR="00C902E8" w:rsidRDefault="0001409D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902E8" w:rsidRDefault="0001409D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>ие заявки осуществляется путем отзыва ранее поданной и подачи новой заявки.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</w:t>
      </w:r>
      <w:r>
        <w:rPr>
          <w:rFonts w:ascii="Liberation Sans" w:hAnsi="Liberation Sans" w:cs="Liberation Serif"/>
          <w:color w:val="000000"/>
          <w:sz w:val="26"/>
          <w:szCs w:val="26"/>
        </w:rPr>
        <w:t>цевом счете в размере задатка.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</w:t>
      </w:r>
      <w:r>
        <w:rPr>
          <w:rFonts w:ascii="Liberation Sans" w:hAnsi="Liberation Sans" w:cs="Liberation Serif"/>
          <w:color w:val="000000"/>
          <w:sz w:val="26"/>
          <w:szCs w:val="26"/>
        </w:rPr>
        <w:t>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</w:t>
      </w:r>
      <w:r>
        <w:rPr>
          <w:rFonts w:ascii="Liberation Sans" w:hAnsi="Liberation Sans" w:cs="Liberation Serif"/>
          <w:color w:val="000000"/>
          <w:sz w:val="26"/>
          <w:szCs w:val="26"/>
        </w:rPr>
        <w:t>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  <w:color w:val="000000"/>
          <w:sz w:val="26"/>
          <w:szCs w:val="26"/>
        </w:rPr>
        <w:t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осуществляет действия в торговой секции в соответствии с функционалом электронной площадки с учетом следующих особенностей: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подача, изменение, отзыв заявки осуществляются представителем претендента из своего личного кабинета с </w:t>
      </w:r>
      <w:r>
        <w:rPr>
          <w:rFonts w:ascii="Liberation Sans" w:hAnsi="Liberation Sans" w:cs="Liberation Serif"/>
          <w:color w:val="000000"/>
          <w:sz w:val="26"/>
          <w:szCs w:val="26"/>
        </w:rPr>
        <w:t>использованием своей электронной подписи;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перечисление денежных средств в к</w:t>
      </w:r>
      <w:r>
        <w:rPr>
          <w:rFonts w:ascii="Liberation Sans" w:hAnsi="Liberation Sans" w:cs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C902E8" w:rsidRDefault="00C902E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902E8" w:rsidRDefault="00C902E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902E8" w:rsidRDefault="0001409D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C902E8" w:rsidRDefault="0001409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C902E8" w:rsidRDefault="0001409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В назначении платежа необхо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> 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средств в качестве задатка (ИНН плательщика), НДС не облагается».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Денежные средства, перечисленные за участника третьим лицом,                          не зачисляются на счет такого участника универсальной т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орговой площадки. 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>, состоит из следующих этапов: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</w:t>
      </w:r>
      <w:r>
        <w:rPr>
          <w:rFonts w:ascii="Liberation Sans" w:hAnsi="Liberation Sans" w:cs="Liberation Serif"/>
          <w:color w:val="000000"/>
          <w:sz w:val="26"/>
          <w:szCs w:val="26"/>
        </w:rPr>
        <w:t>окументации        о торгах  в торговой секции.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торгов, определение состава участников, допущенных к торгам, формирование протокола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                  в аукционе Организатором торгов принимается р</w:t>
      </w:r>
      <w:r>
        <w:rPr>
          <w:rFonts w:ascii="Liberation Sans" w:hAnsi="Liberation Sans" w:cs="Liberation Serif"/>
          <w:color w:val="000000"/>
          <w:sz w:val="26"/>
          <w:szCs w:val="26"/>
        </w:rPr>
        <w:t>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Оператор не позднее следующего рабочего дня после дня подписания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</w:t>
      </w:r>
      <w:r>
        <w:rPr>
          <w:rFonts w:ascii="Liberation Sans" w:hAnsi="Liberation Sans" w:cs="Liberation Serif"/>
          <w:color w:val="000000"/>
          <w:sz w:val="26"/>
          <w:szCs w:val="26"/>
        </w:rPr>
        <w:t>нии Участниками с указанием оснований отказа.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случае,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</w:t>
      </w:r>
      <w:r>
        <w:rPr>
          <w:rFonts w:ascii="Liberation Sans" w:hAnsi="Liberation Sans" w:cs="Liberation Serif"/>
          <w:color w:val="000000"/>
          <w:sz w:val="26"/>
          <w:szCs w:val="26"/>
        </w:rPr>
        <w:t>ведомление с протоколом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ans" w:hAnsi="Liberation Sans" w:cs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4. Проведение торговой сессии: подача предложений о цене допущенными участниками аукциона посредством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штатного функционала в торговой секции.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торго</w:t>
      </w:r>
      <w:r>
        <w:rPr>
          <w:rFonts w:ascii="Liberation Sans" w:hAnsi="Liberation Sans" w:cs="Liberation Serif"/>
          <w:color w:val="000000"/>
          <w:sz w:val="26"/>
          <w:szCs w:val="26"/>
        </w:rPr>
        <w:t>в в фиксированной сумме и не изменяется в течение всего времени подачи предложений о цене.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</w:t>
      </w:r>
      <w:r>
        <w:rPr>
          <w:rFonts w:ascii="Liberation Sans" w:hAnsi="Liberation Sans" w:cs="Liberation Serif"/>
          <w:color w:val="000000"/>
          <w:sz w:val="26"/>
          <w:szCs w:val="26"/>
        </w:rPr>
        <w:t>редложений.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</w:t>
      </w:r>
      <w:r>
        <w:rPr>
          <w:rFonts w:ascii="Liberation Sans" w:hAnsi="Liberation Sans" w:cs="Liberation Serif"/>
          <w:color w:val="000000"/>
          <w:sz w:val="26"/>
          <w:szCs w:val="26"/>
        </w:rPr>
        <w:t>шается.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5. Формирование Оператором журнала хода торгов: лучших предложений о цене участников.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6. 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Победителем аукциона призна</w:t>
      </w:r>
      <w:r>
        <w:rPr>
          <w:rFonts w:ascii="Liberation Sans" w:hAnsi="Liberation Sans" w:cs="Liberation Serif"/>
          <w:color w:val="000000"/>
          <w:sz w:val="26"/>
          <w:szCs w:val="26"/>
        </w:rPr>
        <w:t>ется Участник, предложивший наиболее высокую цену договора (лота).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Торги признаются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</w:t>
      </w:r>
      <w:r>
        <w:rPr>
          <w:rFonts w:ascii="Liberation Sans" w:hAnsi="Liberation Sans" w:cs="Liberation Serif"/>
          <w:color w:val="000000"/>
          <w:sz w:val="26"/>
          <w:szCs w:val="26"/>
        </w:rPr>
        <w:t>на участие в аукционе (ч. 14 ст. 39.12 Земельного кодекса РФ);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</w:t>
      </w:r>
      <w:r>
        <w:rPr>
          <w:rFonts w:ascii="Liberation Sans" w:hAnsi="Liberation Sans" w:cs="Liberation Serif"/>
          <w:color w:val="000000"/>
          <w:sz w:val="26"/>
          <w:szCs w:val="26"/>
        </w:rPr>
        <w:t>ного кодекса РФ);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если в аукционе участвовал только один Участник или при проведении аукциона не поступило ни одного предложения о цене предмета аукциона, которое предусматривало бы более высокую цену, чем начальная цена предмета аукциона (ч. 19 ст. 39.1</w:t>
      </w:r>
      <w:r>
        <w:rPr>
          <w:rFonts w:ascii="Liberation Sans" w:hAnsi="Liberation Sans" w:cs="Liberation Serif"/>
          <w:color w:val="000000"/>
          <w:sz w:val="26"/>
          <w:szCs w:val="26"/>
        </w:rPr>
        <w:t>2 Земельного кодекса РФ).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признании торгов несостоявшимся оформляется протоколом об итогах (протокол аукциона).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</w:t>
      </w:r>
      <w:r>
        <w:rPr>
          <w:rFonts w:ascii="Liberation Sans" w:hAnsi="Liberation Sans" w:cs="Liberation Serif"/>
          <w:color w:val="000000"/>
          <w:sz w:val="26"/>
          <w:szCs w:val="26"/>
        </w:rPr>
        <w:t>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</w:t>
      </w:r>
      <w:r>
        <w:rPr>
          <w:rFonts w:ascii="Liberation Sans" w:hAnsi="Liberation Sans" w:cs="Liberation Serif"/>
          <w:color w:val="000000"/>
          <w:sz w:val="26"/>
          <w:szCs w:val="26"/>
        </w:rPr>
        <w:t>тка на лицевом счете на площадке, за исключением участников, с которыми возможно заключение договора по итогам аукциона;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Задаток, внесенн</w:t>
      </w:r>
      <w:r>
        <w:rPr>
          <w:rFonts w:ascii="Liberation Sans" w:hAnsi="Liberation Sans" w:cs="Liberation Serif"/>
          <w:color w:val="000000"/>
          <w:sz w:val="26"/>
          <w:szCs w:val="26"/>
        </w:rPr>
        <w:t>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заключившими             в установленном порядке договора аренды земельного участка вследствие укло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нения от заключения указанных договоров, не возвращаются.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</w:t>
      </w:r>
      <w:r>
        <w:rPr>
          <w:rFonts w:ascii="Liberation Sans" w:hAnsi="Liberation Sans" w:cs="Liberation Serif"/>
          <w:color w:val="000000"/>
          <w:sz w:val="26"/>
          <w:szCs w:val="26"/>
        </w:rPr>
        <w:t>торгов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C902E8" w:rsidRDefault="00C902E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ционе его участнику три экземпляра подписанного проекта договора аренды земельного участка в десятидневный срок со дня составления протокола об итогах (протокола аукциона). 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При этом размер ежегодной арендной платы по договору аренды земельного участка опр</w:t>
      </w:r>
      <w:r>
        <w:rPr>
          <w:rFonts w:ascii="Liberation Sans" w:hAnsi="Liberation Sans" w:cs="Liberation Serif"/>
          <w:color w:val="000000"/>
          <w:sz w:val="26"/>
          <w:szCs w:val="26"/>
        </w:rPr>
        <w:t>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</w:t>
      </w:r>
      <w:r>
        <w:rPr>
          <w:rFonts w:ascii="Liberation Sans" w:hAnsi="Liberation Sans" w:cs="Liberation Serif"/>
          <w:sz w:val="26"/>
          <w:szCs w:val="26"/>
        </w:rPr>
        <w:t xml:space="preserve">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При заключении и исполнении договора изменение условий договора, </w:t>
      </w:r>
      <w:r>
        <w:rPr>
          <w:rFonts w:ascii="Liberation Sans" w:hAnsi="Liberation Sans" w:cs="Liberation Serif"/>
          <w:sz w:val="26"/>
          <w:szCs w:val="26"/>
        </w:rPr>
        <w:t>указанных в аукционной документации, по соглашению сторон и в одностороннем порядке не допускается.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 указанного договора не был им подписан и представлен в Департамент имущественных и жилищных отношений Администрации города Новый Уренгой, Организат</w:t>
      </w:r>
      <w:r>
        <w:rPr>
          <w:rFonts w:ascii="Liberation Sans" w:hAnsi="Liberation Sans" w:cs="Liberation Serif"/>
          <w:color w:val="000000"/>
          <w:sz w:val="26"/>
          <w:szCs w:val="26"/>
        </w:rPr>
        <w:t>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случае, если в течение тридцати дней со дня направления участнику ау</w:t>
      </w:r>
      <w:r>
        <w:rPr>
          <w:rFonts w:ascii="Liberation Sans" w:hAnsi="Liberation Sans" w:cs="Liberation Serif"/>
          <w:color w:val="000000"/>
          <w:sz w:val="26"/>
          <w:szCs w:val="26"/>
        </w:rPr>
        <w:t>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жилищных отношений Администрации города Новый Уренгой подписанный им договор, Ор</w:t>
      </w:r>
      <w:r>
        <w:rPr>
          <w:rFonts w:ascii="Liberation Sans" w:hAnsi="Liberation Sans" w:cs="Liberation Serif"/>
          <w:color w:val="000000"/>
          <w:sz w:val="26"/>
          <w:szCs w:val="26"/>
        </w:rPr>
        <w:t>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C902E8" w:rsidRDefault="00C902E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C902E8" w:rsidRDefault="0001409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C902E8" w:rsidRDefault="00C902E8">
      <w:pPr>
        <w:ind w:firstLine="720"/>
        <w:contextualSpacing/>
        <w:jc w:val="center"/>
        <w:rPr>
          <w:rFonts w:ascii="Liberation Sans" w:hAnsi="Liberation Sans" w:cs="Liberation Serif"/>
          <w:sz w:val="26"/>
          <w:szCs w:val="26"/>
        </w:rPr>
      </w:pP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Ознакомиться с аукционной документацией, правилами проведения ау</w:t>
      </w:r>
      <w:r>
        <w:rPr>
          <w:rFonts w:ascii="Liberation Sans" w:hAnsi="Liberation Sans" w:cs="Liberation Serif"/>
          <w:color w:val="000000"/>
          <w:sz w:val="26"/>
          <w:szCs w:val="26"/>
        </w:rPr>
        <w:t>кциона, можно со дня ее размещения на официальном сайте в сети «Интернет» (</w:t>
      </w:r>
      <w:hyperlink r:id="rId13" w:tooltip="http://torgi.gov.ru" w:history="1">
        <w:r>
          <w:rPr>
            <w:rStyle w:val="af8"/>
            <w:rFonts w:ascii="Liberation Sans" w:hAnsi="Liberation Sans" w:cs="Liberation Serif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 w:cs="Liberation Serif"/>
          <w:sz w:val="26"/>
          <w:szCs w:val="26"/>
        </w:rPr>
        <w:t>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по тел: 9</w:t>
      </w:r>
      <w:r>
        <w:rPr>
          <w:rFonts w:ascii="Liberation Sans" w:hAnsi="Liberation Sans" w:cs="Liberation Serif"/>
          <w:sz w:val="26"/>
          <w:szCs w:val="26"/>
        </w:rPr>
        <w:t>3-19-33, 93-19-43.</w:t>
      </w:r>
    </w:p>
    <w:p w:rsidR="00C902E8" w:rsidRDefault="0001409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отказаться от проведения аукциона       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 официальном сайте торгов в течение трех дней со дня принятия данного решения.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вправе объявить о проведении повторного аукциона  в случае, если аукцион был признан несостоявшимся и лицо, подавшее единственную заявку на участие в аукц</w:t>
      </w:r>
      <w:r>
        <w:rPr>
          <w:rFonts w:ascii="Liberation Sans" w:hAnsi="Liberation Sans" w:cs="Liberation Serif"/>
          <w:color w:val="000000"/>
          <w:sz w:val="26"/>
          <w:szCs w:val="26"/>
        </w:rPr>
        <w:t>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                    не подписали и не представ</w:t>
      </w:r>
      <w:r>
        <w:rPr>
          <w:rFonts w:ascii="Liberation Sans" w:hAnsi="Liberation Sans" w:cs="Liberation Serif"/>
          <w:color w:val="000000"/>
          <w:sz w:val="26"/>
          <w:szCs w:val="26"/>
        </w:rPr>
        <w:t>или в Департамент имущественных  и жилищных отношений Администрации города Новый Уренгой указанный договор (при наличии указанных лиц). При этом условия повторного аукциона могут быть изменены.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Все иные вопросы, касающиеся проведения аукциона, не отраженны</w:t>
      </w:r>
      <w:r>
        <w:rPr>
          <w:rFonts w:ascii="Liberation Sans" w:hAnsi="Liberation Sans" w:cs="Liberation Serif"/>
          <w:color w:val="000000"/>
          <w:sz w:val="26"/>
          <w:szCs w:val="26"/>
        </w:rPr>
        <w:t>е                          в настоящем извещении, регулируются действующим законодательством Российской Федерации.</w:t>
      </w:r>
    </w:p>
    <w:p w:rsidR="00C902E8" w:rsidRDefault="00C902E8">
      <w:pPr>
        <w:pStyle w:val="TableParagraph"/>
        <w:spacing w:before="4" w:line="240" w:lineRule="auto"/>
        <w:jc w:val="both"/>
        <w:rPr>
          <w:rFonts w:ascii="Liberation Sans" w:hAnsi="Liberation Sans"/>
          <w:sz w:val="26"/>
          <w:szCs w:val="26"/>
        </w:rPr>
      </w:pPr>
    </w:p>
    <w:p w:rsidR="00C902E8" w:rsidRDefault="00C902E8">
      <w:pPr>
        <w:contextualSpacing/>
        <w:rPr>
          <w:rFonts w:ascii="Liberation Sans" w:hAnsi="Liberation Sans"/>
          <w:sz w:val="26"/>
          <w:szCs w:val="26"/>
        </w:rPr>
      </w:pPr>
    </w:p>
    <w:sectPr w:rsidR="00C902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E8" w:rsidRDefault="0001409D">
      <w:r>
        <w:separator/>
      </w:r>
    </w:p>
  </w:endnote>
  <w:endnote w:type="continuationSeparator" w:id="0">
    <w:p w:rsidR="00C902E8" w:rsidRDefault="000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E8" w:rsidRDefault="0001409D">
      <w:r>
        <w:separator/>
      </w:r>
    </w:p>
  </w:footnote>
  <w:footnote w:type="continuationSeparator" w:id="0">
    <w:p w:rsidR="00C902E8" w:rsidRDefault="0001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477"/>
    <w:multiLevelType w:val="hybridMultilevel"/>
    <w:tmpl w:val="40A42B8C"/>
    <w:lvl w:ilvl="0" w:tplc="07F22E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D269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96FB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443D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840C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2413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3807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D21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EA8B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5F6D13"/>
    <w:multiLevelType w:val="hybridMultilevel"/>
    <w:tmpl w:val="835826E6"/>
    <w:lvl w:ilvl="0" w:tplc="BB125A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9487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4E42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5818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3AD6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ACF6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42C5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A79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6289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7E5B07"/>
    <w:multiLevelType w:val="hybridMultilevel"/>
    <w:tmpl w:val="E44853D4"/>
    <w:lvl w:ilvl="0" w:tplc="68BA33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2C45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7C6E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B6B3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CE46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38A3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FCE9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463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108D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0B40C8"/>
    <w:multiLevelType w:val="hybridMultilevel"/>
    <w:tmpl w:val="11C8A426"/>
    <w:lvl w:ilvl="0" w:tplc="D6AACD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B3855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6878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E8C9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DAE3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F6D9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4ACB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C47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4C02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285875"/>
    <w:multiLevelType w:val="hybridMultilevel"/>
    <w:tmpl w:val="A66ACB20"/>
    <w:lvl w:ilvl="0" w:tplc="44C81B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CCA3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DC78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C62F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4AB0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7230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4C7F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C854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B85D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D11438"/>
    <w:multiLevelType w:val="hybridMultilevel"/>
    <w:tmpl w:val="BB10E224"/>
    <w:lvl w:ilvl="0" w:tplc="33105F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75E98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CCC2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9877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98D6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3CCC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0205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06C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DADB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E8"/>
    <w:rsid w:val="0001409D"/>
    <w:rsid w:val="00C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12">
    <w:name w:val="Верхний колонтитул1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1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paragraph" w:customStyle="1" w:styleId="210">
    <w:name w:val="Заголовок 21"/>
    <w:basedOn w:val="a"/>
    <w:next w:val="a"/>
    <w:link w:val="2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24">
    <w:name w:val="Заголовок 2 Знак"/>
    <w:basedOn w:val="a0"/>
    <w:link w:val="21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Верхний колонтитул2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32">
    <w:name w:val="Верхний колонтитул3"/>
    <w:basedOn w:val="a"/>
    <w:link w:val="26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6">
    <w:name w:val="Верхний колонтитул Знак2"/>
    <w:basedOn w:val="a0"/>
    <w:link w:val="3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8A86-390D-4DD7-BB89-AE4CD72F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7404</Words>
  <Characters>42209</Characters>
  <Application>Microsoft Office Word</Application>
  <DocSecurity>0</DocSecurity>
  <Lines>351</Lines>
  <Paragraphs>99</Paragraphs>
  <ScaleCrop>false</ScaleCrop>
  <Company/>
  <LinksUpToDate>false</LinksUpToDate>
  <CharactersWithSpaces>49514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Чепченко Елена Ивановна</cp:lastModifiedBy>
  <cp:revision>85</cp:revision>
  <dcterms:created xsi:type="dcterms:W3CDTF">2022-05-11T11:01:00Z</dcterms:created>
  <dcterms:modified xsi:type="dcterms:W3CDTF">2024-01-29T11:21:00Z</dcterms:modified>
</cp:coreProperties>
</file>